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FalconEye Inspection and Test Plan (Example)</w:t>
      </w:r>
    </w:p>
    <w:p>
      <w:r>
        <w:rPr>
          <w:b/>
        </w:rPr>
        <w:t>DID Reference: DI-QCTD-81314</w:t>
      </w:r>
    </w:p>
    <w:p>
      <w:r>
        <w:t>NOTE: This is a populated example based on a notional FalconEye program. It is for demonstration of the Optimum Upgrade toolkits and is not an official government format.</w:t>
      </w:r>
    </w:p>
    <w:p/>
    <w:p>
      <w:pPr>
        <w:pStyle w:val="Heading2"/>
      </w:pPr>
      <w:r>
        <w:t>Test Articles and Configurations</w:t>
      </w:r>
    </w:p>
    <w:p>
      <w:r>
        <w:t>[FalconEye example content for section: Test Articles and Configurations]</w:t>
      </w:r>
    </w:p>
    <w:p/>
    <w:p>
      <w:pPr>
        <w:pStyle w:val="Heading2"/>
      </w:pPr>
      <w:r>
        <w:t>Test Methods and Procedures</w:t>
      </w:r>
    </w:p>
    <w:p>
      <w:r>
        <w:t>[FalconEye example content for section: Test Methods and Procedures]</w:t>
      </w:r>
    </w:p>
    <w:p/>
    <w:p>
      <w:pPr>
        <w:pStyle w:val="Heading2"/>
      </w:pPr>
      <w:r>
        <w:t>Acceptance Criteria</w:t>
      </w:r>
    </w:p>
    <w:p>
      <w:r>
        <w:t>[FalconEye example content for section: Acceptance Criteria]</w:t>
      </w:r>
    </w:p>
    <w:p/>
    <w:p>
      <w:pPr>
        <w:pStyle w:val="Heading2"/>
      </w:pPr>
      <w:r>
        <w:t>Roles, Responsibilities, and Witnessing</w:t>
      </w:r>
    </w:p>
    <w:p>
      <w:r>
        <w:t>[FalconEye example content for section: Roles, Responsibilities, and Witnessing]</w:t>
      </w:r>
    </w:p>
    <w:p/>
    <w:p>
      <w:pPr>
        <w:pStyle w:val="Heading2"/>
      </w:pPr>
      <w:r>
        <w:t>Data Recording and Reporting</w:t>
      </w:r>
    </w:p>
    <w:p>
      <w:r>
        <w:t>[FalconEye example content for section: Data Recording and Reporting]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