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FalconEye Micro-UAV – Verification Report</w:t>
      </w:r>
    </w:p>
    <w:p>
      <w:r>
        <w:t>This document summarizes the verification status of key FalconEye system requirements.</w:t>
      </w:r>
    </w:p>
    <w:p>
      <w:pPr>
        <w:pStyle w:val="Heading2"/>
      </w:pPr>
      <w:r>
        <w:t>1. Introduction</w:t>
      </w:r>
    </w:p>
    <w:p>
      <w:r>
        <w:t>The FalconEye verification campaign combines analysis, inspection, test, and demonstration activities to show compliance with the baseline system requirement set. The following table provides a snapshot of a subset of requirements and their verification status for this sample project.</w:t>
      </w:r>
    </w:p>
    <w:p>
      <w:pPr>
        <w:pStyle w:val="Heading2"/>
      </w:pPr>
      <w:r>
        <w:t>2. Verification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Test Case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FE-REQ-001</w:t>
            </w:r>
          </w:p>
        </w:tc>
        <w:tc>
          <w:tcPr>
            <w:tcW w:type="dxa" w:w="1728"/>
          </w:tcPr>
          <w:p>
            <w:r>
              <w:t>The FalconEye UAV shall provide a minimum endurance of 25 minutes at nominal payload weight.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TC-001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FE-REQ-002</w:t>
            </w:r>
          </w:p>
        </w:tc>
        <w:tc>
          <w:tcPr>
            <w:tcW w:type="dxa" w:w="1728"/>
          </w:tcPr>
          <w:p>
            <w:r>
              <w:t>The system shall provide encrypted video downlink to the GCS within 2 km LOS range.</w:t>
            </w:r>
          </w:p>
        </w:tc>
        <w:tc>
          <w:tcPr>
            <w:tcW w:type="dxa" w:w="1728"/>
          </w:tcPr>
          <w:p>
            <w:r>
              <w:t>Analysis/Test</w:t>
            </w:r>
          </w:p>
        </w:tc>
        <w:tc>
          <w:tcPr>
            <w:tcW w:type="dxa" w:w="1728"/>
          </w:tcPr>
          <w:p>
            <w:r>
              <w:t>TC-002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FE-REQ-003</w:t>
            </w:r>
          </w:p>
        </w:tc>
        <w:tc>
          <w:tcPr>
            <w:tcW w:type="dxa" w:w="1728"/>
          </w:tcPr>
          <w:p>
            <w:r>
              <w:t>The UAV shall withstand light rain and dust conditions during operation.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TC-003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FE-REQ-004</w:t>
            </w:r>
          </w:p>
        </w:tc>
        <w:tc>
          <w:tcPr>
            <w:tcW w:type="dxa" w:w="1728"/>
          </w:tcPr>
          <w:p>
            <w:r>
              <w:t>The system shall support semi-autonomous waypoint navigation.</w:t>
            </w:r>
          </w:p>
        </w:tc>
        <w:tc>
          <w:tcPr>
            <w:tcW w:type="dxa" w:w="1728"/>
          </w:tcPr>
          <w:p>
            <w:r>
              <w:t>Demonstration</w:t>
            </w:r>
          </w:p>
        </w:tc>
        <w:tc>
          <w:tcPr>
            <w:tcW w:type="dxa" w:w="1728"/>
          </w:tcPr>
          <w:p>
            <w:r>
              <w:t>TC-004</w:t>
            </w:r>
          </w:p>
        </w:tc>
        <w:tc>
          <w:tcPr>
            <w:tcW w:type="dxa" w:w="1728"/>
          </w:tcPr>
          <w:p>
            <w:r>
              <w:t>In Work</w:t>
            </w:r>
          </w:p>
        </w:tc>
      </w:tr>
      <w:tr>
        <w:tc>
          <w:tcPr>
            <w:tcW w:type="dxa" w:w="1728"/>
          </w:tcPr>
          <w:p>
            <w:r>
              <w:t>FE-REQ-005</w:t>
            </w:r>
          </w:p>
        </w:tc>
        <w:tc>
          <w:tcPr>
            <w:tcW w:type="dxa" w:w="1728"/>
          </w:tcPr>
          <w:p>
            <w:r>
              <w:t>The GCS shall display EO video at a minimum of 720p resolution.</w:t>
            </w:r>
          </w:p>
        </w:tc>
        <w:tc>
          <w:tcPr>
            <w:tcW w:type="dxa" w:w="1728"/>
          </w:tcPr>
          <w:p>
            <w:r>
              <w:t>Inspection/Test</w:t>
            </w:r>
          </w:p>
        </w:tc>
        <w:tc>
          <w:tcPr>
            <w:tcW w:type="dxa" w:w="1728"/>
          </w:tcPr>
          <w:p>
            <w:r>
              <w:t>TC-005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FE-REQ-006</w:t>
            </w:r>
          </w:p>
        </w:tc>
        <w:tc>
          <w:tcPr>
            <w:tcW w:type="dxa" w:w="1728"/>
          </w:tcPr>
          <w:p>
            <w:r>
              <w:t>The complete system (UAV + GCS) shall be transportable by a single operator.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  <w:tc>
          <w:tcPr>
            <w:tcW w:type="dxa" w:w="1728"/>
          </w:tcPr>
          <w:p>
            <w:r>
              <w:t>TC-006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</w:tbl>
    <w:p>
      <w:pPr>
        <w:pStyle w:val="Heading2"/>
      </w:pPr>
      <w:r>
        <w:t>3. Observations &amp; Next Steps</w:t>
      </w:r>
    </w:p>
    <w:p>
      <w:r>
        <w:t>Several requirements remain in Planned or Not Started status. In a real program, this section would expand on open actions, risk linkage, and planned re-test events.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