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187" w:afterAutospacing="0" w:line="17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47"/>
          <w:szCs w:val="4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7"/>
          <w:szCs w:val="47"/>
          <w:bdr w:val="single" w:color="D9D9E3" w:sz="2" w:space="0"/>
        </w:rPr>
        <w:t>Shopping Store API - Scaling and Performance Documentation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Table of Contents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"database-scaling"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Database Scaling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"api-scaling"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API Scaling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"containerization"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Containerization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"authentication-and-authorization"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Authentication and Authorization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"logging"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Logging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"rate-limiting"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Rate Limiting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"error-handling"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Error Handling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"testing"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Testing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"containerization-for-development"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Containerization for Development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"deployment"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Deployment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"monitoring-and-analytics"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Monitoring and Analytics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"scaling-strategies"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Scaling Strategies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instrText xml:space="preserve"> HYPERLINK "https://chat.openai.com/c/99c16807-c6bd-4b9d-a200-9311bc5205ec" \l "additional-notes"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t>Additional Notes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1. Database Scaling &lt;a name="database-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scaling"&gt;&lt;/a&gt;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1.1 Indexing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Consider using database indexes for columns frequently used in queries to optimize query performance.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1.2 Query Optimization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Optimize database queries and utilize database profiling tools to identify and resolve performance bottlenecks.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1.3 Caching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Implement caching strategies to reduce database load, enhancing the overall system performance.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2. API Scaling &lt;a name="api-scaling"&gt;&lt;/a&gt;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2.1 Caching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Implement caching for frequently requested data to minimize the load on the API.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2.2 Content Delivery Network (CDN)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Utilize a Content Delivery Network (CDN) for serving static assets, improving response times.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2.3 Load Balancing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Consider load balancing to distribute incoming requests across multiple instances of your API, ensuring optimal resource utilization.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3. Containerization &lt;a name="containerization"&gt;&lt;/a&gt;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Your application is containerized using Docker.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3.1 Local Development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Document how to build and run the Docker container locally for easy development setup.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3.2 Production Deployment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Provide clear instructions on deploying the Docker container in a production environment.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4. Authentication and Authorization &lt;a name="authentication-and-authorization"&gt;&lt;/a&gt;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4.1 Security Measures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Secure the API by configuring proper authentication and authorization mechanisms.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4.2 OAuth 2.0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Leverage OAuth 2.0 for secure user authentication, ensuring a robust authentication flow.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5. Logging &lt;a name="logging"&gt;&lt;/a&gt;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5.1 Event Logging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Implement comprehensive event logging throughout the application for monitoring and debugging.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5.2 Centralized Logging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Integrate centralized logging for easier monitoring and troubleshooting.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6. Rate Limiting &lt;a name="rate-limiting"&gt;&lt;/a&gt;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6.1 Mechanism Description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Describe the rate-limiting mechanism implemented to prevent abuse.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6.2 Configuration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Document how rate limits are configured and enforced for different API endpoints.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7. Error Handling &lt;a name="error-handling"&gt;&lt;/a&gt;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7.1 User-Friendly Messages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Ensure clear and informative error messages are provided to users.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7.2 Consistent Strategy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Implement a consistent error-handling strategy across the application.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8. Testing &lt;a name="testing"&gt;&lt;/a&gt;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8.1 Unit Testing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Document the unit testing strategy and coverage of tests to ensure robust code.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8.2 Load Testing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Consider load testing to assess application performance under heavy traffic conditions.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9. Containerization for Development &lt;a name="containerization-for-development"&gt;&lt;/a&gt;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9.1 Setup Steps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Document steps for running the application in a containerized environment during development.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9.2 Best Practices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Provide guidance on Docker best practices for efficient development workflows.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10. Deployment &lt;a name="deployment"&gt;&lt;/a&gt;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10.1 Deployment Strategy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Document your deployment strategy, including any deployment scripts or automation.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10.2 CI/CD Practices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Consider and document continuous integration and continuous deployment (CI/CD) practices.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11. Monitoring and Analytics &lt;a name="monitoring-and-analytics"&gt;&lt;/a&gt;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11.1 Performance Monitoring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Integrate tools for monitoring application performance in real-time.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11.2 User Behavior Analytics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Use analytics to gain insights into user interactions and improve the system.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12. Scaling Strategies &lt;a name="scaling-strategies"&gt;&lt;/a&gt;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12.1 Horizontal Scaling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Discuss potential strategies for horizontal scaling as the user base grows.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12.2 Cloud Services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Consider cloud services that offer auto-scaling capabilities for improved resource management.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13. Additional Notes &lt;a name="additional-notes"&gt;&lt;/a&gt;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Cross-Origin Resource Sharing (CORS)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Ensure CORS is correctly configured for your API to allow access from permitted origins.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Swagger Documentation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Document each endpoint in your Swagger UI to provide a clear understanding of your API's capabilities.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Security Considerations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Perform regular security audits and stay updated on security best practices to address vulnerabilities promptly.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E0BE2"/>
    <w:multiLevelType w:val="multilevel"/>
    <w:tmpl w:val="E6DE0BE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43D8B"/>
    <w:rsid w:val="5CC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2023-11-27T16:55:00Z</dcterms:created>
  <dc:creator>brian</dc:creator>
  <cp:lastModifiedBy>brian</cp:lastModifiedBy>
  <dcterms:modified xsi:type="dcterms:W3CDTF">2023-11-27T16:57:17Z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A7BB91969541494892149E67D916FE73_11</vt:lpwstr>
  </property>
</Properties>
</file>