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CONTINUOUS ASSESSMENT TEST 1</w:t>
      </w:r>
    </w:p>
    <w:p>
      <w:pPr>
        <w:pStyle w:val="Heading1"/>
      </w:pPr>
      <w:r>
        <w:rPr>
          <w:rFonts w:ascii="Times New Roman" w:cs="Times New Roman" w:eastAsia="Times New Roman" w:hAnsi="Times New Roman"/>
        </w:rPr>
        <w:t xml:space="preserve">RELIGION, CULTURE AND CONFLICT</w:t>
      </w:r>
    </w:p>
    <w:p>
      <w:pPr>
        <w:pStyle w:val="Heading2"/>
      </w:pPr>
      <w:r>
        <w:rPr>
          <w:rFonts w:ascii="Times New Roman" w:cs="Times New Roman" w:eastAsia="Times New Roman" w:hAnsi="Times New Roman"/>
        </w:rPr>
        <w:t xml:space="preserve">Question 1: Critically evaluate Samuel Huntington's "The Clash of Civilizations" in the context of 21st-century conflicts.</w:t>
      </w:r>
    </w:p>
    <w:p>
      <w:pPr>
        <w:pStyle w:val="Heading3"/>
      </w:pPr>
      <w:r>
        <w:rPr>
          <w:rFonts w:ascii="Times New Roman" w:cs="Times New Roman" w:eastAsia="Times New Roman" w:hAnsi="Times New Roman"/>
        </w:rPr>
        <w:t xml:space="preserve">Introduction</w:t>
      </w:r>
    </w:p>
    <w:p>
      <w:pPr>
        <w:jc w:val="both"/>
      </w:pPr>
      <w:r>
        <w:rPr>
          <w:rFonts w:ascii="Times New Roman" w:cs="Times New Roman" w:eastAsia="Times New Roman" w:hAnsi="Times New Roman"/>
        </w:rPr>
        <w:t xml:space="preserve">Samuel Huntington first set out his thesis in a 1993 article in </w:t>
      </w:r>
      <w:r>
        <w:rPr>
          <w:rFonts w:ascii="Times New Roman" w:cs="Times New Roman" w:eastAsia="Times New Roman" w:hAnsi="Times New Roman"/>
          <w:i/>
          <w:iCs/>
        </w:rPr>
        <w:t xml:space="preserve">Foreign Affairs</w:t>
      </w:r>
      <w:r>
        <w:rPr>
          <w:rFonts w:ascii="Times New Roman" w:cs="Times New Roman" w:eastAsia="Times New Roman" w:hAnsi="Times New Roman"/>
        </w:rPr>
        <w:t xml:space="preserve"> and developed it three years later into a book (Huntington, 1993, 1996). Writing just after the Cold War, he rejected the optimism of those who expected liberal democracy to spread smoothly across the globe. In his view, the great divisions of humankind and the dominating source of conflict would no longer be ideological or primarily economic, but cultural. People would increasingly define themselves by ancestry, religion, language, history and values, and they would group into a small number of "civilizations": Western, Islamic, Sinic (Confucian), Hindu, Orthodox, Japanese, Latin American and, possibly, African. The most dangerous conflicts, he predicted, would occur along the "fault lines" between these civilizations, and especially between the West and an alliance of Islamic and Sinic states (Huntington, 1996).</w:t>
      </w:r>
    </w:p>
    <w:p>
      <w:pPr>
        <w:jc w:val="both"/>
      </w:pPr>
      <w:r>
        <w:rPr>
          <w:rFonts w:ascii="Times New Roman" w:cs="Times New Roman" w:eastAsia="Times New Roman" w:hAnsi="Times New Roman"/>
        </w:rPr>
        <w:t xml:space="preserve">Three decades later, the thesis remains one of the most cited and most contested ideas in international relations. It is worth evaluating against what has actually happened in the twenty-first century.</w:t>
      </w:r>
    </w:p>
    <w:p>
      <w:pPr>
        <w:pStyle w:val="Heading3"/>
      </w:pPr>
      <w:r>
        <w:rPr>
          <w:rFonts w:ascii="Times New Roman" w:cs="Times New Roman" w:eastAsia="Times New Roman" w:hAnsi="Times New Roman"/>
        </w:rPr>
        <w:t xml:space="preserve">Where the thesis appears to hold</w:t>
      </w:r>
    </w:p>
    <w:p>
      <w:pPr>
        <w:jc w:val="both"/>
      </w:pPr>
      <w:r>
        <w:rPr>
          <w:rFonts w:ascii="Times New Roman" w:cs="Times New Roman" w:eastAsia="Times New Roman" w:hAnsi="Times New Roman"/>
        </w:rPr>
        <w:t xml:space="preserve">There are reasons why the thesis has refused to go away. The attacks of 11 September 2001, the wars in Afghanistan and Iraq, and the rise of transnational jihadist movements such as al-Qaeda and the Islamic State seemed, to many observers, to confirm the picture of a confrontation between the West and Islam. Groups such as al-Qaeda themselves used civilizational language, presenting their struggle as a defence of the Muslim </w:t>
      </w:r>
      <w:r>
        <w:rPr>
          <w:rFonts w:ascii="Times New Roman" w:cs="Times New Roman" w:eastAsia="Times New Roman" w:hAnsi="Times New Roman"/>
          <w:i/>
          <w:iCs/>
        </w:rPr>
        <w:t xml:space="preserve">ummah</w:t>
      </w:r>
      <w:r>
        <w:rPr>
          <w:rFonts w:ascii="Times New Roman" w:cs="Times New Roman" w:eastAsia="Times New Roman" w:hAnsi="Times New Roman"/>
        </w:rPr>
        <w:t xml:space="preserve"> against "Crusaders and Jews". Huntington also anticipated the return of identity politics in the West: debates over immigration, Islam and national culture in Europe and North America, and the rise of nationalist parties, echo his warning that culture would become central to politics. Russia's appeal to a "Russian world" defined partly by Orthodox Christianity, and the Chinese state's emphasis on a distinct civilizational path, have also been read as evidence that leaders find civilizational framing useful (Huntington, 1996).</w:t>
      </w:r>
    </w:p>
    <w:p>
      <w:pPr>
        <w:jc w:val="both"/>
      </w:pPr>
      <w:r>
        <w:rPr>
          <w:rFonts w:ascii="Times New Roman" w:cs="Times New Roman" w:eastAsia="Times New Roman" w:hAnsi="Times New Roman"/>
        </w:rPr>
        <w:t xml:space="preserve">Huntington was also right in one broad sense. Religion and culture did not fade from politics as modernisation theorists had expected. Identity has remained a powerful resource for mobilisation, and religiously framed violence has been a significant feature of the period, from northern Nigeria and the Sahel to Somalia, Iraq and Syria.</w:t>
      </w:r>
    </w:p>
    <w:p>
      <w:pPr>
        <w:pStyle w:val="Heading3"/>
      </w:pPr>
      <w:r>
        <w:rPr>
          <w:rFonts w:ascii="Times New Roman" w:cs="Times New Roman" w:eastAsia="Times New Roman" w:hAnsi="Times New Roman"/>
        </w:rPr>
        <w:t xml:space="preserve">Where the thesis falls short</w:t>
      </w:r>
    </w:p>
    <w:p>
      <w:pPr>
        <w:jc w:val="both"/>
      </w:pPr>
      <w:r>
        <w:rPr>
          <w:rFonts w:ascii="Times New Roman" w:cs="Times New Roman" w:eastAsia="Times New Roman" w:hAnsi="Times New Roman"/>
        </w:rPr>
        <w:t xml:space="preserve">The weaknesses, however, are serious. The first is empirical. Most violent conflicts since 1990 have taken place </w:t>
      </w:r>
      <w:r>
        <w:rPr>
          <w:rFonts w:ascii="Times New Roman" w:cs="Times New Roman" w:eastAsia="Times New Roman" w:hAnsi="Times New Roman"/>
          <w:i/>
          <w:iCs/>
        </w:rPr>
        <w:t xml:space="preserve">within</w:t>
      </w:r>
      <w:r>
        <w:rPr>
          <w:rFonts w:ascii="Times New Roman" w:cs="Times New Roman" w:eastAsia="Times New Roman" w:hAnsi="Times New Roman"/>
        </w:rPr>
        <w:t xml:space="preserve"> Huntington's civilizations rather than between them. Quantitative studies found little evidence that states from different civilizations were more likely to fight each other than states from the same civilization once realist and liberal factors such as power, contiguity, alliances and democracy were taken into account (Henderson &amp; Tucker, 2001; Russett et al., 2000). Fox (2004), studying ethnic and civil conflicts from 1945 into the new millennium, likewise found that civilizational conflicts did not become proportionally more common after the Cold War.</w:t>
      </w:r>
    </w:p>
    <w:p>
      <w:pPr>
        <w:jc w:val="both"/>
      </w:pPr>
      <w:r>
        <w:rPr>
          <w:rFonts w:ascii="Times New Roman" w:cs="Times New Roman" w:eastAsia="Times New Roman" w:hAnsi="Times New Roman"/>
        </w:rPr>
        <w:t xml:space="preserve">Twenty-first-century wars underline the point. The deadliest violence in the Middle East has been among Muslims: the Syrian civil war, the war in Yemen, and the campaigns of the Islamic State, whose victims were overwhelmingly Muslim. Russia's invasion of Ukraine in 2022 is a war between two largely Orthodox Christian nations, which in Huntington's scheme belong to the same civilization. In Africa, the war in Ethiopia's Tigray region (2020–2022) pitted largely Orthodox Christian communities against each other, while the war that broke out in Sudan in April 2023 is a struggle between two Muslim-led armed forces, the Sudanese Armed Forces and the Rapid Support Forces. The rivalry between Saudi Arabia and Iran, which drives many conflicts in the region, also runs </w:t>
      </w:r>
      <w:r>
        <w:rPr>
          <w:rFonts w:ascii="Times New Roman" w:cs="Times New Roman" w:eastAsia="Times New Roman" w:hAnsi="Times New Roman"/>
          <w:i/>
          <w:iCs/>
        </w:rPr>
        <w:t xml:space="preserve">through</w:t>
      </w:r>
      <w:r>
        <w:rPr>
          <w:rFonts w:ascii="Times New Roman" w:cs="Times New Roman" w:eastAsia="Times New Roman" w:hAnsi="Times New Roman"/>
        </w:rPr>
        <w:t xml:space="preserve"> the Islamic world. None of these cases fits a model of civilizations clashing at their borders.</w:t>
      </w:r>
    </w:p>
    <w:p>
      <w:pPr>
        <w:jc w:val="both"/>
      </w:pPr>
      <w:r>
        <w:rPr>
          <w:rFonts w:ascii="Times New Roman" w:cs="Times New Roman" w:eastAsia="Times New Roman" w:hAnsi="Times New Roman"/>
        </w:rPr>
        <w:t xml:space="preserve">The second weakness is conceptual. Huntington treats civilizations as coherent, bounded blocs with shared values and interests. In reality, each so-called civilization is internally divided by sect, ethnicity, class, ideology and national interest. Edward Said (2001) called this a "clash of ignorance", arguing that Huntington turned vast, dynamic and contested traditions into fixed "shut-down, sealed-off entities". Amartya Sen (2006) makes a related argument: every person holds many identities at once, as a citizen, a worker, a member of a profession, a believer, a speaker of a language, and reducing people to a single civilizational identity is not only inaccurate but dangerous, because it narrows the space for the overlapping loyalties that make peace possible. The classification itself is also uneven. Huntington was unsure whether Africa even constituted a civilization, and his scheme struggles with places like Ethiopia, Nigeria or Kenya, where Christian, Muslim and indigenous traditions coexist within the same nation and often within the same families.</w:t>
      </w:r>
    </w:p>
    <w:p>
      <w:pPr>
        <w:jc w:val="both"/>
      </w:pPr>
      <w:r>
        <w:rPr>
          <w:rFonts w:ascii="Times New Roman" w:cs="Times New Roman" w:eastAsia="Times New Roman" w:hAnsi="Times New Roman"/>
        </w:rPr>
        <w:t xml:space="preserve">Third, the thesis is weak on causation. It tells us that conflicts are framed in cultural terms but not why they start or escalate. Research on civil war suggests that state weakness, poverty, rough terrain, access to lootable resources and political exclusion are stronger predictors of conflict onset than ethnic or religious diversity as such (Collier &amp; Hoeffler, 2004; Fearon &amp; Laitin, 2003). Al-Shabaab's insurgency in Somalia and its attacks in Kenya, for example, cannot be understood without reference to the collapse of the Somali state, clan politics, foreign intervention and the economic marginalisation of Kenya's north-eastern and coastal regions.</w:t>
      </w:r>
    </w:p>
    <w:p>
      <w:pPr>
        <w:jc w:val="both"/>
      </w:pPr>
      <w:r>
        <w:rPr>
          <w:rFonts w:ascii="Times New Roman" w:cs="Times New Roman" w:eastAsia="Times New Roman" w:hAnsi="Times New Roman"/>
        </w:rPr>
        <w:t xml:space="preserve">Finally, critics warn that the thesis risks becoming self-fulfilling. If policy makers and publics come to believe that the West and Islam are destined to clash, they may adopt policies, such as discriminatory security measures or interventions justified in civilizational terms, that alienate ordinary Muslims and hand extremists a ready-made narrative (Mamdani, 2004). Extremist groups and Western populists alike have found Huntington's language useful precisely because it simplifies complex grievances into a story of "us" versus "them".</w:t>
      </w:r>
    </w:p>
    <w:p>
      <w:pPr>
        <w:pStyle w:val="Heading3"/>
      </w:pPr>
      <w:r>
        <w:rPr>
          <w:rFonts w:ascii="Times New Roman" w:cs="Times New Roman" w:eastAsia="Times New Roman" w:hAnsi="Times New Roman"/>
        </w:rPr>
        <w:t xml:space="preserve">Conclusion</w:t>
      </w:r>
    </w:p>
    <w:p>
      <w:pPr>
        <w:jc w:val="both"/>
      </w:pPr>
      <w:r>
        <w:rPr>
          <w:rFonts w:ascii="Times New Roman" w:cs="Times New Roman" w:eastAsia="Times New Roman" w:hAnsi="Times New Roman"/>
        </w:rPr>
        <w:t xml:space="preserve">Huntington deserves credit for recognising, earlier than many, that culture and religion would remain central to world politics after the Cold War. As a predictive and explanatory theory of twenty-first-century conflict, however, the clash of civilizations is unconvincing. Most wars have been fought within, not between, civilizations; civilizations are too internally divided to act as unified blocs; and the root causes of violence usually lie in politics, economics and state capacity. The thesis is best understood not as an accurate map of conflict, but as a description of a powerful </w:t>
      </w:r>
      <w:r>
        <w:rPr>
          <w:rFonts w:ascii="Times New Roman" w:cs="Times New Roman" w:eastAsia="Times New Roman" w:hAnsi="Times New Roman"/>
          <w:i/>
          <w:iCs/>
        </w:rPr>
        <w:t xml:space="preserve">framing</w:t>
      </w:r>
      <w:r>
        <w:rPr>
          <w:rFonts w:ascii="Times New Roman" w:cs="Times New Roman" w:eastAsia="Times New Roman" w:hAnsi="Times New Roman"/>
        </w:rPr>
        <w:t xml:space="preserve"> that political actors sometimes use to mobilise support, and whose spread can make conflict more likely.</w:t>
      </w:r>
    </w:p>
    <w:p>
      <w:pPr>
        <w:pStyle w:val="Heading2"/>
      </w:pPr>
      <w:r>
        <w:rPr>
          <w:rFonts w:ascii="Times New Roman" w:cs="Times New Roman" w:eastAsia="Times New Roman" w:hAnsi="Times New Roman"/>
        </w:rPr>
        <w:t xml:space="preserve">Question 2: To what extent does religion function as a primary fault line, versus a proxy for underlying political, economic, or resource-based grievances?</w:t>
      </w:r>
    </w:p>
    <w:p>
      <w:pPr>
        <w:pStyle w:val="Heading3"/>
      </w:pPr>
      <w:r>
        <w:rPr>
          <w:rFonts w:ascii="Times New Roman" w:cs="Times New Roman" w:eastAsia="Times New Roman" w:hAnsi="Times New Roman"/>
        </w:rPr>
        <w:t xml:space="preserve">Introduction</w:t>
      </w:r>
    </w:p>
    <w:p>
      <w:pPr>
        <w:jc w:val="both"/>
      </w:pPr>
      <w:r>
        <w:rPr>
          <w:rFonts w:ascii="Times New Roman" w:cs="Times New Roman" w:eastAsia="Times New Roman" w:hAnsi="Times New Roman"/>
        </w:rPr>
        <w:t xml:space="preserve">One of the oldest debates in the study of religion and conflict is whether religion is a genuine cause of violence or a cover for other interests. On one side are those who argue that religious beliefs, by dealing in absolutes, sacred space and cosmic struggle, can drive conflict in their own right (Juergensmeyer, 2003). On the other are those who see religion mainly as a marker or mobilising tool that elites use to pursue power, land, oil or jobs (Brass, 1997). The most persuasive position lies between these poles: religion is rarely the sole cause of conflict, but it is more than a mere proxy, because once a conflict has been framed in religious terms, religion changes how the conflict is fought and how hard it is to end.</w:t>
      </w:r>
    </w:p>
    <w:p>
      <w:pPr>
        <w:pStyle w:val="Heading3"/>
      </w:pPr>
      <w:r>
        <w:rPr>
          <w:rFonts w:ascii="Times New Roman" w:cs="Times New Roman" w:eastAsia="Times New Roman" w:hAnsi="Times New Roman"/>
        </w:rPr>
        <w:t xml:space="preserve">Religion as a proxy for other grievances</w:t>
      </w:r>
    </w:p>
    <w:p>
      <w:pPr>
        <w:jc w:val="both"/>
      </w:pPr>
      <w:r>
        <w:rPr>
          <w:rFonts w:ascii="Times New Roman" w:cs="Times New Roman" w:eastAsia="Times New Roman" w:hAnsi="Times New Roman"/>
        </w:rPr>
        <w:t xml:space="preserve">A large body of evidence supports the proxy view. Cross-national studies of civil war onset find that religious or ethnic diversity in itself does not predict conflict well; poverty, weak states, political exclusion and access to resources matter more (Collier &amp; Hoeffler, 2004; Fearon &amp; Laitin, 2003). Many conflicts commonly described as religious turn out, on closer examination, to be rooted in material and political disputes.</w:t>
      </w:r>
    </w:p>
    <w:p>
      <w:pPr>
        <w:jc w:val="both"/>
      </w:pPr>
      <w:r>
        <w:rPr>
          <w:rFonts w:ascii="Times New Roman" w:cs="Times New Roman" w:eastAsia="Times New Roman" w:hAnsi="Times New Roman"/>
        </w:rPr>
        <w:t xml:space="preserve">Nigeria offers clear examples. Clashes between largely Muslim Fulani herders and largely Christian farming communities in the Middle Belt are often reported as religious violence. Yet the underlying drivers include competition over land and water, the southward movement of herders as a result of desertification, population growth, the breakdown of traditional grazing arrangements and the failure of the state to provide security and justice. Religion overlaps with occupation and ethnicity, and it gives the conflict its vocabulary, but it is not what the parties are mainly fighting over. Similarly, the rise of Boko Haram cannot be separated from deep poverty, youth unemployment, poor governance and police brutality in north-eastern Nigeria, even though the group frames its goals in religious terms.</w:t>
      </w:r>
    </w:p>
    <w:p>
      <w:pPr>
        <w:jc w:val="both"/>
      </w:pPr>
      <w:r>
        <w:rPr>
          <w:rFonts w:ascii="Times New Roman" w:cs="Times New Roman" w:eastAsia="Times New Roman" w:hAnsi="Times New Roman"/>
        </w:rPr>
        <w:t xml:space="preserve">The Middle East shows how religious divisions can be "sectarianised" by political actors. Hashemi and Postel (2017) argue that the Sunni–Shia divide is not an ancient hatred that inevitably produces violence; rather, authoritarian regimes and regional powers, notably Saudi Arabia and Iran, have deliberately mobilised sectarian identities to shore up their rule and expand their influence, particularly after the 2003 invasion of Iraq and the 2011 uprisings. In the Central African Republic, the violence between the mainly Muslim Seleka coalition and the mainly Christian anti-balaka militias from 2013 grew out of a struggle for state power and control of resources, and only later took on a strongly religious character. In Kenya, too, analyses of radicalisation at the coast and in the north-east point to economic marginalisation, land injustice and heavy-handed security operations as key drivers, alongside religious ideology.</w:t>
      </w:r>
    </w:p>
    <w:p>
      <w:pPr>
        <w:pStyle w:val="Heading3"/>
      </w:pPr>
      <w:r>
        <w:rPr>
          <w:rFonts w:ascii="Times New Roman" w:cs="Times New Roman" w:eastAsia="Times New Roman" w:hAnsi="Times New Roman"/>
        </w:rPr>
        <w:t xml:space="preserve">Religion as a primary fault line</w:t>
      </w:r>
    </w:p>
    <w:p>
      <w:pPr>
        <w:jc w:val="both"/>
      </w:pPr>
      <w:r>
        <w:rPr>
          <w:rFonts w:ascii="Times New Roman" w:cs="Times New Roman" w:eastAsia="Times New Roman" w:hAnsi="Times New Roman"/>
        </w:rPr>
        <w:t xml:space="preserve">Yet treating religion purely as a proxy misses something important. Hasenclever and Rittberger (2000) suggest that even where the roots of conflict are political or economic, religion can independently shape whether and how conflicts become violent. Several features of religion help explain this.</w:t>
      </w:r>
    </w:p>
    <w:p>
      <w:pPr>
        <w:jc w:val="both"/>
      </w:pPr>
      <w:r>
        <w:rPr>
          <w:rFonts w:ascii="Times New Roman" w:cs="Times New Roman" w:eastAsia="Times New Roman" w:hAnsi="Times New Roman"/>
        </w:rPr>
        <w:t xml:space="preserve">First, religion can turn negotiable interests into non-negotiable values. When territory becomes </w:t>
      </w:r>
      <w:r>
        <w:rPr>
          <w:rFonts w:ascii="Times New Roman" w:cs="Times New Roman" w:eastAsia="Times New Roman" w:hAnsi="Times New Roman"/>
          <w:i/>
          <w:iCs/>
        </w:rPr>
        <w:t xml:space="preserve">holy</w:t>
      </w:r>
      <w:r>
        <w:rPr>
          <w:rFonts w:ascii="Times New Roman" w:cs="Times New Roman" w:eastAsia="Times New Roman" w:hAnsi="Times New Roman"/>
        </w:rPr>
        <w:t xml:space="preserve"> land, or a political cause becomes a divine duty, compromise is harder to accept. Disputes over sacred sites, such as Jerusalem or the Babri Masjid site in Ayodhya, India, are especially difficult to resolve. Svensson (2007) found that civil wars in which the parties make explicitly religious demands are less likely to end in negotiated settlements. Second, religion offers powerful resources for mobilisation: ready-made networks of mosques, churches and schools, respected leaders, and symbols that can convert anger into collective action. Third, religious ideas of martyrdom, cosmic war and reward in the afterlife can lower the perceived cost of fighting and justify extreme violence, including suicide attacks (Juergensmeyer, 2003). Toft (2007) shows that religious civil wars, especially where religion is central to the dispute, tend to be bloodier and to last longer than other civil wars.</w:t>
      </w:r>
    </w:p>
    <w:p>
      <w:pPr>
        <w:jc w:val="both"/>
      </w:pPr>
      <w:r>
        <w:rPr>
          <w:rFonts w:ascii="Times New Roman" w:cs="Times New Roman" w:eastAsia="Times New Roman" w:hAnsi="Times New Roman"/>
        </w:rPr>
        <w:t xml:space="preserve">There are also movements whose goals are primarily religious. The Islamic State's project of a caliphate governed by its interpretation of sharia, or the Lord's Resistance Army's stated aim of ruling Uganda according to the Ten Commandments, cannot be reduced entirely to economic grievance, even if poverty and marginalisation supplied many of their recruits.</w:t>
      </w:r>
    </w:p>
    <w:p>
      <w:pPr>
        <w:pStyle w:val="Heading3"/>
      </w:pPr>
      <w:r>
        <w:rPr>
          <w:rFonts w:ascii="Times New Roman" w:cs="Times New Roman" w:eastAsia="Times New Roman" w:hAnsi="Times New Roman"/>
        </w:rPr>
        <w:t xml:space="preserve">Assessment</w:t>
      </w:r>
    </w:p>
    <w:p>
      <w:pPr>
        <w:jc w:val="both"/>
      </w:pPr>
      <w:r>
        <w:rPr>
          <w:rFonts w:ascii="Times New Roman" w:cs="Times New Roman" w:eastAsia="Times New Roman" w:hAnsi="Times New Roman"/>
        </w:rPr>
        <w:t xml:space="preserve">The evidence suggests that religion is rarely the </w:t>
      </w:r>
      <w:r>
        <w:rPr>
          <w:rFonts w:ascii="Times New Roman" w:cs="Times New Roman" w:eastAsia="Times New Roman" w:hAnsi="Times New Roman"/>
          <w:i/>
          <w:iCs/>
        </w:rPr>
        <w:t xml:space="preserve">primary</w:t>
      </w:r>
      <w:r>
        <w:rPr>
          <w:rFonts w:ascii="Times New Roman" w:cs="Times New Roman" w:eastAsia="Times New Roman" w:hAnsi="Times New Roman"/>
        </w:rPr>
        <w:t xml:space="preserve"> fault line at the start of a conflict. Political exclusion, competition for land and resources, state weakness and economic inequality usually come first. However, religion is more than a proxy. It shapes how grievances are understood, provides the networks and symbols through which people are mobilised, and can make conflicts more intense and harder to settle once it becomes central. Appleby (2000) captures this with the idea of the "ambivalence of the sacred": the same traditions that are used to justify violence also supply some of the most effective peacebuilders, as shown by inter-religious councils in Sierra Leone, Nigeria and Kenya. The relationship is therefore best described as interactive. Religion often begins as a marker that overlaps with other grievances, but through framing and escalation it can become a fault line in its own right.</w:t>
      </w:r>
    </w:p>
    <w:p>
      <w:pPr>
        <w:pStyle w:val="Heading2"/>
      </w:pPr>
      <w:r>
        <w:rPr>
          <w:rFonts w:ascii="Times New Roman" w:cs="Times New Roman" w:eastAsia="Times New Roman" w:hAnsi="Times New Roman"/>
        </w:rPr>
        <w:t xml:space="preserve">Question 3: How does Johan Galtung's concept of "cultural violence" help explain the legitimation and perpetuation of direct and structural violence in religiously framed conflicts?</w:t>
      </w:r>
    </w:p>
    <w:p>
      <w:pPr>
        <w:pStyle w:val="Heading3"/>
      </w:pPr>
      <w:r>
        <w:rPr>
          <w:rFonts w:ascii="Times New Roman" w:cs="Times New Roman" w:eastAsia="Times New Roman" w:hAnsi="Times New Roman"/>
        </w:rPr>
        <w:t xml:space="preserve">Introduction</w:t>
      </w:r>
    </w:p>
    <w:p>
      <w:pPr>
        <w:jc w:val="both"/>
      </w:pPr>
      <w:r>
        <w:rPr>
          <w:rFonts w:ascii="Times New Roman" w:cs="Times New Roman" w:eastAsia="Times New Roman" w:hAnsi="Times New Roman"/>
        </w:rPr>
        <w:t xml:space="preserve">Johan Galtung, one of the founders of peace research, argued that violence is much broader than physical harm. In his early work he distinguished </w:t>
      </w:r>
      <w:r>
        <w:rPr>
          <w:rFonts w:ascii="Times New Roman" w:cs="Times New Roman" w:eastAsia="Times New Roman" w:hAnsi="Times New Roman"/>
          <w:i/>
          <w:iCs/>
        </w:rPr>
        <w:t xml:space="preserve">direct violence</w:t>
      </w:r>
      <w:r>
        <w:rPr>
          <w:rFonts w:ascii="Times New Roman" w:cs="Times New Roman" w:eastAsia="Times New Roman" w:hAnsi="Times New Roman"/>
        </w:rPr>
        <w:t xml:space="preserve">, which is personal and visible (killing, maiming, torture, displacement), from </w:t>
      </w:r>
      <w:r>
        <w:rPr>
          <w:rFonts w:ascii="Times New Roman" w:cs="Times New Roman" w:eastAsia="Times New Roman" w:hAnsi="Times New Roman"/>
          <w:i/>
          <w:iCs/>
        </w:rPr>
        <w:t xml:space="preserve">structural violence</w:t>
      </w:r>
      <w:r>
        <w:rPr>
          <w:rFonts w:ascii="Times New Roman" w:cs="Times New Roman" w:eastAsia="Times New Roman" w:hAnsi="Times New Roman"/>
        </w:rPr>
        <w:t xml:space="preserve">, which is built into social, economic and political systems and shows up as unequal life chances, poverty, exclusion and avoidable death (Galtung, 1969). Two decades later he added a third type, </w:t>
      </w:r>
      <w:r>
        <w:rPr>
          <w:rFonts w:ascii="Times New Roman" w:cs="Times New Roman" w:eastAsia="Times New Roman" w:hAnsi="Times New Roman"/>
          <w:i/>
          <w:iCs/>
        </w:rPr>
        <w:t xml:space="preserve">cultural violence</w:t>
      </w:r>
      <w:r>
        <w:rPr>
          <w:rFonts w:ascii="Times New Roman" w:cs="Times New Roman" w:eastAsia="Times New Roman" w:hAnsi="Times New Roman"/>
        </w:rPr>
        <w:t xml:space="preserve">, which he defined as "those aspects of culture, the symbolic sphere of our existence, exemplified by religion and ideology, language and art, empirical science and formal science, that can be used to justify or legitimize direct or structural violence" (Galtung, 1990, p. 291).</w:t>
      </w:r>
    </w:p>
    <w:p>
      <w:pPr>
        <w:pStyle w:val="Heading3"/>
      </w:pPr>
      <w:r>
        <w:rPr>
          <w:rFonts w:ascii="Times New Roman" w:cs="Times New Roman" w:eastAsia="Times New Roman" w:hAnsi="Times New Roman"/>
        </w:rPr>
        <w:t xml:space="preserve">The violence triangle</w:t>
      </w:r>
    </w:p>
    <w:p>
      <w:pPr>
        <w:jc w:val="both"/>
      </w:pPr>
      <w:r>
        <w:rPr>
          <w:rFonts w:ascii="Times New Roman" w:cs="Times New Roman" w:eastAsia="Times New Roman" w:hAnsi="Times New Roman"/>
        </w:rPr>
        <w:t xml:space="preserve">Galtung (1990) presents the three types as a triangle. Direct violence is an </w:t>
      </w:r>
      <w:r>
        <w:rPr>
          <w:rFonts w:ascii="Times New Roman" w:cs="Times New Roman" w:eastAsia="Times New Roman" w:hAnsi="Times New Roman"/>
          <w:i/>
          <w:iCs/>
        </w:rPr>
        <w:t xml:space="preserve">event</w:t>
      </w:r>
      <w:r>
        <w:rPr>
          <w:rFonts w:ascii="Times New Roman" w:cs="Times New Roman" w:eastAsia="Times New Roman" w:hAnsi="Times New Roman"/>
        </w:rPr>
        <w:t xml:space="preserve">, structural violence is a </w:t>
      </w:r>
      <w:r>
        <w:rPr>
          <w:rFonts w:ascii="Times New Roman" w:cs="Times New Roman" w:eastAsia="Times New Roman" w:hAnsi="Times New Roman"/>
          <w:i/>
          <w:iCs/>
        </w:rPr>
        <w:t xml:space="preserve">process</w:t>
      </w:r>
      <w:r>
        <w:rPr>
          <w:rFonts w:ascii="Times New Roman" w:cs="Times New Roman" w:eastAsia="Times New Roman" w:hAnsi="Times New Roman"/>
        </w:rPr>
        <w:t xml:space="preserve">, and cultural violence is an </w:t>
      </w:r>
      <w:r>
        <w:rPr>
          <w:rFonts w:ascii="Times New Roman" w:cs="Times New Roman" w:eastAsia="Times New Roman" w:hAnsi="Times New Roman"/>
          <w:i/>
          <w:iCs/>
        </w:rPr>
        <w:t xml:space="preserve">invariant</w:t>
      </w:r>
      <w:r>
        <w:rPr>
          <w:rFonts w:ascii="Times New Roman" w:cs="Times New Roman" w:eastAsia="Times New Roman" w:hAnsi="Times New Roman"/>
        </w:rPr>
        <w:t xml:space="preserve"> or "permanence" that changes very slowly. Cultural violence works by making direct and structural violence look right, or at least not wrong. It changes the moral colour of an act "from red/wrong to green/right or at least to yellow/acceptable" (Galtung, 1990, p. 292), and it makes reality opaque so that people do not see violent acts or structures as violent at all. Violence can flow in any direction around the triangle, but cultural violence is especially important because it lies underneath and feeds the other two.</w:t>
      </w:r>
    </w:p>
    <w:p>
      <w:pPr>
        <w:pStyle w:val="Heading3"/>
      </w:pPr>
      <w:r>
        <w:rPr>
          <w:rFonts w:ascii="Times New Roman" w:cs="Times New Roman" w:eastAsia="Times New Roman" w:hAnsi="Times New Roman"/>
        </w:rPr>
        <w:t xml:space="preserve">Legitimation of direct violence</w:t>
      </w:r>
    </w:p>
    <w:p>
      <w:pPr>
        <w:jc w:val="both"/>
      </w:pPr>
      <w:r>
        <w:rPr>
          <w:rFonts w:ascii="Times New Roman" w:cs="Times New Roman" w:eastAsia="Times New Roman" w:hAnsi="Times New Roman"/>
        </w:rPr>
        <w:t xml:space="preserve">Religion is one of Galtung's main examples. Religious traditions contain ideas that can be used to divide the world into the chosen and the unchosen, the saved and the damned, the faithful and the infidel. When these ideas are taken up by political actors, they can turn killing into a sacred duty. The concept of a "chosen people" with a divine claim to land, or the portrayal of enemies as agents of evil, makes violence against them seem justified. Juergensmeyer (2003) describes how religious activists imagine a "cosmic war" between good and evil, in which acts of terror become symbolic performances in a divine struggle. The Islamic State's use of the language of </w:t>
      </w:r>
      <w:r>
        <w:rPr>
          <w:rFonts w:ascii="Times New Roman" w:cs="Times New Roman" w:eastAsia="Times New Roman" w:hAnsi="Times New Roman"/>
          <w:i/>
          <w:iCs/>
        </w:rPr>
        <w:t xml:space="preserve">takfir</w:t>
      </w:r>
      <w:r>
        <w:rPr>
          <w:rFonts w:ascii="Times New Roman" w:cs="Times New Roman" w:eastAsia="Times New Roman" w:hAnsi="Times New Roman"/>
        </w:rPr>
        <w:t xml:space="preserve"> (declaring other Muslims apostates) to justify massacres, the Lord's Resistance Army's use of biblical imagery in northern Uganda, the anti-Muslim rhetoric of radical Buddhist monks in Myanmar that preceded attacks on the Rohingya, and the use of religious labels by militias in the Central African Republic all illustrate how cultural violence prepares the ground for direct violence.</w:t>
      </w:r>
    </w:p>
    <w:p>
      <w:pPr>
        <w:jc w:val="both"/>
      </w:pPr>
      <w:r>
        <w:rPr>
          <w:rFonts w:ascii="Times New Roman" w:cs="Times New Roman" w:eastAsia="Times New Roman" w:hAnsi="Times New Roman"/>
        </w:rPr>
        <w:t xml:space="preserve">Language plays a central role. Dehumanising labels, sermons, songs and media messages strip the "other" of humanity before any weapon is raised. The Rwandan genocide was not religious, but it shows the mechanism clearly: years of propaganda describing Tutsi as </w:t>
      </w:r>
      <w:r>
        <w:rPr>
          <w:rFonts w:ascii="Times New Roman" w:cs="Times New Roman" w:eastAsia="Times New Roman" w:hAnsi="Times New Roman"/>
          <w:i/>
          <w:iCs/>
        </w:rPr>
        <w:t xml:space="preserve">inyenzi</w:t>
      </w:r>
      <w:r>
        <w:rPr>
          <w:rFonts w:ascii="Times New Roman" w:cs="Times New Roman" w:eastAsia="Times New Roman" w:hAnsi="Times New Roman"/>
        </w:rPr>
        <w:t xml:space="preserve"> ("cockroaches") made mass killing thinkable. In religiously framed conflicts, similar labels such as "infidel", "apostate" or "crusader" perform the same work.</w:t>
      </w:r>
    </w:p>
    <w:p>
      <w:pPr>
        <w:pStyle w:val="Heading3"/>
      </w:pPr>
      <w:r>
        <w:rPr>
          <w:rFonts w:ascii="Times New Roman" w:cs="Times New Roman" w:eastAsia="Times New Roman" w:hAnsi="Times New Roman"/>
        </w:rPr>
        <w:t xml:space="preserve">Legitimation and perpetuation of structural violence</w:t>
      </w:r>
    </w:p>
    <w:p>
      <w:pPr>
        <w:jc w:val="both"/>
      </w:pPr>
      <w:r>
        <w:rPr>
          <w:rFonts w:ascii="Times New Roman" w:cs="Times New Roman" w:eastAsia="Times New Roman" w:hAnsi="Times New Roman"/>
        </w:rPr>
        <w:t xml:space="preserve">Cultural violence also explains why structural violence can persist for long periods without provoking outrage. Religious and cultural ideas can present unequal arrangements as natural, divinely ordained or deserved. The Hindu caste system, which has historically justified the exclusion of Dalits from land, education and temples, is a classic example that Galtung himself discusses. Interpretations of religious texts have also been used to justify the subordination of women, the denial of citizenship rights to religious minorities and the economic marginalisation of particular communities. In Myanmar, the 1982 citizenship law effectively rendered the Rohingya stateless, a structural exclusion that was sustained by a narrative depicting them as foreign "Bengali" intruders in a Buddhist nation. Once such ideas are widely accepted, discrimination comes to look like common sense.</w:t>
      </w:r>
    </w:p>
    <w:p>
      <w:pPr>
        <w:pStyle w:val="Heading3"/>
      </w:pPr>
      <w:r>
        <w:rPr>
          <w:rFonts w:ascii="Times New Roman" w:cs="Times New Roman" w:eastAsia="Times New Roman" w:hAnsi="Times New Roman"/>
        </w:rPr>
        <w:t xml:space="preserve">How the cycle is perpetuated</w:t>
      </w:r>
    </w:p>
    <w:p>
      <w:pPr>
        <w:jc w:val="both"/>
      </w:pPr>
      <w:r>
        <w:rPr>
          <w:rFonts w:ascii="Times New Roman" w:cs="Times New Roman" w:eastAsia="Times New Roman" w:hAnsi="Times New Roman"/>
        </w:rPr>
        <w:t xml:space="preserve">The value of the concept lies in showing how the three types of violence reinforce each other over time. Structural violence, such as the exclusion of a religious minority from land, jobs or political power, generates grievance. Cultural violence frames that grievance in religious terms, both for the excluded group (who may come to see their suffering as persecution of the faith) and for the dominant group (who may see the minority as a threat). Eventually direct violence erupts. After the fighting, memories of martyrdom, desecrated sites and atrocities are absorbed into religious narratives, songs and commemorations, creating fresh cultural violence that will justify the next round. In this way, conflicts become self-perpetuating, as has been seen in the cycles of violence in Nigeria's Plateau State or in sectarian conflict in Iraq.</w:t>
      </w:r>
    </w:p>
    <w:p>
      <w:pPr>
        <w:pStyle w:val="Heading3"/>
      </w:pPr>
      <w:r>
        <w:rPr>
          <w:rFonts w:ascii="Times New Roman" w:cs="Times New Roman" w:eastAsia="Times New Roman" w:hAnsi="Times New Roman"/>
        </w:rPr>
        <w:t xml:space="preserve">Strengths and limitations</w:t>
      </w:r>
    </w:p>
    <w:p>
      <w:pPr>
        <w:jc w:val="both"/>
      </w:pPr>
      <w:r>
        <w:rPr>
          <w:rFonts w:ascii="Times New Roman" w:cs="Times New Roman" w:eastAsia="Times New Roman" w:hAnsi="Times New Roman"/>
        </w:rPr>
        <w:t xml:space="preserve">The main strength of the concept is that it directs attention beyond the battlefield to the ideas, symbols and narratives that make violence possible. It also explains why peace agreements that end direct violence often fail to produce lasting peace: unless structural and cultural violence are addressed, the conditions for renewed conflict remain. This has practical implications for peacebuilding, including the reform of school curricula, interfaith dialogue, counter-narratives from religious leaders and attention to hate speech in the media.</w:t>
      </w:r>
    </w:p>
    <w:p>
      <w:pPr>
        <w:jc w:val="both"/>
      </w:pPr>
      <w:r>
        <w:rPr>
          <w:rFonts w:ascii="Times New Roman" w:cs="Times New Roman" w:eastAsia="Times New Roman" w:hAnsi="Times New Roman"/>
        </w:rPr>
        <w:t xml:space="preserve">The concept also has limitations. Critics argue that "violence" becomes so broad that it loses analytical precision; if almost any cultural element can be violent, the term risks becoming a label for anything the analyst disapproves of. The concept also says relatively little about agency: it identifies cultural resources that </w:t>
      </w:r>
      <w:r>
        <w:rPr>
          <w:rFonts w:ascii="Times New Roman" w:cs="Times New Roman" w:eastAsia="Times New Roman" w:hAnsi="Times New Roman"/>
          <w:i/>
          <w:iCs/>
        </w:rPr>
        <w:t xml:space="preserve">can</w:t>
      </w:r>
      <w:r>
        <w:rPr>
          <w:rFonts w:ascii="Times New Roman" w:cs="Times New Roman" w:eastAsia="Times New Roman" w:hAnsi="Times New Roman"/>
        </w:rPr>
        <w:t xml:space="preserve"> legitimise violence but does not explain why certain actors choose to activate them at particular moments. For that, Galtung's framework needs to be combined with instrumentalist and constructivist accounts of how elites mobilise identity (discussed in Questions 4 and 5). Finally, it can underplay the fact that religion also provides strong cultural resources for peace, what Galtung himself called </w:t>
      </w:r>
      <w:r>
        <w:rPr>
          <w:rFonts w:ascii="Times New Roman" w:cs="Times New Roman" w:eastAsia="Times New Roman" w:hAnsi="Times New Roman"/>
          <w:i/>
          <w:iCs/>
        </w:rPr>
        <w:t xml:space="preserve">cultural peace</w:t>
      </w:r>
      <w:r>
        <w:rPr>
          <w:rFonts w:ascii="Times New Roman" w:cs="Times New Roman" w:eastAsia="Times New Roman" w:hAnsi="Times New Roman"/>
        </w:rPr>
        <w:t xml:space="preserve"> and what Appleby (2000) calls the ambivalence of the sacred.</w:t>
      </w:r>
    </w:p>
    <w:p>
      <w:pPr>
        <w:pStyle w:val="Heading3"/>
      </w:pPr>
      <w:r>
        <w:rPr>
          <w:rFonts w:ascii="Times New Roman" w:cs="Times New Roman" w:eastAsia="Times New Roman" w:hAnsi="Times New Roman"/>
        </w:rPr>
        <w:t xml:space="preserve">Conclusion</w:t>
      </w:r>
    </w:p>
    <w:p>
      <w:pPr>
        <w:jc w:val="both"/>
      </w:pPr>
      <w:r>
        <w:rPr>
          <w:rFonts w:ascii="Times New Roman" w:cs="Times New Roman" w:eastAsia="Times New Roman" w:hAnsi="Times New Roman"/>
        </w:rPr>
        <w:t xml:space="preserve">Galtung's concept of cultural violence is a useful lens for understanding religiously framed conflicts. It shows how religious ideas, language and symbols can make killing seem righteous, make inequality seem natural and keep cycles of violence going long after the original disputes have faded. Its greatest contribution is the reminder that lasting peace requires transforming not only behaviour and structures but also the cultural narratives that justify them.</w:t>
      </w:r>
    </w:p>
    <w:p>
      <w:pPr>
        <w:pStyle w:val="Heading2"/>
      </w:pPr>
      <w:r>
        <w:rPr>
          <w:rFonts w:ascii="Times New Roman" w:cs="Times New Roman" w:eastAsia="Times New Roman" w:hAnsi="Times New Roman"/>
        </w:rPr>
        <w:t xml:space="preserve">Question 4: Analyze the debate between the "primordialist" and "instrumentalist" approaches to religious and cultural identity in conflict.</w:t>
      </w:r>
    </w:p>
    <w:p>
      <w:pPr>
        <w:pStyle w:val="Heading3"/>
      </w:pPr>
      <w:r>
        <w:rPr>
          <w:rFonts w:ascii="Times New Roman" w:cs="Times New Roman" w:eastAsia="Times New Roman" w:hAnsi="Times New Roman"/>
        </w:rPr>
        <w:t xml:space="preserve">Introduction</w:t>
      </w:r>
    </w:p>
    <w:p>
      <w:pPr>
        <w:jc w:val="both"/>
      </w:pPr>
      <w:r>
        <w:rPr>
          <w:rFonts w:ascii="Times New Roman" w:cs="Times New Roman" w:eastAsia="Times New Roman" w:hAnsi="Times New Roman"/>
        </w:rPr>
        <w:t xml:space="preserve">Why do people fight in the name of religion, ethnicity or culture? Scholars have answered this question from two broad positions. Primordialists see such identities as deep, enduring and emotionally powerful attachments that people are born into. Instrumentalists see them as flexible resources that are activated and manipulated, usually by elites, in pursuit of power and material interests. The debate matters because each position implies a different explanation of conflict and a different approach to building peace.</w:t>
      </w:r>
    </w:p>
    <w:p>
      <w:pPr>
        <w:pStyle w:val="Heading3"/>
      </w:pPr>
      <w:r>
        <w:rPr>
          <w:rFonts w:ascii="Times New Roman" w:cs="Times New Roman" w:eastAsia="Times New Roman" w:hAnsi="Times New Roman"/>
        </w:rPr>
        <w:t xml:space="preserve">The primordialist approach</w:t>
      </w:r>
    </w:p>
    <w:p>
      <w:pPr>
        <w:jc w:val="both"/>
      </w:pPr>
      <w:r>
        <w:rPr>
          <w:rFonts w:ascii="Times New Roman" w:cs="Times New Roman" w:eastAsia="Times New Roman" w:hAnsi="Times New Roman"/>
        </w:rPr>
        <w:t xml:space="preserve">The primordialist approach draws on the work of Edward Shils (1957) and Clifford Geertz (1963). Geertz described "primordial attachments" as the ties that stem from the "assumed givens" of social existence: kinship, religion, language, region and custom. These ties have an "ineffable, and at times overpowering, coerciveness in and of themselves" (Geertz, 1963, p. 109). Harold Isaacs (1975) likewise wrote of the "basic group identity" that people acquire at birth. For primordialists, religious and ethnic identities are not chosen; they are deeply felt, passed down across generations and tied to ideas of common ancestry, sacred history and shared destiny.</w:t>
      </w:r>
    </w:p>
    <w:p>
      <w:pPr>
        <w:jc w:val="both"/>
      </w:pPr>
      <w:r>
        <w:rPr>
          <w:rFonts w:ascii="Times New Roman" w:cs="Times New Roman" w:eastAsia="Times New Roman" w:hAnsi="Times New Roman"/>
        </w:rPr>
        <w:t xml:space="preserve">Applied to conflict, primordialism suggests that violence between groups grows out of long-standing differences and historical antagonisms. Popular accounts of the wars in the former Yugoslavia as the eruption of "ancient hatreds", or of Sunni–Shia violence as a continuation of a seventh-century split, reflect a crude version of this view. Huntington's clash of civilizations also has a primordial flavour, since it treats cultural and religious identities as stable and as the natural basis of political loyalty.</w:t>
      </w:r>
    </w:p>
    <w:p>
      <w:pPr>
        <w:jc w:val="both"/>
      </w:pPr>
      <w:r>
        <w:rPr>
          <w:rFonts w:ascii="Times New Roman" w:cs="Times New Roman" w:eastAsia="Times New Roman" w:hAnsi="Times New Roman"/>
        </w:rPr>
        <w:t xml:space="preserve">Primordialism has real strengths. It takes seriously the emotional intensity of identity, which explains why people are willing to die for their faith or nation in a way they are rarely willing to die for an economic interest. It explains the persistence of identities over long periods, and it captures the way people themselves experience their identity: most believers do not regard their faith as a tool. Kaufman (2001), while not a strict primordialist, shows that "symbolic politics", rooted in myths, fears and emotional symbols, is central to ethnic war.</w:t>
      </w:r>
    </w:p>
    <w:p>
      <w:pPr>
        <w:jc w:val="both"/>
      </w:pPr>
      <w:r>
        <w:rPr>
          <w:rFonts w:ascii="Times New Roman" w:cs="Times New Roman" w:eastAsia="Times New Roman" w:hAnsi="Times New Roman"/>
        </w:rPr>
        <w:t xml:space="preserve">Its weaknesses, however, are considerable. If identities are fixed and conflict flows from them, it cannot explain why groups live peacefully together for long periods and then suddenly turn on each other, or why violence occurs at some times and places but not others. Hindus and Muslims in India, or Christians and Muslims in much of East Africa, have coexisted peacefully far more often than they have fought. Primordialism also struggles to account for change: identities appear, merge, split and disappear over time. And the "ancient hatreds" narrative can be politically convenient, since it suggests that conflicts are inevitable and that outsiders can do little to prevent them.</w:t>
      </w:r>
    </w:p>
    <w:p>
      <w:pPr>
        <w:pStyle w:val="Heading3"/>
      </w:pPr>
      <w:r>
        <w:rPr>
          <w:rFonts w:ascii="Times New Roman" w:cs="Times New Roman" w:eastAsia="Times New Roman" w:hAnsi="Times New Roman"/>
        </w:rPr>
        <w:t xml:space="preserve">The instrumentalist approach</w:t>
      </w:r>
    </w:p>
    <w:p>
      <w:pPr>
        <w:jc w:val="both"/>
      </w:pPr>
      <w:r>
        <w:rPr>
          <w:rFonts w:ascii="Times New Roman" w:cs="Times New Roman" w:eastAsia="Times New Roman" w:hAnsi="Times New Roman"/>
        </w:rPr>
        <w:t xml:space="preserve">Instrumentalists such as Paul Brass (1991, 1997) argue that identities are better understood as resources that political and economic elites select, shape and mobilise for their own purposes. Elites emphasise certain cultural differences, distort others and frame competition over power, land or jobs as a defence of the group. Violence, in this view, is often organised. Brass's (1997) work on Hindu–Muslim riots in northern India shows how what appear to be spontaneous communal clashes are frequently produced by "institutionalised riot systems" of politicians, activists and criminals who benefit from polarisation, particularly around elections.</w:t>
      </w:r>
    </w:p>
    <w:p>
      <w:pPr>
        <w:jc w:val="both"/>
      </w:pPr>
      <w:r>
        <w:rPr>
          <w:rFonts w:ascii="Times New Roman" w:cs="Times New Roman" w:eastAsia="Times New Roman" w:hAnsi="Times New Roman"/>
        </w:rPr>
        <w:t xml:space="preserve">Instrumentalism has wide support in the evidence. As discussed under Question 2, studies of civil war find that grievances over power and resources, together with state weakness, explain conflict onset better than cultural diversity alone (Collier &amp; Hoeffler, 2004; Fearon &amp; Laitin, 2003). Case studies show how leaders manipulate identity in times of political crisis. In Kenya, for example, the ethnic violence around the 1992, 1997 and 2007–2008 elections was not the product of age-old tribal hatred but was organised and financed by political actors competing for power and land. Sectarian mobilisation in the Middle East after 2011 also fits the instrumentalist account (Hashemi &amp; Postel, 2017).</w:t>
      </w:r>
    </w:p>
    <w:p>
      <w:pPr>
        <w:jc w:val="both"/>
      </w:pPr>
      <w:r>
        <w:rPr>
          <w:rFonts w:ascii="Times New Roman" w:cs="Times New Roman" w:eastAsia="Times New Roman" w:hAnsi="Times New Roman"/>
        </w:rPr>
        <w:t xml:space="preserve">Yet instrumentalism has its own weaknesses. It sometimes portrays ordinary people as passive dupes who can be steered into violence by elites, without explaining why they follow. If identity is merely a tool, why does it resonate so strongly, and why are some appeals successful while others fail? Elites cannot invent identities from nothing; they must work with symbols and memories that already mean something to people. Instrumentalism also struggles to explain cases where people act against their material interests for the sake of religious or cultural commitments, such as martyrdom or the refusal to compromise over sacred sites. Finally, by treating religion as a cover for "real" interests, it can underestimate the independent force of belief.</w:t>
      </w:r>
    </w:p>
    <w:p>
      <w:pPr>
        <w:pStyle w:val="Heading3"/>
      </w:pPr>
      <w:r>
        <w:rPr>
          <w:rFonts w:ascii="Times New Roman" w:cs="Times New Roman" w:eastAsia="Times New Roman" w:hAnsi="Times New Roman"/>
        </w:rPr>
        <w:t xml:space="preserve">Assessment of the debate</w:t>
      </w:r>
    </w:p>
    <w:p>
      <w:pPr>
        <w:jc w:val="both"/>
      </w:pPr>
      <w:r>
        <w:rPr>
          <w:rFonts w:ascii="Times New Roman" w:cs="Times New Roman" w:eastAsia="Times New Roman" w:hAnsi="Times New Roman"/>
        </w:rPr>
        <w:t xml:space="preserve">In practice, the two approaches capture different parts of the same reality. Primordialism explains why identities are emotionally powerful; instrumentalism explains how and when that power is harnessed for conflict. Elites can only mobilise identities that people already care about, and identities become dangerous mostly when someone has an interest in making them so. Most scholars today therefore reject a strict choice between the two. Horowitz (1985), for instance, combines attention to group emotions, status and fear with an analysis of political competition. The most influential attempt to move beyond the dichotomy, however, has come from constructivism, which is the subject of Question 5.</w:t>
      </w:r>
    </w:p>
    <w:p>
      <w:pPr>
        <w:pStyle w:val="Heading2"/>
      </w:pPr>
      <w:r>
        <w:rPr>
          <w:rFonts w:ascii="Times New Roman" w:cs="Times New Roman" w:eastAsia="Times New Roman" w:hAnsi="Times New Roman"/>
        </w:rPr>
        <w:t xml:space="preserve">Question 5: How do modern constructivist theories bridge or challenge this dichotomy?</w:t>
      </w:r>
    </w:p>
    <w:p>
      <w:pPr>
        <w:pStyle w:val="Heading3"/>
      </w:pPr>
      <w:r>
        <w:rPr>
          <w:rFonts w:ascii="Times New Roman" w:cs="Times New Roman" w:eastAsia="Times New Roman" w:hAnsi="Times New Roman"/>
        </w:rPr>
        <w:t xml:space="preserve">Introduction</w:t>
      </w:r>
    </w:p>
    <w:p>
      <w:pPr>
        <w:jc w:val="both"/>
      </w:pPr>
      <w:r>
        <w:rPr>
          <w:rFonts w:ascii="Times New Roman" w:cs="Times New Roman" w:eastAsia="Times New Roman" w:hAnsi="Times New Roman"/>
        </w:rPr>
        <w:t xml:space="preserve">Constructivism begins from the premise that social realities, including identities, are created and sustained through human interaction, shared meanings and institutions. In international relations, Wendt (1992) famously argued that "anarchy is what states make of it": even the structures that seem most fixed are products of shared understandings. Applied to religion and ethnicity, constructivism holds that identities are neither primordial givens nor simple tools of elites. They are social constructions that are made and remade over time through history, institutions, discourse and everyday practice.</w:t>
      </w:r>
    </w:p>
    <w:p>
      <w:pPr>
        <w:pStyle w:val="Heading3"/>
      </w:pPr>
      <w:r>
        <w:rPr>
          <w:rFonts w:ascii="Times New Roman" w:cs="Times New Roman" w:eastAsia="Times New Roman" w:hAnsi="Times New Roman"/>
        </w:rPr>
        <w:t xml:space="preserve">How constructivism bridges the dichotomy</w:t>
      </w:r>
    </w:p>
    <w:p>
      <w:pPr>
        <w:jc w:val="both"/>
      </w:pPr>
      <w:r>
        <w:rPr>
          <w:rFonts w:ascii="Times New Roman" w:cs="Times New Roman" w:eastAsia="Times New Roman" w:hAnsi="Times New Roman"/>
        </w:rPr>
        <w:t xml:space="preserve">Constructivism bridges the two approaches in several ways. First, it accepts the primordialist point that identities can feel natural, ancient and deeply meaningful to the people who hold them. Benedict Anderson (1983/2006) described nations as "imagined communities"; they are imagined not in the sense of being false, but because members feel a deep bond with millions of people they will never meet. Constructivists explain this feeling as the </w:t>
      </w:r>
      <w:r>
        <w:rPr>
          <w:rFonts w:ascii="Times New Roman" w:cs="Times New Roman" w:eastAsia="Times New Roman" w:hAnsi="Times New Roman"/>
          <w:i/>
          <w:iCs/>
        </w:rPr>
        <w:t xml:space="preserve">product</w:t>
      </w:r>
      <w:r>
        <w:rPr>
          <w:rFonts w:ascii="Times New Roman" w:cs="Times New Roman" w:eastAsia="Times New Roman" w:hAnsi="Times New Roman"/>
        </w:rPr>
        <w:t xml:space="preserve"> of social processes such as education, print media, religious ritual, colonial classification and state policy, rather than as a biological or pre-social fact. Identities are constructed, but once constructed they are real in their consequences.</w:t>
      </w:r>
    </w:p>
    <w:p>
      <w:pPr>
        <w:jc w:val="both"/>
      </w:pPr>
      <w:r>
        <w:rPr>
          <w:rFonts w:ascii="Times New Roman" w:cs="Times New Roman" w:eastAsia="Times New Roman" w:hAnsi="Times New Roman"/>
        </w:rPr>
        <w:t xml:space="preserve">Second, constructivism accepts the instrumentalist point that elites shape identities and use them strategically, but it adds that elites are themselves shaped by the identities and narratives available in their society, and that they can only succeed when their appeals resonate with existing meanings. Fearon and Laitin (2000) show that much of the research on the social construction of ethnic identity points to a mix of elite strategy, the actions of ordinary people and the long-term effects of discourse. Violence itself can construct identities, hardening boundaries that had previously been fluid.</w:t>
      </w:r>
    </w:p>
    <w:p>
      <w:pPr>
        <w:jc w:val="both"/>
      </w:pPr>
      <w:r>
        <w:rPr>
          <w:rFonts w:ascii="Times New Roman" w:cs="Times New Roman" w:eastAsia="Times New Roman" w:hAnsi="Times New Roman"/>
        </w:rPr>
        <w:t xml:space="preserve">Third, constructivism explains change and variation, which neither of the older approaches handles well. Because identities depend on context, the same people may emphasise their religion in one situation and their nationality, clan or profession in another. Brubaker (2004) warns against "groupism", the habit of treating ethnic and religious groups as fixed, bounded actors. He suggests instead that we study how "groupness" rises and falls as a contingent event: how, at particular moments, people come to see and act as members of a group. This approach explains why Christian–Muslim relations in a town may be peaceful for decades and then suddenly break down when political competition, rumour and fear crystallise group boundaries.</w:t>
      </w:r>
    </w:p>
    <w:p>
      <w:pPr>
        <w:jc w:val="both"/>
      </w:pPr>
      <w:r>
        <w:rPr>
          <w:rFonts w:ascii="Times New Roman" w:cs="Times New Roman" w:eastAsia="Times New Roman" w:hAnsi="Times New Roman"/>
        </w:rPr>
        <w:t xml:space="preserve">African history offers powerful illustrations. Mamdani (2001) shows that the Hutu–Tutsi distinction in Rwanda, often presented as an ancient ethnic divide, was profoundly reshaped by Belgian colonial rule, which turned a fluid social and political distinction into a fixed racial classification recorded on identity cards. Post-colonial politics then built on this construction until it became the basis of genocide. The identities were constructed, yet they were felt intensely; they were manipulated by elites, yet the manipulation worked because colonial institutions had made the categories meaningful. The case shows how constructivism holds together the insights of both primordialism and instrumentalism.</w:t>
      </w:r>
    </w:p>
    <w:p>
      <w:pPr>
        <w:pStyle w:val="Heading3"/>
      </w:pPr>
      <w:r>
        <w:rPr>
          <w:rFonts w:ascii="Times New Roman" w:cs="Times New Roman" w:eastAsia="Times New Roman" w:hAnsi="Times New Roman"/>
        </w:rPr>
        <w:t xml:space="preserve">How constructivism challenges the dichotomy</w:t>
      </w:r>
    </w:p>
    <w:p>
      <w:pPr>
        <w:jc w:val="both"/>
      </w:pPr>
      <w:r>
        <w:rPr>
          <w:rFonts w:ascii="Times New Roman" w:cs="Times New Roman" w:eastAsia="Times New Roman" w:hAnsi="Times New Roman"/>
        </w:rPr>
        <w:t xml:space="preserve">Constructivism does not simply blend the two approaches; it also challenges them. Against primordialism, it denies that identities are fixed or that conflicts flow inevitably from ancient differences. The idea of "ancient hatreds" is itself treated as a narrative that has to be explained. Against instrumentalism, it rejects the sharp separation between "real" material interests and "mere" identity. For constructivists, interests are themselves shaped by identity: what counts as a group's interest, a threat or a just outcome depends on how the group understands itself. Religion, in this view, is not a mask over underlying interests but part of the lens through which interests are defined. Constructivism also brings in ideas, norms and discourse as causes in their own right, which links naturally with Galtung's (1990) concept of cultural violence.</w:t>
      </w:r>
    </w:p>
    <w:p>
      <w:pPr>
        <w:pStyle w:val="Heading3"/>
      </w:pPr>
      <w:r>
        <w:rPr>
          <w:rFonts w:ascii="Times New Roman" w:cs="Times New Roman" w:eastAsia="Times New Roman" w:hAnsi="Times New Roman"/>
        </w:rPr>
        <w:t xml:space="preserve">Limitations of constructivism</w:t>
      </w:r>
    </w:p>
    <w:p>
      <w:pPr>
        <w:jc w:val="both"/>
      </w:pPr>
      <w:r>
        <w:rPr>
          <w:rFonts w:ascii="Times New Roman" w:cs="Times New Roman" w:eastAsia="Times New Roman" w:hAnsi="Times New Roman"/>
        </w:rPr>
        <w:t xml:space="preserve">Constructivism has been criticised as well. Because it emphasises fluidity and contingency, it can be better at describing how identities change than at predicting when they will become violent. If identities are always in flux, it can be hard to explain why some are remarkably stable over centuries. Some critics argue that "social construction" is now so widely accepted that it risks becoming a truism unless researchers specify the mechanisms involved (Fearon &amp; Laitin, 2000). Others note that constructivism can underplay the material constraints, such as poverty, land scarcity and state weakness, that instrumentalists highlight.</w:t>
      </w:r>
    </w:p>
    <w:p>
      <w:pPr>
        <w:pStyle w:val="Heading3"/>
      </w:pPr>
      <w:r>
        <w:rPr>
          <w:rFonts w:ascii="Times New Roman" w:cs="Times New Roman" w:eastAsia="Times New Roman" w:hAnsi="Times New Roman"/>
        </w:rPr>
        <w:t xml:space="preserve">Conclusion and implications for peacebuilding</w:t>
      </w:r>
    </w:p>
    <w:p>
      <w:pPr>
        <w:jc w:val="both"/>
      </w:pPr>
      <w:r>
        <w:rPr>
          <w:rFonts w:ascii="Times New Roman" w:cs="Times New Roman" w:eastAsia="Times New Roman" w:hAnsi="Times New Roman"/>
        </w:rPr>
        <w:t xml:space="preserve">Modern constructivist theories offer the most convincing way out of the primordialist–instrumentalist dichotomy. They accept that religious and cultural identities can be deeply felt, and that they are often manipulated for political ends, but they explain both of these facts as the results of social processes rather than fixed nature or pure calculation. The approach also offers hope for peacebuilding. If identities and enmities are constructed, they can be reconstructed. Inclusive institutions, fair access to resources, responsible leadership, peace education, interfaith cooperation and counter-narratives that stress shared identities can weaken the boundaries that make violence possible. In this sense, constructivism not only bridges the old debate but also points to practical strategies for transforming religiously framed conflicts.</w:t>
      </w:r>
    </w:p>
    <w:p>
      <w:pPr>
        <w:pStyle w:val="Heading1"/>
        <w:pageBreakBefore/>
      </w:pPr>
      <w:r>
        <w:rPr>
          <w:rFonts w:ascii="Times New Roman" w:cs="Times New Roman" w:eastAsia="Times New Roman" w:hAnsi="Times New Roman"/>
        </w:rPr>
        <w:t xml:space="preserve">REFERENCES</w:t>
      </w:r>
    </w:p>
    <w:p>
      <w:pPr>
        <w:ind w:left="720" w:hanging="720"/>
      </w:pPr>
      <w:r>
        <w:rPr>
          <w:rFonts w:ascii="Times New Roman" w:cs="Times New Roman" w:eastAsia="Times New Roman" w:hAnsi="Times New Roman"/>
        </w:rPr>
        <w:t xml:space="preserve">Anderson, B. (2006). </w:t>
      </w:r>
      <w:r>
        <w:rPr>
          <w:rFonts w:ascii="Times New Roman" w:cs="Times New Roman" w:eastAsia="Times New Roman" w:hAnsi="Times New Roman"/>
          <w:i/>
          <w:iCs/>
        </w:rPr>
        <w:t xml:space="preserve">Imagined communities: Reflections on the origin and spread of nationalism</w:t>
      </w:r>
      <w:r>
        <w:rPr>
          <w:rFonts w:ascii="Times New Roman" w:cs="Times New Roman" w:eastAsia="Times New Roman" w:hAnsi="Times New Roman"/>
        </w:rPr>
        <w:t xml:space="preserve"> (Rev. ed.). Verso. (Original work published 1983)</w:t>
      </w:r>
    </w:p>
    <w:p>
      <w:pPr>
        <w:ind w:left="720" w:hanging="720"/>
      </w:pPr>
      <w:r>
        <w:rPr>
          <w:rFonts w:ascii="Times New Roman" w:cs="Times New Roman" w:eastAsia="Times New Roman" w:hAnsi="Times New Roman"/>
        </w:rPr>
        <w:t xml:space="preserve">Appleby, R. S. (2000). </w:t>
      </w:r>
      <w:r>
        <w:rPr>
          <w:rFonts w:ascii="Times New Roman" w:cs="Times New Roman" w:eastAsia="Times New Roman" w:hAnsi="Times New Roman"/>
          <w:i/>
          <w:iCs/>
        </w:rPr>
        <w:t xml:space="preserve">The ambivalence of the sacred: Religion, violence, and reconciliation</w:t>
      </w:r>
      <w:r>
        <w:rPr>
          <w:rFonts w:ascii="Times New Roman" w:cs="Times New Roman" w:eastAsia="Times New Roman" w:hAnsi="Times New Roman"/>
        </w:rPr>
        <w:t xml:space="preserve">. Rowman &amp; Littlefield.</w:t>
      </w:r>
    </w:p>
    <w:p>
      <w:pPr>
        <w:ind w:left="720" w:hanging="720"/>
      </w:pPr>
      <w:r>
        <w:rPr>
          <w:rFonts w:ascii="Times New Roman" w:cs="Times New Roman" w:eastAsia="Times New Roman" w:hAnsi="Times New Roman"/>
        </w:rPr>
        <w:t xml:space="preserve">Brass, P. R. (1991). </w:t>
      </w:r>
      <w:r>
        <w:rPr>
          <w:rFonts w:ascii="Times New Roman" w:cs="Times New Roman" w:eastAsia="Times New Roman" w:hAnsi="Times New Roman"/>
          <w:i/>
          <w:iCs/>
        </w:rPr>
        <w:t xml:space="preserve">Ethnicity and nationalism: Theory and comparison</w:t>
      </w:r>
      <w:r>
        <w:rPr>
          <w:rFonts w:ascii="Times New Roman" w:cs="Times New Roman" w:eastAsia="Times New Roman" w:hAnsi="Times New Roman"/>
        </w:rPr>
        <w:t xml:space="preserve">. Sage.</w:t>
      </w:r>
    </w:p>
    <w:p>
      <w:pPr>
        <w:ind w:left="720" w:hanging="720"/>
      </w:pPr>
      <w:r>
        <w:rPr>
          <w:rFonts w:ascii="Times New Roman" w:cs="Times New Roman" w:eastAsia="Times New Roman" w:hAnsi="Times New Roman"/>
        </w:rPr>
        <w:t xml:space="preserve">Brass, P. R. (1997). </w:t>
      </w:r>
      <w:r>
        <w:rPr>
          <w:rFonts w:ascii="Times New Roman" w:cs="Times New Roman" w:eastAsia="Times New Roman" w:hAnsi="Times New Roman"/>
          <w:i/>
          <w:iCs/>
        </w:rPr>
        <w:t xml:space="preserve">Theft of an idol: Text and context in the representation of collective violence</w:t>
      </w:r>
      <w:r>
        <w:rPr>
          <w:rFonts w:ascii="Times New Roman" w:cs="Times New Roman" w:eastAsia="Times New Roman" w:hAnsi="Times New Roman"/>
        </w:rPr>
        <w:t xml:space="preserve">. Princeton University Press.</w:t>
      </w:r>
    </w:p>
    <w:p>
      <w:pPr>
        <w:ind w:left="720" w:hanging="720"/>
      </w:pPr>
      <w:r>
        <w:rPr>
          <w:rFonts w:ascii="Times New Roman" w:cs="Times New Roman" w:eastAsia="Times New Roman" w:hAnsi="Times New Roman"/>
        </w:rPr>
        <w:t xml:space="preserve">Brubaker, R. (2004). </w:t>
      </w:r>
      <w:r>
        <w:rPr>
          <w:rFonts w:ascii="Times New Roman" w:cs="Times New Roman" w:eastAsia="Times New Roman" w:hAnsi="Times New Roman"/>
          <w:i/>
          <w:iCs/>
        </w:rPr>
        <w:t xml:space="preserve">Ethnicity without groups</w:t>
      </w:r>
      <w:r>
        <w:rPr>
          <w:rFonts w:ascii="Times New Roman" w:cs="Times New Roman" w:eastAsia="Times New Roman" w:hAnsi="Times New Roman"/>
        </w:rPr>
        <w:t xml:space="preserve">. Harvard University Press.</w:t>
      </w:r>
    </w:p>
    <w:p>
      <w:pPr>
        <w:ind w:left="720" w:hanging="720"/>
      </w:pPr>
      <w:r>
        <w:rPr>
          <w:rFonts w:ascii="Times New Roman" w:cs="Times New Roman" w:eastAsia="Times New Roman" w:hAnsi="Times New Roman"/>
        </w:rPr>
        <w:t xml:space="preserve">Collier, P., &amp; Hoeffler, A. (2004). Greed and grievance in civil war. </w:t>
      </w:r>
      <w:r>
        <w:rPr>
          <w:rFonts w:ascii="Times New Roman" w:cs="Times New Roman" w:eastAsia="Times New Roman" w:hAnsi="Times New Roman"/>
          <w:i/>
          <w:iCs/>
        </w:rPr>
        <w:t xml:space="preserve">Oxford Economic Papers, 56</w:t>
      </w:r>
      <w:r>
        <w:rPr>
          <w:rFonts w:ascii="Times New Roman" w:cs="Times New Roman" w:eastAsia="Times New Roman" w:hAnsi="Times New Roman"/>
        </w:rPr>
        <w:t xml:space="preserve">(4), 563–595.</w:t>
      </w:r>
    </w:p>
    <w:p>
      <w:pPr>
        <w:ind w:left="720" w:hanging="720"/>
      </w:pPr>
      <w:r>
        <w:rPr>
          <w:rFonts w:ascii="Times New Roman" w:cs="Times New Roman" w:eastAsia="Times New Roman" w:hAnsi="Times New Roman"/>
        </w:rPr>
        <w:t xml:space="preserve">Fearon, J. D., &amp; Laitin, D. D. (2000). Violence and the social construction of ethnic identity. </w:t>
      </w:r>
      <w:r>
        <w:rPr>
          <w:rFonts w:ascii="Times New Roman" w:cs="Times New Roman" w:eastAsia="Times New Roman" w:hAnsi="Times New Roman"/>
          <w:i/>
          <w:iCs/>
        </w:rPr>
        <w:t xml:space="preserve">International Organization, 54</w:t>
      </w:r>
      <w:r>
        <w:rPr>
          <w:rFonts w:ascii="Times New Roman" w:cs="Times New Roman" w:eastAsia="Times New Roman" w:hAnsi="Times New Roman"/>
        </w:rPr>
        <w:t xml:space="preserve">(4), 845–877.</w:t>
      </w:r>
    </w:p>
    <w:p>
      <w:pPr>
        <w:ind w:left="720" w:hanging="720"/>
      </w:pPr>
      <w:r>
        <w:rPr>
          <w:rFonts w:ascii="Times New Roman" w:cs="Times New Roman" w:eastAsia="Times New Roman" w:hAnsi="Times New Roman"/>
        </w:rPr>
        <w:t xml:space="preserve">Fearon, J. D., &amp; Laitin, D. D. (2003). Ethnicity, insurgency, and civil war. </w:t>
      </w:r>
      <w:r>
        <w:rPr>
          <w:rFonts w:ascii="Times New Roman" w:cs="Times New Roman" w:eastAsia="Times New Roman" w:hAnsi="Times New Roman"/>
          <w:i/>
          <w:iCs/>
        </w:rPr>
        <w:t xml:space="preserve">American Political Science Review, 97</w:t>
      </w:r>
      <w:r>
        <w:rPr>
          <w:rFonts w:ascii="Times New Roman" w:cs="Times New Roman" w:eastAsia="Times New Roman" w:hAnsi="Times New Roman"/>
        </w:rPr>
        <w:t xml:space="preserve">(1), 75–90.</w:t>
      </w:r>
    </w:p>
    <w:p>
      <w:pPr>
        <w:ind w:left="720" w:hanging="720"/>
      </w:pPr>
      <w:r>
        <w:rPr>
          <w:rFonts w:ascii="Times New Roman" w:cs="Times New Roman" w:eastAsia="Times New Roman" w:hAnsi="Times New Roman"/>
        </w:rPr>
        <w:t xml:space="preserve">Fox, J. (2004). </w:t>
      </w:r>
      <w:r>
        <w:rPr>
          <w:rFonts w:ascii="Times New Roman" w:cs="Times New Roman" w:eastAsia="Times New Roman" w:hAnsi="Times New Roman"/>
          <w:i/>
          <w:iCs/>
        </w:rPr>
        <w:t xml:space="preserve">Religion, civilization, and civil war: 1945 through the new millennium</w:t>
      </w:r>
      <w:r>
        <w:rPr>
          <w:rFonts w:ascii="Times New Roman" w:cs="Times New Roman" w:eastAsia="Times New Roman" w:hAnsi="Times New Roman"/>
        </w:rPr>
        <w:t xml:space="preserve">. Lexington Books.</w:t>
      </w:r>
    </w:p>
    <w:p>
      <w:pPr>
        <w:ind w:left="720" w:hanging="720"/>
      </w:pPr>
      <w:r>
        <w:rPr>
          <w:rFonts w:ascii="Times New Roman" w:cs="Times New Roman" w:eastAsia="Times New Roman" w:hAnsi="Times New Roman"/>
        </w:rPr>
        <w:t xml:space="preserve">Galtung, J. (1969). Violence, peace, and peace research. </w:t>
      </w:r>
      <w:r>
        <w:rPr>
          <w:rFonts w:ascii="Times New Roman" w:cs="Times New Roman" w:eastAsia="Times New Roman" w:hAnsi="Times New Roman"/>
          <w:i/>
          <w:iCs/>
        </w:rPr>
        <w:t xml:space="preserve">Journal of Peace Research, 6</w:t>
      </w:r>
      <w:r>
        <w:rPr>
          <w:rFonts w:ascii="Times New Roman" w:cs="Times New Roman" w:eastAsia="Times New Roman" w:hAnsi="Times New Roman"/>
        </w:rPr>
        <w:t xml:space="preserve">(3), 167–191.</w:t>
      </w:r>
    </w:p>
    <w:p>
      <w:pPr>
        <w:ind w:left="720" w:hanging="720"/>
      </w:pPr>
      <w:r>
        <w:rPr>
          <w:rFonts w:ascii="Times New Roman" w:cs="Times New Roman" w:eastAsia="Times New Roman" w:hAnsi="Times New Roman"/>
        </w:rPr>
        <w:t xml:space="preserve">Galtung, J. (1990). Cultural violence. </w:t>
      </w:r>
      <w:r>
        <w:rPr>
          <w:rFonts w:ascii="Times New Roman" w:cs="Times New Roman" w:eastAsia="Times New Roman" w:hAnsi="Times New Roman"/>
          <w:i/>
          <w:iCs/>
        </w:rPr>
        <w:t xml:space="preserve">Journal of Peace Research, 27</w:t>
      </w:r>
      <w:r>
        <w:rPr>
          <w:rFonts w:ascii="Times New Roman" w:cs="Times New Roman" w:eastAsia="Times New Roman" w:hAnsi="Times New Roman"/>
        </w:rPr>
        <w:t xml:space="preserve">(3), 291–305.</w:t>
      </w:r>
    </w:p>
    <w:p>
      <w:pPr>
        <w:ind w:left="720" w:hanging="720"/>
      </w:pPr>
      <w:r>
        <w:rPr>
          <w:rFonts w:ascii="Times New Roman" w:cs="Times New Roman" w:eastAsia="Times New Roman" w:hAnsi="Times New Roman"/>
        </w:rPr>
        <w:t xml:space="preserve">Geertz, C. (1963). The integrative revolution: Primordial sentiments and civil politics in the new states. In C. Geertz (Ed.), </w:t>
      </w:r>
      <w:r>
        <w:rPr>
          <w:rFonts w:ascii="Times New Roman" w:cs="Times New Roman" w:eastAsia="Times New Roman" w:hAnsi="Times New Roman"/>
          <w:i/>
          <w:iCs/>
        </w:rPr>
        <w:t xml:space="preserve">Old societies and new states: The quest for modernity in Asia and Africa</w:t>
      </w:r>
      <w:r>
        <w:rPr>
          <w:rFonts w:ascii="Times New Roman" w:cs="Times New Roman" w:eastAsia="Times New Roman" w:hAnsi="Times New Roman"/>
        </w:rPr>
        <w:t xml:space="preserve"> (pp. 105–157). Free Press.</w:t>
      </w:r>
    </w:p>
    <w:p>
      <w:pPr>
        <w:ind w:left="720" w:hanging="720"/>
      </w:pPr>
      <w:r>
        <w:rPr>
          <w:rFonts w:ascii="Times New Roman" w:cs="Times New Roman" w:eastAsia="Times New Roman" w:hAnsi="Times New Roman"/>
        </w:rPr>
        <w:t xml:space="preserve">Hasenclever, A., &amp; Rittberger, V. (2000). Does religion make a difference? Theoretical approaches to the impact of faith on political conflict. </w:t>
      </w:r>
      <w:r>
        <w:rPr>
          <w:rFonts w:ascii="Times New Roman" w:cs="Times New Roman" w:eastAsia="Times New Roman" w:hAnsi="Times New Roman"/>
          <w:i/>
          <w:iCs/>
        </w:rPr>
        <w:t xml:space="preserve">Millennium: Journal of International Studies, 29</w:t>
      </w:r>
      <w:r>
        <w:rPr>
          <w:rFonts w:ascii="Times New Roman" w:cs="Times New Roman" w:eastAsia="Times New Roman" w:hAnsi="Times New Roman"/>
        </w:rPr>
        <w:t xml:space="preserve">(3), 641–674.</w:t>
      </w:r>
    </w:p>
    <w:p>
      <w:pPr>
        <w:ind w:left="720" w:hanging="720"/>
      </w:pPr>
      <w:r>
        <w:rPr>
          <w:rFonts w:ascii="Times New Roman" w:cs="Times New Roman" w:eastAsia="Times New Roman" w:hAnsi="Times New Roman"/>
        </w:rPr>
        <w:t xml:space="preserve">Hashemi, N., &amp; Postel, D. (Eds.). (2017). </w:t>
      </w:r>
      <w:r>
        <w:rPr>
          <w:rFonts w:ascii="Times New Roman" w:cs="Times New Roman" w:eastAsia="Times New Roman" w:hAnsi="Times New Roman"/>
          <w:i/>
          <w:iCs/>
        </w:rPr>
        <w:t xml:space="preserve">Sectarianization: Mapping the new politics of the Middle East</w:t>
      </w:r>
      <w:r>
        <w:rPr>
          <w:rFonts w:ascii="Times New Roman" w:cs="Times New Roman" w:eastAsia="Times New Roman" w:hAnsi="Times New Roman"/>
        </w:rPr>
        <w:t xml:space="preserve">. Oxford University Press.</w:t>
      </w:r>
    </w:p>
    <w:p>
      <w:pPr>
        <w:ind w:left="720" w:hanging="720"/>
      </w:pPr>
      <w:r>
        <w:rPr>
          <w:rFonts w:ascii="Times New Roman" w:cs="Times New Roman" w:eastAsia="Times New Roman" w:hAnsi="Times New Roman"/>
        </w:rPr>
        <w:t xml:space="preserve">Henderson, E. A., &amp; Tucker, R. (2001). Clear and present strangers: The clash of civilizations and international conflict. </w:t>
      </w:r>
      <w:r>
        <w:rPr>
          <w:rFonts w:ascii="Times New Roman" w:cs="Times New Roman" w:eastAsia="Times New Roman" w:hAnsi="Times New Roman"/>
          <w:i/>
          <w:iCs/>
        </w:rPr>
        <w:t xml:space="preserve">International Studies Quarterly, 45</w:t>
      </w:r>
      <w:r>
        <w:rPr>
          <w:rFonts w:ascii="Times New Roman" w:cs="Times New Roman" w:eastAsia="Times New Roman" w:hAnsi="Times New Roman"/>
        </w:rPr>
        <w:t xml:space="preserve">(2), 317–338.</w:t>
      </w:r>
    </w:p>
    <w:p>
      <w:pPr>
        <w:ind w:left="720" w:hanging="720"/>
      </w:pPr>
      <w:r>
        <w:rPr>
          <w:rFonts w:ascii="Times New Roman" w:cs="Times New Roman" w:eastAsia="Times New Roman" w:hAnsi="Times New Roman"/>
        </w:rPr>
        <w:t xml:space="preserve">Horowitz, D. L. (1985). </w:t>
      </w:r>
      <w:r>
        <w:rPr>
          <w:rFonts w:ascii="Times New Roman" w:cs="Times New Roman" w:eastAsia="Times New Roman" w:hAnsi="Times New Roman"/>
          <w:i/>
          <w:iCs/>
        </w:rPr>
        <w:t xml:space="preserve">Ethnic groups in conflict</w:t>
      </w:r>
      <w:r>
        <w:rPr>
          <w:rFonts w:ascii="Times New Roman" w:cs="Times New Roman" w:eastAsia="Times New Roman" w:hAnsi="Times New Roman"/>
        </w:rPr>
        <w:t xml:space="preserve">. University of California Press.</w:t>
      </w:r>
    </w:p>
    <w:p>
      <w:pPr>
        <w:ind w:left="720" w:hanging="720"/>
      </w:pPr>
      <w:r>
        <w:rPr>
          <w:rFonts w:ascii="Times New Roman" w:cs="Times New Roman" w:eastAsia="Times New Roman" w:hAnsi="Times New Roman"/>
        </w:rPr>
        <w:t xml:space="preserve">Huntington, S. P. (1993). The clash of civilizations? </w:t>
      </w:r>
      <w:r>
        <w:rPr>
          <w:rFonts w:ascii="Times New Roman" w:cs="Times New Roman" w:eastAsia="Times New Roman" w:hAnsi="Times New Roman"/>
          <w:i/>
          <w:iCs/>
        </w:rPr>
        <w:t xml:space="preserve">Foreign Affairs, 72</w:t>
      </w:r>
      <w:r>
        <w:rPr>
          <w:rFonts w:ascii="Times New Roman" w:cs="Times New Roman" w:eastAsia="Times New Roman" w:hAnsi="Times New Roman"/>
        </w:rPr>
        <w:t xml:space="preserve">(3), 22–49.</w:t>
      </w:r>
    </w:p>
    <w:p>
      <w:pPr>
        <w:ind w:left="720" w:hanging="720"/>
      </w:pPr>
      <w:r>
        <w:rPr>
          <w:rFonts w:ascii="Times New Roman" w:cs="Times New Roman" w:eastAsia="Times New Roman" w:hAnsi="Times New Roman"/>
        </w:rPr>
        <w:t xml:space="preserve">Huntington, S. P. (1996). </w:t>
      </w:r>
      <w:r>
        <w:rPr>
          <w:rFonts w:ascii="Times New Roman" w:cs="Times New Roman" w:eastAsia="Times New Roman" w:hAnsi="Times New Roman"/>
          <w:i/>
          <w:iCs/>
        </w:rPr>
        <w:t xml:space="preserve">The clash of civilizations and the remaking of world order</w:t>
      </w:r>
      <w:r>
        <w:rPr>
          <w:rFonts w:ascii="Times New Roman" w:cs="Times New Roman" w:eastAsia="Times New Roman" w:hAnsi="Times New Roman"/>
        </w:rPr>
        <w:t xml:space="preserve">. Simon &amp; Schuster.</w:t>
      </w:r>
    </w:p>
    <w:p>
      <w:pPr>
        <w:ind w:left="720" w:hanging="720"/>
      </w:pPr>
      <w:r>
        <w:rPr>
          <w:rFonts w:ascii="Times New Roman" w:cs="Times New Roman" w:eastAsia="Times New Roman" w:hAnsi="Times New Roman"/>
        </w:rPr>
        <w:t xml:space="preserve">Isaacs, H. R. (1975). </w:t>
      </w:r>
      <w:r>
        <w:rPr>
          <w:rFonts w:ascii="Times New Roman" w:cs="Times New Roman" w:eastAsia="Times New Roman" w:hAnsi="Times New Roman"/>
          <w:i/>
          <w:iCs/>
        </w:rPr>
        <w:t xml:space="preserve">Idols of the tribe: Group identity and political change</w:t>
      </w:r>
      <w:r>
        <w:rPr>
          <w:rFonts w:ascii="Times New Roman" w:cs="Times New Roman" w:eastAsia="Times New Roman" w:hAnsi="Times New Roman"/>
        </w:rPr>
        <w:t xml:space="preserve">. Harper &amp; Row.</w:t>
      </w:r>
    </w:p>
    <w:p>
      <w:pPr>
        <w:ind w:left="720" w:hanging="720"/>
      </w:pPr>
      <w:r>
        <w:rPr>
          <w:rFonts w:ascii="Times New Roman" w:cs="Times New Roman" w:eastAsia="Times New Roman" w:hAnsi="Times New Roman"/>
        </w:rPr>
        <w:t xml:space="preserve">Juergensmeyer, M. (2003). </w:t>
      </w:r>
      <w:r>
        <w:rPr>
          <w:rFonts w:ascii="Times New Roman" w:cs="Times New Roman" w:eastAsia="Times New Roman" w:hAnsi="Times New Roman"/>
          <w:i/>
          <w:iCs/>
        </w:rPr>
        <w:t xml:space="preserve">Terror in the mind of God: The global rise of religious violence</w:t>
      </w:r>
      <w:r>
        <w:rPr>
          <w:rFonts w:ascii="Times New Roman" w:cs="Times New Roman" w:eastAsia="Times New Roman" w:hAnsi="Times New Roman"/>
        </w:rPr>
        <w:t xml:space="preserve"> (3rd ed.). University of California Press.</w:t>
      </w:r>
    </w:p>
    <w:p>
      <w:pPr>
        <w:ind w:left="720" w:hanging="720"/>
      </w:pPr>
      <w:r>
        <w:rPr>
          <w:rFonts w:ascii="Times New Roman" w:cs="Times New Roman" w:eastAsia="Times New Roman" w:hAnsi="Times New Roman"/>
        </w:rPr>
        <w:t xml:space="preserve">Kaufman, S. J. (2001). </w:t>
      </w:r>
      <w:r>
        <w:rPr>
          <w:rFonts w:ascii="Times New Roman" w:cs="Times New Roman" w:eastAsia="Times New Roman" w:hAnsi="Times New Roman"/>
          <w:i/>
          <w:iCs/>
        </w:rPr>
        <w:t xml:space="preserve">Modern hatreds: The symbolic politics of ethnic war</w:t>
      </w:r>
      <w:r>
        <w:rPr>
          <w:rFonts w:ascii="Times New Roman" w:cs="Times New Roman" w:eastAsia="Times New Roman" w:hAnsi="Times New Roman"/>
        </w:rPr>
        <w:t xml:space="preserve">. Cornell University Press.</w:t>
      </w:r>
    </w:p>
    <w:p>
      <w:pPr>
        <w:ind w:left="720" w:hanging="720"/>
      </w:pPr>
      <w:r>
        <w:rPr>
          <w:rFonts w:ascii="Times New Roman" w:cs="Times New Roman" w:eastAsia="Times New Roman" w:hAnsi="Times New Roman"/>
        </w:rPr>
        <w:t xml:space="preserve">Mamdani, M. (2001). </w:t>
      </w:r>
      <w:r>
        <w:rPr>
          <w:rFonts w:ascii="Times New Roman" w:cs="Times New Roman" w:eastAsia="Times New Roman" w:hAnsi="Times New Roman"/>
          <w:i/>
          <w:iCs/>
        </w:rPr>
        <w:t xml:space="preserve">When victims become killers: Colonialism, nativism, and the genocide in Rwanda</w:t>
      </w:r>
      <w:r>
        <w:rPr>
          <w:rFonts w:ascii="Times New Roman" w:cs="Times New Roman" w:eastAsia="Times New Roman" w:hAnsi="Times New Roman"/>
        </w:rPr>
        <w:t xml:space="preserve">. Princeton University Press.</w:t>
      </w:r>
    </w:p>
    <w:p>
      <w:pPr>
        <w:ind w:left="720" w:hanging="720"/>
      </w:pPr>
      <w:r>
        <w:rPr>
          <w:rFonts w:ascii="Times New Roman" w:cs="Times New Roman" w:eastAsia="Times New Roman" w:hAnsi="Times New Roman"/>
        </w:rPr>
        <w:t xml:space="preserve">Mamdani, M. (2004). </w:t>
      </w:r>
      <w:r>
        <w:rPr>
          <w:rFonts w:ascii="Times New Roman" w:cs="Times New Roman" w:eastAsia="Times New Roman" w:hAnsi="Times New Roman"/>
          <w:i/>
          <w:iCs/>
        </w:rPr>
        <w:t xml:space="preserve">Good Muslim, bad Muslim: America, the Cold War, and the roots of terror</w:t>
      </w:r>
      <w:r>
        <w:rPr>
          <w:rFonts w:ascii="Times New Roman" w:cs="Times New Roman" w:eastAsia="Times New Roman" w:hAnsi="Times New Roman"/>
        </w:rPr>
        <w:t xml:space="preserve">. Pantheon Books.</w:t>
      </w:r>
    </w:p>
    <w:p>
      <w:pPr>
        <w:ind w:left="720" w:hanging="720"/>
      </w:pPr>
      <w:r>
        <w:rPr>
          <w:rFonts w:ascii="Times New Roman" w:cs="Times New Roman" w:eastAsia="Times New Roman" w:hAnsi="Times New Roman"/>
        </w:rPr>
        <w:t xml:space="preserve">Russett, B. M., Oneal, J. R., &amp; Cox, M. (2000). Clash of civilizations, or realism and liberalism déjà vu? Some evidence. </w:t>
      </w:r>
      <w:r>
        <w:rPr>
          <w:rFonts w:ascii="Times New Roman" w:cs="Times New Roman" w:eastAsia="Times New Roman" w:hAnsi="Times New Roman"/>
          <w:i/>
          <w:iCs/>
        </w:rPr>
        <w:t xml:space="preserve">Journal of Peace Research, 37</w:t>
      </w:r>
      <w:r>
        <w:rPr>
          <w:rFonts w:ascii="Times New Roman" w:cs="Times New Roman" w:eastAsia="Times New Roman" w:hAnsi="Times New Roman"/>
        </w:rPr>
        <w:t xml:space="preserve">(5), 583–608.</w:t>
      </w:r>
    </w:p>
    <w:p>
      <w:pPr>
        <w:ind w:left="720" w:hanging="720"/>
      </w:pPr>
      <w:r>
        <w:rPr>
          <w:rFonts w:ascii="Times New Roman" w:cs="Times New Roman" w:eastAsia="Times New Roman" w:hAnsi="Times New Roman"/>
        </w:rPr>
        <w:t xml:space="preserve">Said, E. W. (2001, October 22). The clash of ignorance. </w:t>
      </w:r>
      <w:r>
        <w:rPr>
          <w:rFonts w:ascii="Times New Roman" w:cs="Times New Roman" w:eastAsia="Times New Roman" w:hAnsi="Times New Roman"/>
          <w:i/>
          <w:iCs/>
        </w:rPr>
        <w:t xml:space="preserve">The Nation, 273</w:t>
      </w:r>
      <w:r>
        <w:rPr>
          <w:rFonts w:ascii="Times New Roman" w:cs="Times New Roman" w:eastAsia="Times New Roman" w:hAnsi="Times New Roman"/>
        </w:rPr>
        <w:t xml:space="preserve">(12), 11–13.</w:t>
      </w:r>
    </w:p>
    <w:p>
      <w:pPr>
        <w:ind w:left="720" w:hanging="720"/>
      </w:pPr>
      <w:r>
        <w:rPr>
          <w:rFonts w:ascii="Times New Roman" w:cs="Times New Roman" w:eastAsia="Times New Roman" w:hAnsi="Times New Roman"/>
        </w:rPr>
        <w:t xml:space="preserve">Sen, A. (2006). </w:t>
      </w:r>
      <w:r>
        <w:rPr>
          <w:rFonts w:ascii="Times New Roman" w:cs="Times New Roman" w:eastAsia="Times New Roman" w:hAnsi="Times New Roman"/>
          <w:i/>
          <w:iCs/>
        </w:rPr>
        <w:t xml:space="preserve">Identity and violence: The illusion of destiny</w:t>
      </w:r>
      <w:r>
        <w:rPr>
          <w:rFonts w:ascii="Times New Roman" w:cs="Times New Roman" w:eastAsia="Times New Roman" w:hAnsi="Times New Roman"/>
        </w:rPr>
        <w:t xml:space="preserve">. W. W. Norton.</w:t>
      </w:r>
    </w:p>
    <w:p>
      <w:pPr>
        <w:ind w:left="720" w:hanging="720"/>
      </w:pPr>
      <w:r>
        <w:rPr>
          <w:rFonts w:ascii="Times New Roman" w:cs="Times New Roman" w:eastAsia="Times New Roman" w:hAnsi="Times New Roman"/>
        </w:rPr>
        <w:t xml:space="preserve">Shils, E. (1957). Primordial, personal, sacred and civil ties. </w:t>
      </w:r>
      <w:r>
        <w:rPr>
          <w:rFonts w:ascii="Times New Roman" w:cs="Times New Roman" w:eastAsia="Times New Roman" w:hAnsi="Times New Roman"/>
          <w:i/>
          <w:iCs/>
        </w:rPr>
        <w:t xml:space="preserve">British Journal of Sociology, 8</w:t>
      </w:r>
      <w:r>
        <w:rPr>
          <w:rFonts w:ascii="Times New Roman" w:cs="Times New Roman" w:eastAsia="Times New Roman" w:hAnsi="Times New Roman"/>
        </w:rPr>
        <w:t xml:space="preserve">(2), 130–145.</w:t>
      </w:r>
    </w:p>
    <w:p>
      <w:pPr>
        <w:ind w:left="720" w:hanging="720"/>
      </w:pPr>
      <w:r>
        <w:rPr>
          <w:rFonts w:ascii="Times New Roman" w:cs="Times New Roman" w:eastAsia="Times New Roman" w:hAnsi="Times New Roman"/>
        </w:rPr>
        <w:t xml:space="preserve">Svensson, I. (2007). Fighting with faith: Religion and conflict resolution in civil wars. </w:t>
      </w:r>
      <w:r>
        <w:rPr>
          <w:rFonts w:ascii="Times New Roman" w:cs="Times New Roman" w:eastAsia="Times New Roman" w:hAnsi="Times New Roman"/>
          <w:i/>
          <w:iCs/>
        </w:rPr>
        <w:t xml:space="preserve">Journal of Conflict Resolution, 51</w:t>
      </w:r>
      <w:r>
        <w:rPr>
          <w:rFonts w:ascii="Times New Roman" w:cs="Times New Roman" w:eastAsia="Times New Roman" w:hAnsi="Times New Roman"/>
        </w:rPr>
        <w:t xml:space="preserve">(6), 930–949.</w:t>
      </w:r>
    </w:p>
    <w:p>
      <w:pPr>
        <w:ind w:left="720" w:hanging="720"/>
      </w:pPr>
      <w:r>
        <w:rPr>
          <w:rFonts w:ascii="Times New Roman" w:cs="Times New Roman" w:eastAsia="Times New Roman" w:hAnsi="Times New Roman"/>
        </w:rPr>
        <w:t xml:space="preserve">Toft, M. D. (2007). Getting religion? The puzzling case of Islam and civil war. </w:t>
      </w:r>
      <w:r>
        <w:rPr>
          <w:rFonts w:ascii="Times New Roman" w:cs="Times New Roman" w:eastAsia="Times New Roman" w:hAnsi="Times New Roman"/>
          <w:i/>
          <w:iCs/>
        </w:rPr>
        <w:t xml:space="preserve">International Security, 31</w:t>
      </w:r>
      <w:r>
        <w:rPr>
          <w:rFonts w:ascii="Times New Roman" w:cs="Times New Roman" w:eastAsia="Times New Roman" w:hAnsi="Times New Roman"/>
        </w:rPr>
        <w:t xml:space="preserve">(4), 97–131.</w:t>
      </w:r>
    </w:p>
    <w:p>
      <w:pPr>
        <w:ind w:left="720" w:hanging="720"/>
      </w:pPr>
      <w:r>
        <w:rPr>
          <w:rFonts w:ascii="Times New Roman" w:cs="Times New Roman" w:eastAsia="Times New Roman" w:hAnsi="Times New Roman"/>
        </w:rPr>
        <w:t xml:space="preserve">Wendt, A. (1992). Anarchy is what states make of it: The social construction of power politics. </w:t>
      </w:r>
      <w:r>
        <w:rPr>
          <w:rFonts w:ascii="Times New Roman" w:cs="Times New Roman" w:eastAsia="Times New Roman" w:hAnsi="Times New Roman"/>
          <w:i/>
          <w:iCs/>
        </w:rPr>
        <w:t xml:space="preserve">International Organization, 46</w:t>
      </w:r>
      <w:r>
        <w:rPr>
          <w:rFonts w:ascii="Times New Roman" w:cs="Times New Roman" w:eastAsia="Times New Roman" w:hAnsi="Times New Roman"/>
        </w:rPr>
        <w:t xml:space="preserve">(2), 391–425.</w:t>
      </w:r>
    </w:p>
    <w:sectPr>
      <w:footerReference w:type="default" r:id="rId7"/>
      <w:pgSz w:w="11906" w:h="16838" w:orient="portrait"/>
      <w:pgMar w:top="1418"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36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1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 Assessment Test 1</dc:title>
  <dc:creator>Un-named</dc:creator>
  <cp:lastModifiedBy>Un-named</cp:lastModifiedBy>
  <cp:revision>1</cp:revision>
  <dcterms:created xsi:type="dcterms:W3CDTF">2026-10-04T11:06:55.355Z</dcterms:created>
  <dcterms:modified xsi:type="dcterms:W3CDTF">2026-10-04T11:06:55.362Z</dcterms:modified>
</cp:coreProperties>
</file>

<file path=docProps/custom.xml><?xml version="1.0" encoding="utf-8"?>
<Properties xmlns="http://schemas.openxmlformats.org/officeDocument/2006/custom-properties" xmlns:vt="http://schemas.openxmlformats.org/officeDocument/2006/docPropsVTypes"/>
</file>