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15983F" w14:textId="42A9F78B" w:rsidR="00CC08F1" w:rsidRPr="00CC08F1" w:rsidRDefault="00CC08F1" w:rsidP="00CC08F1">
      <w:r w:rsidRPr="00CC08F1">
        <w:rPr>
          <w:noProof/>
        </w:rPr>
        <w:drawing>
          <wp:inline distT="0" distB="0" distL="0" distR="0" wp14:anchorId="7B6D3EF8" wp14:editId="423692C9">
            <wp:extent cx="4457700" cy="800100"/>
            <wp:effectExtent l="0" t="0" r="0" b="0"/>
            <wp:docPr id="1178927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800100"/>
                    </a:xfrm>
                    <a:prstGeom prst="rect">
                      <a:avLst/>
                    </a:prstGeom>
                    <a:noFill/>
                    <a:ln>
                      <a:noFill/>
                    </a:ln>
                  </pic:spPr>
                </pic:pic>
              </a:graphicData>
            </a:graphic>
          </wp:inline>
        </w:drawing>
      </w:r>
    </w:p>
    <w:p w14:paraId="3C7E6EF2" w14:textId="77777777" w:rsidR="00CC08F1" w:rsidRPr="00CC08F1" w:rsidRDefault="00CC08F1" w:rsidP="00CC08F1">
      <w:r w:rsidRPr="00CC08F1">
        <w:rPr>
          <w:b/>
          <w:bCs/>
        </w:rPr>
        <w:t>SCHOOL OF BUSINESS AND ECONOMICS</w:t>
      </w:r>
    </w:p>
    <w:p w14:paraId="59730D62" w14:textId="77777777" w:rsidR="00CC08F1" w:rsidRPr="00CC08F1" w:rsidRDefault="00CC08F1" w:rsidP="00CC08F1">
      <w:r w:rsidRPr="00CC08F1">
        <w:t xml:space="preserve"> </w:t>
      </w:r>
    </w:p>
    <w:p w14:paraId="2DD54FC7" w14:textId="77777777" w:rsidR="00CC08F1" w:rsidRPr="00CC08F1" w:rsidRDefault="00CC08F1" w:rsidP="00CC08F1">
      <w:r w:rsidRPr="00CC08F1">
        <w:t xml:space="preserve"> </w:t>
      </w:r>
    </w:p>
    <w:p w14:paraId="6B6263B3" w14:textId="77777777" w:rsidR="00CC08F1" w:rsidRPr="00CC08F1" w:rsidRDefault="00CC08F1" w:rsidP="00CC08F1">
      <w:r w:rsidRPr="00CC08F1">
        <w:t xml:space="preserve"> </w:t>
      </w:r>
    </w:p>
    <w:p w14:paraId="3897C523" w14:textId="77777777" w:rsidR="00CC08F1" w:rsidRPr="00CC08F1" w:rsidRDefault="00CC08F1" w:rsidP="00CC08F1">
      <w:r w:rsidRPr="00CC08F1">
        <w:rPr>
          <w:b/>
          <w:bCs/>
        </w:rPr>
        <w:t>Concept Paper</w:t>
      </w:r>
    </w:p>
    <w:p>
      <w:r>
        <w:rPr>
          <w:b/>
          <w:bCs/>
        </w:rPr>
        <w:t xml:space="preserve">Title of Proposed Study</w:t>
      </w:r>
    </w:p>
    <w:p>
      <w:r>
        <w:t xml:space="preserve">Influence of Public Participation on the Implementation of County Development Policies in Machakos County, Kenya</w:t>
      </w:r>
    </w:p>
    <w:p>
      <w:r>
        <w:rPr>
          <w:b/>
          <w:bCs/>
        </w:rPr>
        <w:t xml:space="preserve">Area of Study</w:t>
      </w:r>
    </w:p>
    <w:p>
      <w:r>
        <w:t xml:space="preserve">Public Administration</w:t>
      </w:r>
    </w:p>
    <w:p>
      <w:pPr>
        <w:keepNext/>
        <w:spacing w:before="240"/>
        <w:rPr>
          <w:b/>
          <w:bCs/>
        </w:rPr>
      </w:pPr>
      <w:r>
        <w:rPr>
          <w:b/>
          <w:bCs/>
        </w:rPr>
        <w:t xml:space="preserve">1. Background to the Study</w:t>
      </w:r>
    </w:p>
    <w:p>
      <w:pPr>
        <w:keepNext/>
        <w:rPr>
          <w:b/>
          <w:bCs/>
        </w:rPr>
      </w:pPr>
      <w:r>
        <w:rPr>
          <w:b/>
          <w:bCs/>
        </w:rPr>
        <w:t xml:space="preserve">1.1 Global Perspective</w:t>
      </w:r>
    </w:p>
    <w:p>
      <w:pPr>
        <w:jc w:val="both"/>
      </w:pPr>
      <w:r>
        <w:t xml:space="preserve">Public participation has become a defining principle of democratic governance across the world. Since the late twentieth century, governments in both developed and developing countries have adopted participatory mechanisms on the premise that policies designed and implemented with citizen input are more legitimate, more responsive to local needs and more likely to achieve their intended results. Arnstein’s (1969) “ladder of citizen participation” remains the most widely used framework for interpreting such efforts, distinguishing genuine citizen power from consultation that is merely symbolic. Building on this work, Fung (2006) argues that participatory arrangements differ in who participates, how participants communicate and make decisions, and how much authority participants actually have over public action. Among the best-known applications is participatory budgeting in Brazil, where municipalities such as Porto Alegre gave citizens a direct role in allocating public investment, with outcomes that depended heavily on the willingness of local governments to share authority (Wampler, 2007).</w:t>
      </w:r>
    </w:p>
    <w:p>
      <w:pPr>
        <w:jc w:val="both"/>
      </w:pPr>
      <w:r>
        <w:t xml:space="preserve">Evidence from Europe points to a persistent gap between the existence of participatory structures and their influence on implementation. In the Netherlands, De Weger et al. (2022) found that residents expected their participation to result in visible improvements in their neighbourhoods, and that trust depended on whether municipalities showed transparently how citizen input had shaped decisions. In Finland, Jäntti et al. (2023) observed that citizen participation is difficult to embed in routine local government practice because it requires internal decision-making processes to be reorganised, not merely the creation of consultative forums. In Norway, Linstad et al. (2024) showed how stakeholder trust in a national policy implementation process rose and fell depending on how openly government handled participation. Taken together, this global literature suggests that four practices recur as determinants of meaningful participation: consultation of the public, access to information, citizen involvement in decision-making, and feedback to citizens on how their input has been used.</w:t>
      </w:r>
    </w:p>
    <w:p>
      <w:pPr>
        <w:keepNext/>
        <w:rPr>
          <w:b/>
          <w:bCs/>
        </w:rPr>
      </w:pPr>
      <w:r>
        <w:rPr>
          <w:b/>
          <w:bCs/>
        </w:rPr>
        <w:t xml:space="preserve">1.2 Regional Perspective</w:t>
      </w:r>
    </w:p>
    <w:p>
      <w:pPr>
        <w:jc w:val="both"/>
      </w:pPr>
      <w:r>
        <w:t xml:space="preserve">In Africa, the wave of decentralisation reforms that began in the 1990s was justified largely by the promise of bringing government closer to the people and enabling citizens to influence local development decisions (Olowu &amp; Wunsch, 2004). South Africa’s Local Government: Municipal Systems Act of 2000, for instance, obliges municipalities to develop a culture of community participation and to involve local communities in the preparation and implementation of their Integrated Development Plans (Republic of South Africa, 2000). Similarly, Uganda’s Local Governments Act of 1997 devolved planning functions to district and lower local councils as a means of promoting democratic participation in development (Republic of Uganda, 1997).</w:t>
      </w:r>
    </w:p>
    <w:p>
      <w:pPr>
        <w:jc w:val="both"/>
      </w:pPr>
      <w:r>
        <w:t xml:space="preserve">Despite these legal commitments, studies of participatory governance in African and other developing contexts report recurring weaknesses. Participatory spaces created by the state are frequently dominated by local elites, citizens often lack timely and accessible information, and there is seldom a clear mechanism for informing participants of how their contributions influenced final decisions (Cornwall &amp; Coelho, 2007; Olowu &amp; Wunsch, 2004). As a result, participation in many African local governments tends to occupy the consultation and tokenism rungs of Arnstein’s (1969) ladder rather than the levels of genuine partnership and influence.</w:t>
      </w:r>
    </w:p>
    <w:p>
      <w:pPr>
        <w:keepNext/>
        <w:rPr>
          <w:b/>
          <w:bCs/>
        </w:rPr>
      </w:pPr>
      <w:r>
        <w:rPr>
          <w:b/>
          <w:bCs/>
        </w:rPr>
        <w:t xml:space="preserve">1.3 Local Perspective</w:t>
      </w:r>
    </w:p>
    <w:p>
      <w:pPr>
        <w:jc w:val="both"/>
      </w:pPr>
      <w:r>
        <w:t xml:space="preserve">Kenya’s shift to a devolved system of governance following the promulgation of the Constitution of Kenya, 2010 was partly a response to the failure of the former centralised system to give ordinary citizens a voice in decisions on projects that affected them. Article 10(2)(a) of the Constitution identifies the participation of the people as one of the national values and principles of governance, while Article 174(c) sets the enhancement of public participation in decision-making as an objective of devolution (Republic of Kenya, 2010). In addition, the County Governments Act, 2012 and the Public Finance Management Act, 2012 require county executives and assemblies to establish structures through which citizens can participate in planning, budgeting and the implementation of county development policies, including the County Integrated Development Plan (CIDP) and Annual Development Plans (Republic of Kenya, 2012a, 2012b).</w:t>
      </w:r>
    </w:p>
    <w:p>
      <w:pPr>
        <w:jc w:val="both"/>
      </w:pPr>
      <w:r>
        <w:t xml:space="preserve">Machakos County, which borders Nairobi and was formerly part of Eastern Province, has since 2013 introduced a range of public participation platforms, from ward-level budget hearings to sector working groups on health, water, agriculture and infrastructure. The county government has promoted citizen inclusion through public barazas, sub-county development forums and, more recently, online feedback channels. However, a persistent observation is that citizen inclusion exists more on paper than in practice. Mutua et al. (2024) found that residents of Matungulu Sub-County were consulted during the planning of water projects, but that the level of participation was low and this negatively affected the extent to which the projects met their objectives. Similar concerns have been raised regarding county-funded construction and health facility projects.</w:t>
      </w:r>
    </w:p>
    <w:p>
      <w:pPr>
        <w:jc w:val="both"/>
      </w:pPr>
      <w:r>
        <w:t xml:space="preserve">Existing studies in Machakos County have largely treated public participation as a single, broad construct, or have examined its link to devolution in general or to individual projects. Little is known about how specific participation practices, namely public consultation, access to information, citizen involvement in decision-making and feedback mechanisms, influence the implementation of county development policies. Comparative research shows that embedding citizen involvement into the normal workings of local government is an ongoing organisational challenge rather than merely a legal requirement (Jäntti et al., 2023). What distinguishes the Kenyan context is the combination of extensive legal requirements and relatively limited institutional capacity to meet them. It is against this background that the proposed study seeks to examine the influence of public participation practices on the implementation of county development policies in Machakos County.</w:t>
      </w:r>
    </w:p>
    <w:p>
      <w:pPr>
        <w:keepNext/>
        <w:spacing w:before="240"/>
        <w:rPr>
          <w:b/>
          <w:bCs/>
        </w:rPr>
      </w:pPr>
      <w:r>
        <w:rPr>
          <w:b/>
          <w:bCs/>
        </w:rPr>
        <w:t xml:space="preserve">2. Statement of the Problem</w:t>
      </w:r>
    </w:p>
    <w:p>
      <w:pPr>
        <w:jc w:val="both"/>
      </w:pPr>
      <w:r>
        <w:t xml:space="preserve">Despite elaborate constitutional and statutory provisions for public participation, county governments in Kenya, including Machakos, continue to experience development policies that are poorly received by residents, delayed, or fail to achieve their intended goals. Numerous public hearings are held, yet the extent to which the views expressed in such forums shape the implementation of development policies remains doubtful. At the national level, Maiyo and Kinuthia (2025) found that although about three-quarters of citizens were aware of the Finance Act, 2023, only about nine percent participated actively in the process, revealing a substantial gap between awareness and participation. Whether a similar gap exists at the county level, particularly during the implementation of development policies, is yet to be established.</w:t>
      </w:r>
    </w:p>
    <w:p>
      <w:pPr>
        <w:jc w:val="both"/>
      </w:pPr>
      <w:r>
        <w:t xml:space="preserve">Moreover, county-level studies in Machakos have tended to examine public participation as a general concept or in relation to particular infrastructure and water projects (Mutua et al., 2024), without disaggregating it into the specific practices through which citizens engage with county government. Consequently, there is limited empirical evidence on whether public consultation, access to information, citizen involvement in decision-making and feedback mechanisms individually influence the implementation of county development policies. Without such evidence, both the county government and its residents cannot tell whether participatory structures are functioning as intended or merely fulfilling a legal formality. The proposed study seeks to fill this gap.</w:t>
      </w:r>
    </w:p>
    <w:p>
      <w:pPr>
        <w:keepNext/>
        <w:spacing w:before="240"/>
        <w:rPr>
          <w:b/>
          <w:bCs/>
        </w:rPr>
      </w:pPr>
      <w:r>
        <w:rPr>
          <w:b/>
          <w:bCs/>
        </w:rPr>
        <w:t xml:space="preserve">3. Purpose of the Study</w:t>
      </w:r>
    </w:p>
    <w:p>
      <w:pPr>
        <w:jc w:val="both"/>
      </w:pPr>
      <w:r>
        <w:t xml:space="preserve">The purpose of this study is to examine the influence of public participation practices on the implementation of county development policies in Machakos County, Kenya.</w:t>
      </w:r>
    </w:p>
    <w:p>
      <w:pPr>
        <w:keepNext/>
        <w:spacing w:before="240"/>
        <w:rPr>
          <w:b/>
          <w:bCs/>
        </w:rPr>
      </w:pPr>
      <w:r>
        <w:rPr>
          <w:b/>
          <w:bCs/>
        </w:rPr>
        <w:t xml:space="preserve">4. Objectives of the Study</w:t>
      </w:r>
    </w:p>
    <w:p>
      <w:pPr>
        <w:keepNext/>
        <w:rPr>
          <w:b/>
          <w:bCs/>
        </w:rPr>
      </w:pPr>
      <w:r>
        <w:rPr>
          <w:b/>
          <w:bCs/>
        </w:rPr>
        <w:t xml:space="preserve">4.1 General Objective</w:t>
      </w:r>
    </w:p>
    <w:p>
      <w:pPr>
        <w:jc w:val="both"/>
      </w:pPr>
      <w:r>
        <w:t xml:space="preserve">The general objective of the study is to determine the influence of public participation on the implementation of county development policies in Machakos County, Kenya.</w:t>
      </w:r>
    </w:p>
    <w:p>
      <w:pPr>
        <w:keepNext/>
        <w:rPr>
          <w:b/>
          <w:bCs/>
        </w:rPr>
      </w:pPr>
      <w:r>
        <w:rPr>
          <w:b/>
          <w:bCs/>
        </w:rPr>
        <w:t xml:space="preserve">4.2 Specific Objectives</w:t>
      </w:r>
    </w:p>
    <w:p>
      <w:pPr>
        <w:jc w:val="both"/>
      </w:pPr>
      <w:r>
        <w:t xml:space="preserve">The study will be guided by the following specific objectives:</w:t>
      </w:r>
    </w:p>
    <w:p>
      <w:pPr>
        <w:ind w:left="720" w:hanging="360"/>
        <w:jc w:val="both"/>
      </w:pPr>
      <w:r>
        <w:t xml:space="preserve">i.	To examine the influence of public consultation on the implementation of county development policies in Machakos County, Kenya.</w:t>
      </w:r>
    </w:p>
    <w:p>
      <w:pPr>
        <w:ind w:left="720" w:hanging="360"/>
        <w:jc w:val="both"/>
      </w:pPr>
      <w:r>
        <w:t xml:space="preserve">ii.	To assess the influence of access to information on the implementation of county development policies in Machakos County, Kenya.</w:t>
      </w:r>
    </w:p>
    <w:p>
      <w:pPr>
        <w:ind w:left="720" w:hanging="360"/>
        <w:jc w:val="both"/>
      </w:pPr>
      <w:r>
        <w:t xml:space="preserve">iii.	To establish the influence of citizen involvement in decision-making on the implementation of county development policies in Machakos County, Kenya.</w:t>
      </w:r>
    </w:p>
    <w:p>
      <w:pPr>
        <w:ind w:left="720" w:hanging="360"/>
        <w:jc w:val="both"/>
      </w:pPr>
      <w:r>
        <w:t xml:space="preserve">iv.	To determine the influence of feedback mechanisms on the implementation of county development policies in Machakos County, Kenya.</w:t>
      </w:r>
    </w:p>
    <w:p>
      <w:pPr>
        <w:keepNext/>
        <w:spacing w:before="240"/>
        <w:rPr>
          <w:b/>
          <w:bCs/>
        </w:rPr>
      </w:pPr>
      <w:r>
        <w:rPr>
          <w:b/>
          <w:bCs/>
        </w:rPr>
        <w:t xml:space="preserve">5. Research Questions</w:t>
      </w:r>
    </w:p>
    <w:p>
      <w:pPr>
        <w:ind w:left="720" w:hanging="360"/>
        <w:jc w:val="both"/>
      </w:pPr>
      <w:r>
        <w:t xml:space="preserve">i.	What is the influence of public consultation on the implementation of county development policies in Machakos County, Kenya?</w:t>
      </w:r>
    </w:p>
    <w:p>
      <w:pPr>
        <w:ind w:left="720" w:hanging="360"/>
        <w:jc w:val="both"/>
      </w:pPr>
      <w:r>
        <w:t xml:space="preserve">ii.	How does access to information influence the implementation of county development policies in Machakos County, Kenya?</w:t>
      </w:r>
    </w:p>
    <w:p>
      <w:pPr>
        <w:ind w:left="720" w:hanging="360"/>
        <w:jc w:val="both"/>
      </w:pPr>
      <w:r>
        <w:t xml:space="preserve">iii.	What is the influence of citizen involvement in decision-making on the implementation of county development policies in Machakos County, Kenya?</w:t>
      </w:r>
    </w:p>
    <w:p>
      <w:pPr>
        <w:ind w:left="720" w:hanging="360"/>
        <w:jc w:val="both"/>
      </w:pPr>
      <w:r>
        <w:t xml:space="preserve">iv.	How do feedback mechanisms influence the implementation of county development policies in Machakos County, Kenya?</w:t>
      </w:r>
    </w:p>
    <w:p>
      <w:pPr>
        <w:keepNext/>
        <w:rPr>
          <w:b/>
          <w:bCs/>
        </w:rPr>
      </w:pPr>
      <w:r>
        <w:rPr>
          <w:b/>
          <w:bCs/>
        </w:rPr>
        <w:t xml:space="preserve">5.1 Research Hypotheses</w:t>
      </w:r>
    </w:p>
    <w:p>
      <w:pPr>
        <w:jc w:val="both"/>
      </w:pPr>
      <w:r>
        <w:t xml:space="preserve">The study will test the following null hypotheses at the 0.05 level of significance:</w:t>
      </w:r>
    </w:p>
    <w:p>
      <w:pPr>
        <w:ind w:left="720" w:hanging="360"/>
        <w:jc w:val="both"/>
      </w:pPr>
      <w:r>
        <w:t xml:space="preserve">H₀₁:	Public consultation has no significant influence on the implementation of county development policies in Machakos County, Kenya.</w:t>
      </w:r>
    </w:p>
    <w:p>
      <w:pPr>
        <w:ind w:left="720" w:hanging="360"/>
        <w:jc w:val="both"/>
      </w:pPr>
      <w:r>
        <w:t xml:space="preserve">H₀₂:	Access to information has no significant influence on the implementation of county development policies in Machakos County, Kenya.</w:t>
      </w:r>
    </w:p>
    <w:p>
      <w:pPr>
        <w:ind w:left="720" w:hanging="360"/>
        <w:jc w:val="both"/>
      </w:pPr>
      <w:r>
        <w:t xml:space="preserve">H₀₃:	Citizen involvement in decision-making has no significant influence on the implementation of county development policies in Machakos County, Kenya.</w:t>
      </w:r>
    </w:p>
    <w:p>
      <w:pPr>
        <w:ind w:left="720" w:hanging="360"/>
        <w:jc w:val="both"/>
      </w:pPr>
      <w:r>
        <w:t xml:space="preserve">H₀₄:	Feedback mechanisms have no significant influence on the implementation of county development policies in Machakos County, Kenya.</w:t>
      </w:r>
    </w:p>
    <w:p>
      <w:pPr>
        <w:keepNext/>
        <w:spacing w:before="240"/>
        <w:rPr>
          <w:b/>
          <w:bCs/>
        </w:rPr>
      </w:pPr>
      <w:r>
        <w:rPr>
          <w:b/>
          <w:bCs/>
        </w:rPr>
        <w:t xml:space="preserve">6. Significance of the Study</w:t>
      </w:r>
    </w:p>
    <w:p>
      <w:pPr>
        <w:jc w:val="both"/>
      </w:pPr>
      <w:r>
        <w:t xml:space="preserve">The findings of this study are expected to benefit several stakeholders. The Machakos County Government will gain evidence on which participation practices (consultation, information sharing, involvement in decision-making or feedback) contribute most to the successful implementation of development policies, enabling it to target its civic engagement resources more effectively. The Council of Governors and other county governments operating under the same constitutional framework may draw lessons for improving participatory implementation in their jurisdictions. Policy makers at the national level, including the Ministry responsible for devolution, may use the findings to refine public participation guidelines and legislation. For scholars of public administration and devolution, the study will add to the limited literature on public participation at the implementation stage of the policy cycle, a stage that has received less attention than planning and budgeting. Finally, residents of Machakos County may become more aware of how their participation, or lack of it, affects the delivery of county development policies, which may encourage greater engagement.</w:t>
      </w:r>
    </w:p>
    <w:p>
      <w:pPr>
        <w:keepNext/>
        <w:spacing w:before="240"/>
        <w:rPr>
          <w:b/>
          <w:bCs/>
        </w:rPr>
      </w:pPr>
      <w:r>
        <w:rPr>
          <w:b/>
          <w:bCs/>
        </w:rPr>
        <w:t xml:space="preserve">7. Brief Literature Review</w:t>
      </w:r>
    </w:p>
    <w:p>
      <w:pPr>
        <w:keepNext/>
        <w:rPr>
          <w:b/>
          <w:bCs/>
        </w:rPr>
      </w:pPr>
      <w:r>
        <w:rPr>
          <w:b/>
          <w:bCs/>
        </w:rPr>
        <w:t xml:space="preserve">7.1 Theoretical Framework</w:t>
      </w:r>
    </w:p>
    <w:p>
      <w:pPr>
        <w:jc w:val="both"/>
      </w:pPr>
      <w:r>
        <w:t xml:space="preserve">The study will be anchored on two theories. The first is Arnstein’s (1969) Ladder of Citizen Participation, which presents participation as a continuum ranging from manipulation and therapy (non-participation), through informing, consultation and placation (tokenism), to partnership, delegated power and citizen control (citizen power). The theory is relevant to this study because each of the four participation practices can be located on the ladder: access to information and consultation correspond to the middle rungs, while involvement in decision-making and responsive feedback correspond to the upper rungs. Kenyan legal frameworks are written in the language of the upper rungs, yet empirical studies suggest that practice tends to settle on the lower and middle rungs (Maiyo &amp; Kinuthia, 2025).</w:t>
      </w:r>
    </w:p>
    <w:p>
      <w:pPr>
        <w:jc w:val="both"/>
      </w:pPr>
      <w:r>
        <w:t xml:space="preserve">The second is the Theory of Co-production advanced by Ostrom (1996), which holds that public goods and services are produced most effectively when citizens act as active partners alongside public agencies rather than as passive recipients. The theory explains why citizen involvement in decision-making and feedback mechanisms may enhance implementation: when citizens contribute knowledge, resources and oversight, policies are more likely to be accepted, owned and sustained by the communities they target.</w:t>
      </w:r>
    </w:p>
    <w:p>
      <w:pPr>
        <w:keepNext/>
        <w:rPr>
          <w:b/>
          <w:bCs/>
        </w:rPr>
      </w:pPr>
      <w:r>
        <w:rPr>
          <w:b/>
          <w:bCs/>
        </w:rPr>
        <w:t xml:space="preserve">7.2 Empirical Review</w:t>
      </w:r>
    </w:p>
    <w:p>
      <w:pPr>
        <w:jc w:val="both"/>
      </w:pPr>
      <w:r>
        <w:rPr>
          <w:i/>
          <w:iCs/>
        </w:rPr>
        <w:t xml:space="preserve">Public consultation and policy implementation.</w:t>
      </w:r>
      <w:r>
        <w:t xml:space="preserve"> Mutua et al. (2024) found that public participation during the planning of water projects in Matungulu Sub-County had a statistically significant influence on project outcomes, although actual levels of consultation fell short of what the legal framework anticipates. This suggests that even limited consultation is associated with better implementation results.</w:t>
      </w:r>
    </w:p>
    <w:p>
      <w:pPr>
        <w:jc w:val="both"/>
      </w:pPr>
      <w:r>
        <w:rPr>
          <w:i/>
          <w:iCs/>
        </w:rPr>
        <w:t xml:space="preserve">Access to information and policy implementation.</w:t>
      </w:r>
      <w:r>
        <w:t xml:space="preserve"> Maiyo and Kinuthia (2025) reported that the main channels used to inform citizens about the Finance Act, 2023, such as newspaper advertisements and public hearings, were regarded as ineffective by most respondents in reaching a wide audience. Limited access to information therefore constrains the inclusiveness of participation and may weaken public support for policy implementation.</w:t>
      </w:r>
    </w:p>
    <w:p>
      <w:pPr>
        <w:jc w:val="both"/>
      </w:pPr>
      <w:r>
        <w:rPr>
          <w:i/>
          <w:iCs/>
        </w:rPr>
        <w:t xml:space="preserve">Citizen involvement in decision-making and policy implementation.</w:t>
      </w:r>
      <w:r>
        <w:t xml:space="preserve"> Jäntti et al. (2023) argue that participation influences implementation only when citizen input is structurally connected to decision-making processes, rather than simply collected. Fung (2006) similarly emphasises that the degree of authority granted to participants determines whether participation alters public action.</w:t>
      </w:r>
    </w:p>
    <w:p>
      <w:pPr>
        <w:jc w:val="both"/>
      </w:pPr>
      <w:r>
        <w:rPr>
          <w:i/>
          <w:iCs/>
        </w:rPr>
        <w:t xml:space="preserve">Feedback mechanisms and policy implementation.</w:t>
      </w:r>
      <w:r>
        <w:t xml:space="preserve"> De Weger et al. (2022) found that citizens’ trust in participatory processes depended on whether municipalities demonstrated transparently how their input had shaped subsequent decisions. Linstad et al. (2024) likewise show that stakeholder trust, and therefore cooperation in implementation, rose and fell with how openly government reported back on participation.</w:t>
      </w:r>
    </w:p>
    <w:p>
      <w:pPr>
        <w:keepNext/>
        <w:rPr>
          <w:b/>
          <w:bCs/>
        </w:rPr>
      </w:pPr>
      <w:r>
        <w:rPr>
          <w:b/>
          <w:bCs/>
        </w:rPr>
        <w:t xml:space="preserve">7.3 Research Gap and Conceptual Framework</w:t>
      </w:r>
    </w:p>
    <w:p>
      <w:pPr>
        <w:jc w:val="both"/>
      </w:pPr>
      <w:r>
        <w:t xml:space="preserve">The reviewed literature establishes that a legal right to participate does not automatically translate into influence over implementation, that the design and accessibility of participation channels shape who participates, and that trust and transparency mediate the relationship between participation and outcomes. However, few studies in Kenya, and none known to the researcher in Machakos County, have examined the separate influence of the four participation practices on the implementation of county development policies. Accordingly, the study conceptualises public participation (independent variable) in terms of public consultation, access to information, citizen involvement in decision-making and feedback mechanisms. The implementation of county development policies (dependent variable) will be measured through the timeliness of implementation, adherence to budget, achievement of planned targets, and beneficiary satisfaction.</w:t>
      </w:r>
    </w:p>
    <w:p>
      <w:pPr>
        <w:keepNext/>
        <w:spacing w:before="240"/>
        <w:rPr>
          <w:b/>
          <w:bCs/>
        </w:rPr>
      </w:pPr>
      <w:r>
        <w:rPr>
          <w:b/>
          <w:bCs/>
        </w:rPr>
        <w:t xml:space="preserve">8. Proposed Methodology</w:t>
      </w:r>
    </w:p>
    <w:p>
      <w:pPr>
        <w:jc w:val="both"/>
      </w:pPr>
      <w:r>
        <w:t xml:space="preserve">The study will adopt a descriptive cross-sectional survey design complemented by qualitative key-informant interviews. This design allows the researcher to measure the influence of each participation practice on policy implementation while also capturing contextual detail needed to interpret the results. The target population will comprise residents of Machakos County who have taken part, or had the opportunity to take part, in county public participation forums over the preceding two years, together with county officials drawn from the departments responsible for public participation and civic education, finance and economic planning, and selected sectors such as health, water and infrastructure. A stratified random sample will be drawn from at least three sub-counties selected to reflect urban, peri-urban and rural settings, since access to participation opportunities is likely to vary along this dimension.</w:t>
      </w:r>
    </w:p>
    <w:p>
      <w:pPr>
        <w:jc w:val="both"/>
      </w:pPr>
      <w:r>
        <w:t xml:space="preserve">A structured questionnaire containing five-point Likert-scale items on each of the four participation practices and on policy implementation, together with a few open-ended questions, will be administered to residents. Semi-structured interview guides will be used with county officials and ward administrators. The instruments will be pilot-tested to establish their validity and reliability (using Cronbach’s alpha). Quantitative data will be analysed using descriptive statistics (frequencies, means and standard deviations) and inferential statistics, namely Pearson correlation and multiple linear regression, in line with the analytical approach used by Mutua et al. (2024). The regression model will take the form Y = β₀ + β₁X₁ + β₂X₂ + β₃X₃ + β₄X₄ + ε, where Y is the implementation of county development policies, X₁ is public consultation, X₂ is access to information, X₃ is citizen involvement in decision-making, X₄ is feedback mechanisms, β₀ is the constant, β₁–β₄ are coefficients and ε is the error term. Qualitative data will be analysed thematically. Ethical clearance will be sought from the university’s research ethics committee and a research permit obtained from the National Commission for Science, Technology and Innovation (NACOSTI), and informed consent will be obtained from all participants before data collection.</w:t>
      </w:r>
    </w:p>
    <w:p>
      <w:pPr>
        <w:keepNext/>
        <w:spacing w:before="240"/>
        <w:rPr>
          <w:b/>
          <w:bCs/>
        </w:rPr>
      </w:pPr>
      <w:r>
        <w:rPr>
          <w:b/>
          <w:bCs/>
        </w:rPr>
        <w:t xml:space="preserve">9. Expected Outcomes</w:t>
      </w:r>
    </w:p>
    <w:p>
      <w:pPr>
        <w:jc w:val="both"/>
      </w:pPr>
      <w:r>
        <w:t xml:space="preserve">The study is expected to generate empirical evidence on the extent to which each of the four public participation practices, namely public consultation, access to information, citizen involvement in decision-making and feedback mechanisms, influences the implementation of county development policies in Machakos County. It is anticipated that the findings will identify which practices have the strongest influence on implementation, which participation channels residents find accessible and which they regard as symbolic, and the structural, informational and capacity-related barriers that limit meaningful participation. The full proposal developed from this concept paper is expected to culminate in practical, context-specific recommendations that the Machakos County Government and other counties can use to strengthen participatory implementation, alongside a scholarly contribution to the limited literature on public participation at the implementation stage of Kenya’s devolved policy cycle.</w:t>
      </w:r>
    </w:p>
    <w:p>
      <w:r>
        <w:t xml:space="preserve"> </w:t>
      </w:r>
    </w:p>
    <w:p>
      <w:pPr>
        <w:keepNext/>
        <w:spacing w:before="240"/>
        <w:rPr>
          <w:b/>
          <w:bCs/>
        </w:rPr>
      </w:pPr>
      <w:r>
        <w:rPr>
          <w:b/>
          <w:bCs/>
        </w:rPr>
        <w:t xml:space="preserve">10. Work Plan and Budget Estimate</w:t>
      </w:r>
    </w:p>
    <w:p w14:paraId="7AFDC5EB" w14:textId="77777777" w:rsidR="00CC08F1" w:rsidRPr="00CC08F1" w:rsidRDefault="00CC08F1" w:rsidP="00CC08F1">
      <w:r w:rsidRPr="00CC08F1">
        <w:t>The full research proposal and subsequent fieldwork are expected to proceed over an eight-month period, structured as follows:</w:t>
      </w:r>
    </w:p>
    <w:tbl>
      <w:tblPr>
        <w:tblW w:w="0" w:type="auto"/>
        <w:tblCellMar>
          <w:top w:w="15" w:type="dxa"/>
          <w:left w:w="15" w:type="dxa"/>
          <w:bottom w:w="15" w:type="dxa"/>
          <w:right w:w="15" w:type="dxa"/>
        </w:tblCellMar>
        <w:tblLook w:val="04A0" w:firstRow="1" w:lastRow="0" w:firstColumn="1" w:lastColumn="0" w:noHBand="0" w:noVBand="1"/>
      </w:tblPr>
      <w:tblGrid>
        <w:gridCol w:w="5620"/>
        <w:gridCol w:w="1204"/>
      </w:tblGrid>
      <w:tr w:rsidR="00CC08F1" w:rsidRPr="00CC08F1" w14:paraId="0E338443" w14:textId="77777777">
        <w:tc>
          <w:tcPr>
            <w:tcW w:w="0" w:type="auto"/>
            <w:tcBorders>
              <w:top w:val="outset" w:sz="6" w:space="0" w:color="auto"/>
              <w:left w:val="outset" w:sz="6" w:space="0" w:color="auto"/>
              <w:bottom w:val="outset" w:sz="6" w:space="0" w:color="auto"/>
              <w:right w:val="outset" w:sz="6" w:space="0" w:color="auto"/>
            </w:tcBorders>
            <w:shd w:val="clear" w:color="auto" w:fill="1F3864"/>
            <w:vAlign w:val="center"/>
            <w:hideMark/>
          </w:tcPr>
          <w:p w14:paraId="749EB1F1" w14:textId="77777777" w:rsidR="00CC08F1" w:rsidRPr="00CC08F1" w:rsidRDefault="00CC08F1" w:rsidP="00CC08F1">
            <w:r w:rsidRPr="00CC08F1">
              <w:rPr>
                <w:b/>
                <w:bCs/>
              </w:rPr>
              <w:t>Activity</w:t>
            </w:r>
          </w:p>
        </w:tc>
        <w:tc>
          <w:tcPr>
            <w:tcW w:w="0" w:type="auto"/>
            <w:tcBorders>
              <w:top w:val="outset" w:sz="6" w:space="0" w:color="auto"/>
              <w:left w:val="outset" w:sz="6" w:space="0" w:color="auto"/>
              <w:bottom w:val="outset" w:sz="6" w:space="0" w:color="auto"/>
              <w:right w:val="outset" w:sz="6" w:space="0" w:color="auto"/>
            </w:tcBorders>
            <w:shd w:val="clear" w:color="auto" w:fill="1F3864"/>
            <w:vAlign w:val="center"/>
            <w:hideMark/>
          </w:tcPr>
          <w:p w14:paraId="071D6836" w14:textId="77777777" w:rsidR="00CC08F1" w:rsidRPr="00CC08F1" w:rsidRDefault="00CC08F1" w:rsidP="00CC08F1">
            <w:r w:rsidRPr="00CC08F1">
              <w:rPr>
                <w:b/>
                <w:bCs/>
              </w:rPr>
              <w:t>Timeline</w:t>
            </w:r>
          </w:p>
        </w:tc>
      </w:tr>
      <w:tr w:rsidR="00CC08F1" w:rsidRPr="00CC08F1" w14:paraId="37DBD2EC" w14:textId="77777777">
        <w:tc>
          <w:tcPr>
            <w:tcW w:w="0" w:type="auto"/>
            <w:tcBorders>
              <w:top w:val="nil"/>
              <w:left w:val="outset" w:sz="6" w:space="0" w:color="auto"/>
              <w:bottom w:val="outset" w:sz="6" w:space="0" w:color="auto"/>
              <w:right w:val="outset" w:sz="6" w:space="0" w:color="auto"/>
            </w:tcBorders>
            <w:hideMark/>
          </w:tcPr>
          <w:p w14:paraId="6965AAFF" w14:textId="77777777" w:rsidR="00CC08F1" w:rsidRPr="00CC08F1" w:rsidRDefault="00CC08F1" w:rsidP="00CC08F1">
            <w:r w:rsidRPr="00CC08F1">
              <w:t>Concept paper development and departmental approval</w:t>
            </w:r>
          </w:p>
        </w:tc>
        <w:tc>
          <w:tcPr>
            <w:tcW w:w="0" w:type="auto"/>
            <w:tcBorders>
              <w:top w:val="nil"/>
              <w:left w:val="outset" w:sz="6" w:space="0" w:color="auto"/>
              <w:bottom w:val="outset" w:sz="6" w:space="0" w:color="auto"/>
              <w:right w:val="outset" w:sz="6" w:space="0" w:color="auto"/>
            </w:tcBorders>
            <w:hideMark/>
          </w:tcPr>
          <w:p w14:paraId="7C5DDC5D" w14:textId="77777777" w:rsidR="00CC08F1" w:rsidRPr="00CC08F1" w:rsidRDefault="00CC08F1" w:rsidP="00CC08F1">
            <w:r w:rsidRPr="00CC08F1">
              <w:t>Month 1</w:t>
            </w:r>
          </w:p>
        </w:tc>
      </w:tr>
      <w:tr w:rsidR="00CC08F1" w:rsidRPr="00CC08F1" w14:paraId="2C581ACA" w14:textId="77777777">
        <w:tc>
          <w:tcPr>
            <w:tcW w:w="0" w:type="auto"/>
            <w:tcBorders>
              <w:top w:val="nil"/>
              <w:left w:val="outset" w:sz="6" w:space="0" w:color="auto"/>
              <w:bottom w:val="outset" w:sz="6" w:space="0" w:color="auto"/>
              <w:right w:val="outset" w:sz="6" w:space="0" w:color="auto"/>
            </w:tcBorders>
            <w:hideMark/>
          </w:tcPr>
          <w:p w14:paraId="07377A62" w14:textId="77777777" w:rsidR="00CC08F1" w:rsidRPr="00CC08F1" w:rsidRDefault="00CC08F1" w:rsidP="00CC08F1">
            <w:r w:rsidRPr="00CC08F1">
              <w:t>Literature review and refinement of research instruments</w:t>
            </w:r>
          </w:p>
        </w:tc>
        <w:tc>
          <w:tcPr>
            <w:tcW w:w="0" w:type="auto"/>
            <w:tcBorders>
              <w:top w:val="nil"/>
              <w:left w:val="outset" w:sz="6" w:space="0" w:color="auto"/>
              <w:bottom w:val="outset" w:sz="6" w:space="0" w:color="auto"/>
              <w:right w:val="outset" w:sz="6" w:space="0" w:color="auto"/>
            </w:tcBorders>
            <w:hideMark/>
          </w:tcPr>
          <w:p w14:paraId="765EC27D" w14:textId="77777777" w:rsidR="00CC08F1" w:rsidRPr="00CC08F1" w:rsidRDefault="00CC08F1" w:rsidP="00CC08F1">
            <w:r w:rsidRPr="00CC08F1">
              <w:t>Months 2–3</w:t>
            </w:r>
          </w:p>
        </w:tc>
      </w:tr>
      <w:tr w:rsidR="00CC08F1" w:rsidRPr="00CC08F1" w14:paraId="7BBE30F7" w14:textId="77777777">
        <w:tc>
          <w:tcPr>
            <w:tcW w:w="0" w:type="auto"/>
            <w:tcBorders>
              <w:top w:val="nil"/>
              <w:left w:val="outset" w:sz="6" w:space="0" w:color="auto"/>
              <w:bottom w:val="outset" w:sz="6" w:space="0" w:color="auto"/>
              <w:right w:val="outset" w:sz="6" w:space="0" w:color="auto"/>
            </w:tcBorders>
            <w:hideMark/>
          </w:tcPr>
          <w:p w14:paraId="4B088815" w14:textId="77777777" w:rsidR="00CC08F1" w:rsidRPr="00CC08F1" w:rsidRDefault="00CC08F1" w:rsidP="00CC08F1">
            <w:r w:rsidRPr="00CC08F1">
              <w:t xml:space="preserve">Proposal writing and </w:t>
            </w:r>
            <w:proofErr w:type="spellStart"/>
            <w:r w:rsidRPr="00CC08F1">
              <w:t>defence</w:t>
            </w:r>
            <w:proofErr w:type="spellEnd"/>
          </w:p>
        </w:tc>
        <w:tc>
          <w:tcPr>
            <w:tcW w:w="0" w:type="auto"/>
            <w:tcBorders>
              <w:top w:val="nil"/>
              <w:left w:val="outset" w:sz="6" w:space="0" w:color="auto"/>
              <w:bottom w:val="outset" w:sz="6" w:space="0" w:color="auto"/>
              <w:right w:val="outset" w:sz="6" w:space="0" w:color="auto"/>
            </w:tcBorders>
            <w:hideMark/>
          </w:tcPr>
          <w:p w14:paraId="21595929" w14:textId="77777777" w:rsidR="00CC08F1" w:rsidRPr="00CC08F1" w:rsidRDefault="00CC08F1" w:rsidP="00CC08F1">
            <w:r w:rsidRPr="00CC08F1">
              <w:t>Months 3–4</w:t>
            </w:r>
          </w:p>
        </w:tc>
      </w:tr>
      <w:tr w:rsidR="00CC08F1" w:rsidRPr="00CC08F1" w14:paraId="4BF81FEE" w14:textId="77777777">
        <w:tc>
          <w:tcPr>
            <w:tcW w:w="0" w:type="auto"/>
            <w:tcBorders>
              <w:top w:val="nil"/>
              <w:left w:val="outset" w:sz="6" w:space="0" w:color="auto"/>
              <w:bottom w:val="outset" w:sz="6" w:space="0" w:color="auto"/>
              <w:right w:val="outset" w:sz="6" w:space="0" w:color="auto"/>
            </w:tcBorders>
            <w:hideMark/>
          </w:tcPr>
          <w:p w14:paraId="4A6960FA" w14:textId="77777777" w:rsidR="00CC08F1" w:rsidRPr="00CC08F1" w:rsidRDefault="00CC08F1" w:rsidP="00CC08F1">
            <w:r w:rsidRPr="00CC08F1">
              <w:t>Ethical clearance and NACOSTI research permit</w:t>
            </w:r>
          </w:p>
        </w:tc>
        <w:tc>
          <w:tcPr>
            <w:tcW w:w="0" w:type="auto"/>
            <w:tcBorders>
              <w:top w:val="nil"/>
              <w:left w:val="outset" w:sz="6" w:space="0" w:color="auto"/>
              <w:bottom w:val="outset" w:sz="6" w:space="0" w:color="auto"/>
              <w:right w:val="outset" w:sz="6" w:space="0" w:color="auto"/>
            </w:tcBorders>
            <w:hideMark/>
          </w:tcPr>
          <w:p w14:paraId="47BA2A5D" w14:textId="77777777" w:rsidR="00CC08F1" w:rsidRPr="00CC08F1" w:rsidRDefault="00CC08F1" w:rsidP="00CC08F1">
            <w:r w:rsidRPr="00CC08F1">
              <w:t>Month 4</w:t>
            </w:r>
          </w:p>
        </w:tc>
      </w:tr>
      <w:tr w:rsidR="00CC08F1" w:rsidRPr="00CC08F1" w14:paraId="2DC35CAD" w14:textId="77777777">
        <w:tc>
          <w:tcPr>
            <w:tcW w:w="0" w:type="auto"/>
            <w:tcBorders>
              <w:top w:val="nil"/>
              <w:left w:val="outset" w:sz="6" w:space="0" w:color="auto"/>
              <w:bottom w:val="outset" w:sz="6" w:space="0" w:color="auto"/>
              <w:right w:val="outset" w:sz="6" w:space="0" w:color="auto"/>
            </w:tcBorders>
            <w:hideMark/>
          </w:tcPr>
          <w:p w14:paraId="08EDC7C1" w14:textId="77777777" w:rsidR="00CC08F1" w:rsidRPr="00CC08F1" w:rsidRDefault="00CC08F1" w:rsidP="00CC08F1">
            <w:r w:rsidRPr="00CC08F1">
              <w:t>Pilot testing of instruments and field data collection</w:t>
            </w:r>
          </w:p>
        </w:tc>
        <w:tc>
          <w:tcPr>
            <w:tcW w:w="0" w:type="auto"/>
            <w:tcBorders>
              <w:top w:val="nil"/>
              <w:left w:val="outset" w:sz="6" w:space="0" w:color="auto"/>
              <w:bottom w:val="outset" w:sz="6" w:space="0" w:color="auto"/>
              <w:right w:val="outset" w:sz="6" w:space="0" w:color="auto"/>
            </w:tcBorders>
            <w:hideMark/>
          </w:tcPr>
          <w:p w14:paraId="2514E5DF" w14:textId="77777777" w:rsidR="00CC08F1" w:rsidRPr="00CC08F1" w:rsidRDefault="00CC08F1" w:rsidP="00CC08F1">
            <w:r w:rsidRPr="00CC08F1">
              <w:t>Months 5–6</w:t>
            </w:r>
          </w:p>
        </w:tc>
      </w:tr>
      <w:tr w:rsidR="00CC08F1" w:rsidRPr="00CC08F1" w14:paraId="759594BA" w14:textId="77777777">
        <w:tc>
          <w:tcPr>
            <w:tcW w:w="0" w:type="auto"/>
            <w:tcBorders>
              <w:top w:val="nil"/>
              <w:left w:val="outset" w:sz="6" w:space="0" w:color="auto"/>
              <w:bottom w:val="outset" w:sz="6" w:space="0" w:color="auto"/>
              <w:right w:val="outset" w:sz="6" w:space="0" w:color="auto"/>
            </w:tcBorders>
            <w:hideMark/>
          </w:tcPr>
          <w:p w14:paraId="3AC72952" w14:textId="77777777" w:rsidR="00CC08F1" w:rsidRPr="00CC08F1" w:rsidRDefault="00CC08F1" w:rsidP="00CC08F1">
            <w:r w:rsidRPr="00CC08F1">
              <w:t>Data analysis and interpretation</w:t>
            </w:r>
          </w:p>
        </w:tc>
        <w:tc>
          <w:tcPr>
            <w:tcW w:w="0" w:type="auto"/>
            <w:tcBorders>
              <w:top w:val="nil"/>
              <w:left w:val="outset" w:sz="6" w:space="0" w:color="auto"/>
              <w:bottom w:val="outset" w:sz="6" w:space="0" w:color="auto"/>
              <w:right w:val="outset" w:sz="6" w:space="0" w:color="auto"/>
            </w:tcBorders>
            <w:hideMark/>
          </w:tcPr>
          <w:p w14:paraId="05890BC7" w14:textId="77777777" w:rsidR="00CC08F1" w:rsidRPr="00CC08F1" w:rsidRDefault="00CC08F1" w:rsidP="00CC08F1">
            <w:r w:rsidRPr="00CC08F1">
              <w:t>Month 7</w:t>
            </w:r>
          </w:p>
        </w:tc>
      </w:tr>
      <w:tr w:rsidR="00CC08F1" w:rsidRPr="00CC08F1" w14:paraId="5AB35682" w14:textId="77777777">
        <w:tc>
          <w:tcPr>
            <w:tcW w:w="0" w:type="auto"/>
            <w:tcBorders>
              <w:top w:val="nil"/>
              <w:left w:val="outset" w:sz="6" w:space="0" w:color="auto"/>
              <w:bottom w:val="outset" w:sz="6" w:space="0" w:color="auto"/>
              <w:right w:val="outset" w:sz="6" w:space="0" w:color="auto"/>
            </w:tcBorders>
            <w:hideMark/>
          </w:tcPr>
          <w:p w14:paraId="06778FB2" w14:textId="77777777" w:rsidR="00CC08F1" w:rsidRPr="00CC08F1" w:rsidRDefault="00CC08F1" w:rsidP="00CC08F1">
            <w:r w:rsidRPr="00CC08F1">
              <w:t>Report writing, review and submission</w:t>
            </w:r>
          </w:p>
        </w:tc>
        <w:tc>
          <w:tcPr>
            <w:tcW w:w="0" w:type="auto"/>
            <w:tcBorders>
              <w:top w:val="nil"/>
              <w:left w:val="outset" w:sz="6" w:space="0" w:color="auto"/>
              <w:bottom w:val="outset" w:sz="6" w:space="0" w:color="auto"/>
              <w:right w:val="outset" w:sz="6" w:space="0" w:color="auto"/>
            </w:tcBorders>
            <w:hideMark/>
          </w:tcPr>
          <w:p w14:paraId="33D05756" w14:textId="77777777" w:rsidR="00CC08F1" w:rsidRPr="00CC08F1" w:rsidRDefault="00CC08F1" w:rsidP="00CC08F1">
            <w:r w:rsidRPr="00CC08F1">
              <w:t>Month 8</w:t>
            </w:r>
          </w:p>
        </w:tc>
      </w:tr>
    </w:tbl>
    <w:p w14:paraId="2D0A9205" w14:textId="77777777" w:rsidR="00CC08F1" w:rsidRPr="00CC08F1" w:rsidRDefault="00CC08F1" w:rsidP="00CC08F1">
      <w:r w:rsidRPr="00CC08F1">
        <w:lastRenderedPageBreak/>
        <w:t xml:space="preserve"> </w:t>
      </w:r>
    </w:p>
    <w:p w14:paraId="099086A9" w14:textId="77777777" w:rsidR="00CC08F1" w:rsidRPr="00CC08F1" w:rsidRDefault="00CC08F1" w:rsidP="00CC08F1">
      <w:r w:rsidRPr="00CC08F1">
        <w:t>An indicative budget for the study is estimated as follows:</w:t>
      </w:r>
    </w:p>
    <w:tbl>
      <w:tblPr>
        <w:tblW w:w="0" w:type="auto"/>
        <w:tblCellMar>
          <w:top w:w="15" w:type="dxa"/>
          <w:left w:w="15" w:type="dxa"/>
          <w:bottom w:w="15" w:type="dxa"/>
          <w:right w:w="15" w:type="dxa"/>
        </w:tblCellMar>
        <w:tblLook w:val="04A0" w:firstRow="1" w:lastRow="0" w:firstColumn="1" w:lastColumn="0" w:noHBand="0" w:noVBand="1"/>
      </w:tblPr>
      <w:tblGrid>
        <w:gridCol w:w="5035"/>
        <w:gridCol w:w="2072"/>
      </w:tblGrid>
      <w:tr w:rsidR="00CC08F1" w:rsidRPr="00CC08F1" w14:paraId="4CF66F69" w14:textId="77777777">
        <w:tc>
          <w:tcPr>
            <w:tcW w:w="0" w:type="auto"/>
            <w:tcBorders>
              <w:top w:val="outset" w:sz="6" w:space="0" w:color="auto"/>
              <w:left w:val="outset" w:sz="6" w:space="0" w:color="auto"/>
              <w:bottom w:val="outset" w:sz="6" w:space="0" w:color="auto"/>
              <w:right w:val="outset" w:sz="6" w:space="0" w:color="auto"/>
            </w:tcBorders>
            <w:shd w:val="clear" w:color="auto" w:fill="1F3864"/>
            <w:vAlign w:val="center"/>
            <w:hideMark/>
          </w:tcPr>
          <w:p w14:paraId="088AC7C2" w14:textId="77777777" w:rsidR="00CC08F1" w:rsidRPr="00CC08F1" w:rsidRDefault="00CC08F1" w:rsidP="00CC08F1">
            <w:r w:rsidRPr="00CC08F1">
              <w:rPr>
                <w:b/>
                <w:bCs/>
              </w:rPr>
              <w:t>Budget Item</w:t>
            </w:r>
          </w:p>
        </w:tc>
        <w:tc>
          <w:tcPr>
            <w:tcW w:w="0" w:type="auto"/>
            <w:tcBorders>
              <w:top w:val="outset" w:sz="6" w:space="0" w:color="auto"/>
              <w:left w:val="outset" w:sz="6" w:space="0" w:color="auto"/>
              <w:bottom w:val="outset" w:sz="6" w:space="0" w:color="auto"/>
              <w:right w:val="outset" w:sz="6" w:space="0" w:color="auto"/>
            </w:tcBorders>
            <w:shd w:val="clear" w:color="auto" w:fill="1F3864"/>
            <w:vAlign w:val="center"/>
            <w:hideMark/>
          </w:tcPr>
          <w:p w14:paraId="4F1E0018" w14:textId="77777777" w:rsidR="00CC08F1" w:rsidRPr="00CC08F1" w:rsidRDefault="00CC08F1" w:rsidP="00CC08F1">
            <w:r w:rsidRPr="00CC08F1">
              <w:rPr>
                <w:b/>
                <w:bCs/>
              </w:rPr>
              <w:t>Estimated Cost (KES)</w:t>
            </w:r>
          </w:p>
        </w:tc>
      </w:tr>
      <w:tr w:rsidR="00CC08F1" w:rsidRPr="00CC08F1" w14:paraId="75D507E0" w14:textId="77777777">
        <w:tc>
          <w:tcPr>
            <w:tcW w:w="0" w:type="auto"/>
            <w:tcBorders>
              <w:top w:val="nil"/>
              <w:left w:val="outset" w:sz="6" w:space="0" w:color="auto"/>
              <w:bottom w:val="outset" w:sz="6" w:space="0" w:color="auto"/>
              <w:right w:val="outset" w:sz="6" w:space="0" w:color="auto"/>
            </w:tcBorders>
            <w:hideMark/>
          </w:tcPr>
          <w:p w14:paraId="251CEF0E" w14:textId="77777777" w:rsidR="00CC08F1" w:rsidRPr="00CC08F1" w:rsidRDefault="00CC08F1" w:rsidP="00CC08F1">
            <w:r w:rsidRPr="00CC08F1">
              <w:t>Literature and reference materials</w:t>
            </w:r>
          </w:p>
        </w:tc>
        <w:tc>
          <w:tcPr>
            <w:tcW w:w="0" w:type="auto"/>
            <w:tcBorders>
              <w:top w:val="nil"/>
              <w:left w:val="outset" w:sz="6" w:space="0" w:color="auto"/>
              <w:bottom w:val="outset" w:sz="6" w:space="0" w:color="auto"/>
              <w:right w:val="outset" w:sz="6" w:space="0" w:color="auto"/>
            </w:tcBorders>
            <w:hideMark/>
          </w:tcPr>
          <w:p w14:paraId="620BB2BE" w14:textId="77777777" w:rsidR="00CC08F1" w:rsidRPr="00CC08F1" w:rsidRDefault="00CC08F1" w:rsidP="00CC08F1">
            <w:r w:rsidRPr="00CC08F1">
              <w:t>10,000</w:t>
            </w:r>
          </w:p>
        </w:tc>
      </w:tr>
      <w:tr w:rsidR="00CC08F1" w:rsidRPr="00CC08F1" w14:paraId="33DEC198" w14:textId="77777777">
        <w:tc>
          <w:tcPr>
            <w:tcW w:w="0" w:type="auto"/>
            <w:tcBorders>
              <w:top w:val="nil"/>
              <w:left w:val="outset" w:sz="6" w:space="0" w:color="auto"/>
              <w:bottom w:val="outset" w:sz="6" w:space="0" w:color="auto"/>
              <w:right w:val="outset" w:sz="6" w:space="0" w:color="auto"/>
            </w:tcBorders>
            <w:hideMark/>
          </w:tcPr>
          <w:p w14:paraId="089C08F3" w14:textId="77777777" w:rsidR="00CC08F1" w:rsidRPr="00CC08F1" w:rsidRDefault="00CC08F1" w:rsidP="00CC08F1">
            <w:r w:rsidRPr="00CC08F1">
              <w:t>Research assistants (data collection)</w:t>
            </w:r>
          </w:p>
        </w:tc>
        <w:tc>
          <w:tcPr>
            <w:tcW w:w="0" w:type="auto"/>
            <w:tcBorders>
              <w:top w:val="nil"/>
              <w:left w:val="outset" w:sz="6" w:space="0" w:color="auto"/>
              <w:bottom w:val="outset" w:sz="6" w:space="0" w:color="auto"/>
              <w:right w:val="outset" w:sz="6" w:space="0" w:color="auto"/>
            </w:tcBorders>
            <w:hideMark/>
          </w:tcPr>
          <w:p w14:paraId="65100D65" w14:textId="77777777" w:rsidR="00CC08F1" w:rsidRPr="00CC08F1" w:rsidRDefault="00CC08F1" w:rsidP="00CC08F1">
            <w:r w:rsidRPr="00CC08F1">
              <w:t>40,000</w:t>
            </w:r>
          </w:p>
        </w:tc>
      </w:tr>
      <w:tr w:rsidR="00CC08F1" w:rsidRPr="00CC08F1" w14:paraId="696F77E6" w14:textId="77777777">
        <w:tc>
          <w:tcPr>
            <w:tcW w:w="0" w:type="auto"/>
            <w:tcBorders>
              <w:top w:val="nil"/>
              <w:left w:val="outset" w:sz="6" w:space="0" w:color="auto"/>
              <w:bottom w:val="outset" w:sz="6" w:space="0" w:color="auto"/>
              <w:right w:val="outset" w:sz="6" w:space="0" w:color="auto"/>
            </w:tcBorders>
            <w:hideMark/>
          </w:tcPr>
          <w:p w14:paraId="03B5BF43" w14:textId="77777777" w:rsidR="00CC08F1" w:rsidRPr="00CC08F1" w:rsidRDefault="00CC08F1" w:rsidP="00CC08F1">
            <w:r w:rsidRPr="00CC08F1">
              <w:t>Transport and logistics within Machakos County</w:t>
            </w:r>
          </w:p>
        </w:tc>
        <w:tc>
          <w:tcPr>
            <w:tcW w:w="0" w:type="auto"/>
            <w:tcBorders>
              <w:top w:val="nil"/>
              <w:left w:val="outset" w:sz="6" w:space="0" w:color="auto"/>
              <w:bottom w:val="outset" w:sz="6" w:space="0" w:color="auto"/>
              <w:right w:val="outset" w:sz="6" w:space="0" w:color="auto"/>
            </w:tcBorders>
            <w:hideMark/>
          </w:tcPr>
          <w:p w14:paraId="6E77150D" w14:textId="77777777" w:rsidR="00CC08F1" w:rsidRPr="00CC08F1" w:rsidRDefault="00CC08F1" w:rsidP="00CC08F1">
            <w:r w:rsidRPr="00CC08F1">
              <w:t>25,000</w:t>
            </w:r>
          </w:p>
        </w:tc>
      </w:tr>
      <w:tr w:rsidR="00CC08F1" w:rsidRPr="00CC08F1" w14:paraId="360C8549" w14:textId="77777777">
        <w:tc>
          <w:tcPr>
            <w:tcW w:w="0" w:type="auto"/>
            <w:tcBorders>
              <w:top w:val="nil"/>
              <w:left w:val="outset" w:sz="6" w:space="0" w:color="auto"/>
              <w:bottom w:val="outset" w:sz="6" w:space="0" w:color="auto"/>
              <w:right w:val="outset" w:sz="6" w:space="0" w:color="auto"/>
            </w:tcBorders>
            <w:hideMark/>
          </w:tcPr>
          <w:p w14:paraId="7457AD36" w14:textId="77777777" w:rsidR="00CC08F1" w:rsidRPr="00CC08F1" w:rsidRDefault="00CC08F1" w:rsidP="00CC08F1">
            <w:r w:rsidRPr="00CC08F1">
              <w:t>Printing, stationery and questionnaire reproduction</w:t>
            </w:r>
          </w:p>
        </w:tc>
        <w:tc>
          <w:tcPr>
            <w:tcW w:w="0" w:type="auto"/>
            <w:tcBorders>
              <w:top w:val="nil"/>
              <w:left w:val="outset" w:sz="6" w:space="0" w:color="auto"/>
              <w:bottom w:val="outset" w:sz="6" w:space="0" w:color="auto"/>
              <w:right w:val="outset" w:sz="6" w:space="0" w:color="auto"/>
            </w:tcBorders>
            <w:hideMark/>
          </w:tcPr>
          <w:p w14:paraId="629CD7B7" w14:textId="77777777" w:rsidR="00CC08F1" w:rsidRPr="00CC08F1" w:rsidRDefault="00CC08F1" w:rsidP="00CC08F1">
            <w:r w:rsidRPr="00CC08F1">
              <w:t>12,000</w:t>
            </w:r>
          </w:p>
        </w:tc>
      </w:tr>
      <w:tr w:rsidR="00CC08F1" w:rsidRPr="00CC08F1" w14:paraId="4E1F9387" w14:textId="77777777">
        <w:tc>
          <w:tcPr>
            <w:tcW w:w="0" w:type="auto"/>
            <w:tcBorders>
              <w:top w:val="nil"/>
              <w:left w:val="outset" w:sz="6" w:space="0" w:color="auto"/>
              <w:bottom w:val="outset" w:sz="6" w:space="0" w:color="auto"/>
              <w:right w:val="outset" w:sz="6" w:space="0" w:color="auto"/>
            </w:tcBorders>
            <w:hideMark/>
          </w:tcPr>
          <w:p w14:paraId="19621A63" w14:textId="77777777" w:rsidR="00CC08F1" w:rsidRPr="00CC08F1" w:rsidRDefault="00CC08F1" w:rsidP="00CC08F1">
            <w:r w:rsidRPr="00CC08F1">
              <w:t>Data analysis software and services</w:t>
            </w:r>
          </w:p>
        </w:tc>
        <w:tc>
          <w:tcPr>
            <w:tcW w:w="0" w:type="auto"/>
            <w:tcBorders>
              <w:top w:val="nil"/>
              <w:left w:val="outset" w:sz="6" w:space="0" w:color="auto"/>
              <w:bottom w:val="outset" w:sz="6" w:space="0" w:color="auto"/>
              <w:right w:val="outset" w:sz="6" w:space="0" w:color="auto"/>
            </w:tcBorders>
            <w:hideMark/>
          </w:tcPr>
          <w:p w14:paraId="639B0BC6" w14:textId="77777777" w:rsidR="00CC08F1" w:rsidRPr="00CC08F1" w:rsidRDefault="00CC08F1" w:rsidP="00CC08F1">
            <w:r w:rsidRPr="00CC08F1">
              <w:t>15,000</w:t>
            </w:r>
          </w:p>
        </w:tc>
      </w:tr>
      <w:tr w:rsidR="00CC08F1" w:rsidRPr="00CC08F1" w14:paraId="309D7365" w14:textId="77777777">
        <w:tc>
          <w:tcPr>
            <w:tcW w:w="0" w:type="auto"/>
            <w:tcBorders>
              <w:top w:val="nil"/>
              <w:left w:val="outset" w:sz="6" w:space="0" w:color="auto"/>
              <w:bottom w:val="outset" w:sz="6" w:space="0" w:color="auto"/>
              <w:right w:val="outset" w:sz="6" w:space="0" w:color="auto"/>
            </w:tcBorders>
            <w:hideMark/>
          </w:tcPr>
          <w:p w14:paraId="2C6B91C3" w14:textId="77777777" w:rsidR="00CC08F1" w:rsidRPr="00CC08F1" w:rsidRDefault="00CC08F1" w:rsidP="00CC08F1">
            <w:r w:rsidRPr="00CC08F1">
              <w:t>NACOSTI permit and ethical review fees</w:t>
            </w:r>
          </w:p>
        </w:tc>
        <w:tc>
          <w:tcPr>
            <w:tcW w:w="0" w:type="auto"/>
            <w:tcBorders>
              <w:top w:val="nil"/>
              <w:left w:val="outset" w:sz="6" w:space="0" w:color="auto"/>
              <w:bottom w:val="outset" w:sz="6" w:space="0" w:color="auto"/>
              <w:right w:val="outset" w:sz="6" w:space="0" w:color="auto"/>
            </w:tcBorders>
            <w:hideMark/>
          </w:tcPr>
          <w:p w14:paraId="35C3B903" w14:textId="77777777" w:rsidR="00CC08F1" w:rsidRPr="00CC08F1" w:rsidRDefault="00CC08F1" w:rsidP="00CC08F1">
            <w:r w:rsidRPr="00CC08F1">
              <w:t>8,000</w:t>
            </w:r>
          </w:p>
        </w:tc>
      </w:tr>
      <w:tr w:rsidR="00CC08F1" w:rsidRPr="00CC08F1" w14:paraId="1617EDEA" w14:textId="77777777">
        <w:tc>
          <w:tcPr>
            <w:tcW w:w="0" w:type="auto"/>
            <w:tcBorders>
              <w:top w:val="nil"/>
              <w:left w:val="outset" w:sz="6" w:space="0" w:color="auto"/>
              <w:bottom w:val="outset" w:sz="6" w:space="0" w:color="auto"/>
              <w:right w:val="outset" w:sz="6" w:space="0" w:color="auto"/>
            </w:tcBorders>
            <w:hideMark/>
          </w:tcPr>
          <w:p w14:paraId="2360B239" w14:textId="77777777" w:rsidR="00CC08F1" w:rsidRPr="00CC08F1" w:rsidRDefault="00CC08F1" w:rsidP="00CC08F1">
            <w:r w:rsidRPr="00CC08F1">
              <w:t>Report binding, printing and dissemination</w:t>
            </w:r>
          </w:p>
        </w:tc>
        <w:tc>
          <w:tcPr>
            <w:tcW w:w="0" w:type="auto"/>
            <w:tcBorders>
              <w:top w:val="nil"/>
              <w:left w:val="outset" w:sz="6" w:space="0" w:color="auto"/>
              <w:bottom w:val="outset" w:sz="6" w:space="0" w:color="auto"/>
              <w:right w:val="outset" w:sz="6" w:space="0" w:color="auto"/>
            </w:tcBorders>
            <w:hideMark/>
          </w:tcPr>
          <w:p w14:paraId="4FA207F4" w14:textId="77777777" w:rsidR="00CC08F1" w:rsidRPr="00CC08F1" w:rsidRDefault="00CC08F1" w:rsidP="00CC08F1">
            <w:r w:rsidRPr="00CC08F1">
              <w:t>10,000</w:t>
            </w:r>
          </w:p>
        </w:tc>
      </w:tr>
      <w:tr w:rsidR="00CC08F1" w:rsidRPr="00CC08F1" w14:paraId="47B27A86" w14:textId="77777777">
        <w:tc>
          <w:tcPr>
            <w:tcW w:w="0" w:type="auto"/>
            <w:tcBorders>
              <w:top w:val="nil"/>
              <w:left w:val="outset" w:sz="6" w:space="0" w:color="auto"/>
              <w:bottom w:val="outset" w:sz="6" w:space="0" w:color="auto"/>
              <w:right w:val="outset" w:sz="6" w:space="0" w:color="auto"/>
            </w:tcBorders>
            <w:hideMark/>
          </w:tcPr>
          <w:p w14:paraId="2F0EEE6B" w14:textId="77777777" w:rsidR="00CC08F1" w:rsidRPr="00CC08F1" w:rsidRDefault="00CC08F1" w:rsidP="00CC08F1">
            <w:r w:rsidRPr="00CC08F1">
              <w:t>Contingency (10%)</w:t>
            </w:r>
          </w:p>
        </w:tc>
        <w:tc>
          <w:tcPr>
            <w:tcW w:w="0" w:type="auto"/>
            <w:tcBorders>
              <w:top w:val="nil"/>
              <w:left w:val="outset" w:sz="6" w:space="0" w:color="auto"/>
              <w:bottom w:val="outset" w:sz="6" w:space="0" w:color="auto"/>
              <w:right w:val="outset" w:sz="6" w:space="0" w:color="auto"/>
            </w:tcBorders>
            <w:hideMark/>
          </w:tcPr>
          <w:p w14:paraId="6ADD527D" w14:textId="77777777" w:rsidR="00CC08F1" w:rsidRPr="00CC08F1" w:rsidRDefault="00CC08F1" w:rsidP="00CC08F1">
            <w:r w:rsidRPr="00CC08F1">
              <w:t>12,000</w:t>
            </w:r>
          </w:p>
        </w:tc>
      </w:tr>
      <w:tr w:rsidR="00CC08F1" w:rsidRPr="00CC08F1" w14:paraId="379B8B8C" w14:textId="77777777">
        <w:tc>
          <w:tcPr>
            <w:tcW w:w="0" w:type="auto"/>
            <w:tcBorders>
              <w:top w:val="nil"/>
              <w:left w:val="outset" w:sz="6" w:space="0" w:color="auto"/>
              <w:bottom w:val="outset" w:sz="6" w:space="0" w:color="auto"/>
              <w:right w:val="outset" w:sz="6" w:space="0" w:color="auto"/>
            </w:tcBorders>
            <w:shd w:val="clear" w:color="auto" w:fill="D9E2F3"/>
            <w:hideMark/>
          </w:tcPr>
          <w:p w14:paraId="25133CED" w14:textId="77777777" w:rsidR="00CC08F1" w:rsidRPr="00CC08F1" w:rsidRDefault="00CC08F1" w:rsidP="00CC08F1">
            <w:r w:rsidRPr="00CC08F1">
              <w:rPr>
                <w:b/>
                <w:bCs/>
              </w:rPr>
              <w:t>Total</w:t>
            </w:r>
          </w:p>
        </w:tc>
        <w:tc>
          <w:tcPr>
            <w:tcW w:w="0" w:type="auto"/>
            <w:tcBorders>
              <w:top w:val="nil"/>
              <w:left w:val="outset" w:sz="6" w:space="0" w:color="auto"/>
              <w:bottom w:val="outset" w:sz="6" w:space="0" w:color="auto"/>
              <w:right w:val="outset" w:sz="6" w:space="0" w:color="auto"/>
            </w:tcBorders>
            <w:shd w:val="clear" w:color="auto" w:fill="D9E2F3"/>
            <w:hideMark/>
          </w:tcPr>
          <w:p w14:paraId="6E150632" w14:textId="77777777" w:rsidR="00CC08F1" w:rsidRPr="00CC08F1" w:rsidRDefault="00CC08F1" w:rsidP="00CC08F1">
            <w:r w:rsidRPr="00CC08F1">
              <w:rPr>
                <w:b/>
                <w:bCs/>
              </w:rPr>
              <w:t>132,000</w:t>
            </w:r>
          </w:p>
        </w:tc>
      </w:tr>
    </w:tbl>
    <w:p w14:paraId="65455C8A" w14:textId="77777777" w:rsidR="00CC08F1" w:rsidRPr="00CC08F1" w:rsidRDefault="00CC08F1" w:rsidP="00CC08F1">
      <w:r w:rsidRPr="00CC08F1">
        <w:t xml:space="preserve"> </w:t>
      </w:r>
    </w:p>
    <w:p w14:paraId="30FBFC71" w14:textId="77777777" w:rsidR="00CC08F1" w:rsidRPr="00CC08F1" w:rsidRDefault="00CC08F1" w:rsidP="00CC08F1">
      <w:pPr>
        <w:rPr>
          <w:b/>
          <w:bCs/>
        </w:rPr>
      </w:pPr>
      <w:r w:rsidRPr="00CC08F1">
        <w:rPr>
          <w:b/>
          <w:bCs/>
        </w:rPr>
        <w:t xml:space="preserve"> </w:t>
      </w:r>
    </w:p>
    <w:p w14:paraId="4E103A84" w14:textId="77777777" w:rsidR="00CC08F1" w:rsidRPr="00CC08F1" w:rsidRDefault="00CC08F1" w:rsidP="00CC08F1">
      <w:pPr>
        <w:rPr>
          <w:b/>
          <w:bCs/>
        </w:rPr>
      </w:pPr>
      <w:r w:rsidRPr="00CC08F1">
        <w:rPr>
          <w:b/>
          <w:bCs/>
        </w:rPr>
        <w:t xml:space="preserve"> </w:t>
      </w:r>
    </w:p>
    <w:p>
      <w:pPr>
        <w:keepNext/>
        <w:spacing w:before="240"/>
        <w:rPr>
          <w:b/>
          <w:bCs/>
        </w:rPr>
      </w:pPr>
      <w:r>
        <w:rPr>
          <w:b/>
          <w:bCs/>
        </w:rPr>
        <w:t xml:space="preserve">References</w:t>
      </w:r>
    </w:p>
    <w:p>
      <w:pPr>
        <w:ind w:left="720" w:hanging="720"/>
      </w:pPr>
      <w:r>
        <w:t xml:space="preserve">Arnstein, S. R. (1969). A ladder of citizen participation. </w:t>
      </w:r>
      <w:r>
        <w:rPr>
          <w:i/>
          <w:iCs/>
        </w:rPr>
        <w:t xml:space="preserve">Journal of the American Institute of Planners, 35</w:t>
      </w:r>
      <w:r>
        <w:t xml:space="preserve">(4), 216–224. </w:t>
      </w:r>
      <w:hyperlink r:id="rId100" w:history="1">
        <w:r>
          <w:rPr>
            <w:rStyle w:val="Hyperlink"/>
          </w:rPr>
          <w:t>https://doi.org/10.1080/01944366908977225</w:t>
        </w:r>
      </w:hyperlink>
    </w:p>
    <w:p>
      <w:pPr>
        <w:ind w:left="720" w:hanging="720"/>
      </w:pPr>
      <w:r>
        <w:t xml:space="preserve">Cornwall, A., &amp; Coelho, V. S. P. (Eds.). (2007). </w:t>
      </w:r>
      <w:r>
        <w:rPr>
          <w:i/>
          <w:iCs/>
        </w:rPr>
        <w:t xml:space="preserve">Spaces for change? The politics of citizen participation in new democratic arenas</w:t>
      </w:r>
      <w:r>
        <w:t xml:space="preserve">. Zed Books.</w:t>
      </w:r>
    </w:p>
    <w:p>
      <w:pPr>
        <w:ind w:left="720" w:hanging="720"/>
      </w:pPr>
      <w:r>
        <w:t xml:space="preserve">De Weger, E., van Vooren, N. J. E., Wong, G., Dalkin, S., Marchal, B., Luijkx, K. G., &amp; Baan, C. A. (2022). Engaging citizens in local health policymaking: A realist explorative case study. </w:t>
      </w:r>
      <w:r>
        <w:rPr>
          <w:i/>
          <w:iCs/>
        </w:rPr>
        <w:t xml:space="preserve">PLOS ONE, 17</w:t>
      </w:r>
      <w:r>
        <w:t xml:space="preserve">(3), Article e0265404. </w:t>
      </w:r>
      <w:hyperlink r:id="rId101" w:history="1">
        <w:r>
          <w:rPr>
            <w:rStyle w:val="Hyperlink"/>
          </w:rPr>
          <w:t>https://doi.org/10.1371/journal.pone.0265404</w:t>
        </w:r>
      </w:hyperlink>
    </w:p>
    <w:p>
      <w:pPr>
        <w:ind w:left="720" w:hanging="720"/>
      </w:pPr>
      <w:r>
        <w:t xml:space="preserve">Fung, A. (2006). Varieties of participation in complex governance. </w:t>
      </w:r>
      <w:r>
        <w:rPr>
          <w:i/>
          <w:iCs/>
        </w:rPr>
        <w:t xml:space="preserve">Public Administration Review, 66</w:t>
      </w:r>
      <w:r>
        <w:t xml:space="preserve">(s1), 66–75. </w:t>
      </w:r>
      <w:hyperlink r:id="rId102" w:history="1">
        <w:r>
          <w:rPr>
            <w:rStyle w:val="Hyperlink"/>
          </w:rPr>
          <w:t>https://doi.org/10.1111/j.1540-6210.2006.00667.x</w:t>
        </w:r>
      </w:hyperlink>
    </w:p>
    <w:p>
      <w:pPr>
        <w:ind w:left="720" w:hanging="720"/>
      </w:pPr>
      <w:r>
        <w:t xml:space="preserve">Jäntti, A., Paananen, H., Kork, A.-A., &amp; Kurkela, K. (2023). Towards interactive governance: Embedding citizen participation in local government. </w:t>
      </w:r>
      <w:r>
        <w:rPr>
          <w:i/>
          <w:iCs/>
        </w:rPr>
        <w:t xml:space="preserve">Administration &amp; Society</w:t>
      </w:r>
      <w:r>
        <w:t xml:space="preserve">. </w:t>
      </w:r>
      <w:hyperlink r:id="rId103" w:history="1">
        <w:r>
          <w:rPr>
            <w:rStyle w:val="Hyperlink"/>
          </w:rPr>
          <w:t>https://doi.org/10.1177/00953997231177220</w:t>
        </w:r>
      </w:hyperlink>
    </w:p>
    <w:p>
      <w:pPr>
        <w:ind w:left="720" w:hanging="720"/>
      </w:pPr>
      <w:r>
        <w:t xml:space="preserve">Linstad, L. H., Bjørnå, H., Moen, A., Kristiansen, T. T., &amp; Hansen, A. H. (2024). Investigating the Norwegian eHealth governance model: Document study. </w:t>
      </w:r>
      <w:r>
        <w:rPr>
          <w:i/>
          <w:iCs/>
        </w:rPr>
        <w:t xml:space="preserve">Journal of Medical Internet Research, 26</w:t>
      </w:r>
      <w:r>
        <w:t xml:space="preserve">, Article e59717. </w:t>
      </w:r>
      <w:hyperlink r:id="rId104" w:history="1">
        <w:r>
          <w:rPr>
            <w:rStyle w:val="Hyperlink"/>
          </w:rPr>
          <w:t>https://doi.org/10.2196/59717</w:t>
        </w:r>
      </w:hyperlink>
    </w:p>
    <w:p>
      <w:pPr>
        <w:ind w:left="720" w:hanging="720"/>
      </w:pPr>
      <w:r>
        <w:t xml:space="preserve">Maiyo, C., &amp; Kinuthia, P. M. (2025). Public participation and the legislative process in Kenya: A case of Finance Act, 2023. </w:t>
      </w:r>
      <w:r>
        <w:rPr>
          <w:i/>
          <w:iCs/>
        </w:rPr>
        <w:t xml:space="preserve">International Journal of Research and Innovation in Social Science, 9</w:t>
      </w:r>
      <w:r>
        <w:t xml:space="preserve">(9), 7639–7651. </w:t>
      </w:r>
      <w:hyperlink r:id="rId105" w:history="1">
        <w:r>
          <w:rPr>
            <w:rStyle w:val="Hyperlink"/>
          </w:rPr>
          <w:t>https://doi.org/10.47772/IJRISS.2025.909000624</w:t>
        </w:r>
      </w:hyperlink>
    </w:p>
    <w:p>
      <w:pPr>
        <w:ind w:left="720" w:hanging="720"/>
      </w:pPr>
      <w:r>
        <w:t xml:space="preserve">Mutua, E. K., Ndeke, G. C. W., &amp; Mboga, M. K. (2024). Influence of public participation in the planning phase on the outcome of water projects in Matungulu Sub-County, Machakos County. </w:t>
      </w:r>
      <w:r>
        <w:rPr>
          <w:i/>
          <w:iCs/>
        </w:rPr>
        <w:t xml:space="preserve">Journal of Policy and Development Studies, 3</w:t>
      </w:r>
      <w:r>
        <w:t xml:space="preserve">(1), 27–42. </w:t>
      </w:r>
      <w:hyperlink r:id="rId106" w:history="1">
        <w:r>
          <w:rPr>
            <w:rStyle w:val="Hyperlink"/>
          </w:rPr>
          <w:t>https://doi.org/10.51317/jpds.v3i1.539</w:t>
        </w:r>
      </w:hyperlink>
    </w:p>
    <w:p>
      <w:pPr>
        <w:ind w:left="720" w:hanging="720"/>
      </w:pPr>
      <w:r>
        <w:t xml:space="preserve">Olowu, D., &amp; Wunsch, J. S. (Eds.). (2004). </w:t>
      </w:r>
      <w:r>
        <w:rPr>
          <w:i/>
          <w:iCs/>
        </w:rPr>
        <w:t xml:space="preserve">Local governance in Africa: The challenges of democratic decentralization</w:t>
      </w:r>
      <w:r>
        <w:t xml:space="preserve">. Lynne Rienner.</w:t>
      </w:r>
    </w:p>
    <w:p>
      <w:pPr>
        <w:ind w:left="720" w:hanging="720"/>
      </w:pPr>
      <w:r>
        <w:t xml:space="preserve">Ostrom, E. (1996). Crossing the great divide: Coproduction, synergy, and development. </w:t>
      </w:r>
      <w:r>
        <w:rPr>
          <w:i/>
          <w:iCs/>
        </w:rPr>
        <w:t xml:space="preserve">World Development, 24</w:t>
      </w:r>
      <w:r>
        <w:t xml:space="preserve">(6), 1073–1087. </w:t>
      </w:r>
      <w:hyperlink r:id="rId107" w:history="1">
        <w:r>
          <w:rPr>
            <w:rStyle w:val="Hyperlink"/>
          </w:rPr>
          <w:t>https://doi.org/10.1016/0305-750X(96)00023-X</w:t>
        </w:r>
      </w:hyperlink>
    </w:p>
    <w:p>
      <w:pPr>
        <w:ind w:left="720" w:hanging="720"/>
      </w:pPr>
      <w:r>
        <w:t xml:space="preserve">Republic of Kenya. (2010). </w:t>
      </w:r>
      <w:r>
        <w:rPr>
          <w:i/>
          <w:iCs/>
        </w:rPr>
        <w:t xml:space="preserve">The Constitution of Kenya, 2010</w:t>
      </w:r>
      <w:r>
        <w:t xml:space="preserve">. Government Printer. </w:t>
      </w:r>
      <w:hyperlink r:id="rId108" w:history="1">
        <w:r>
          <w:rPr>
            <w:rStyle w:val="Hyperlink"/>
          </w:rPr>
          <w:t>http://kenyalaw.org/kl/index.php?id=398</w:t>
        </w:r>
      </w:hyperlink>
    </w:p>
    <w:p>
      <w:pPr>
        <w:ind w:left="720" w:hanging="720"/>
      </w:pPr>
      <w:r>
        <w:t xml:space="preserve">Republic of Kenya. (2012a). </w:t>
      </w:r>
      <w:r>
        <w:rPr>
          <w:i/>
          <w:iCs/>
        </w:rPr>
        <w:t xml:space="preserve">County Governments Act, No. 17 of 2012</w:t>
      </w:r>
      <w:r>
        <w:t xml:space="preserve">. Government Printer. </w:t>
      </w:r>
      <w:hyperlink r:id="rId109" w:history="1">
        <w:r>
          <w:rPr>
            <w:rStyle w:val="Hyperlink"/>
          </w:rPr>
          <w:t>http://kenyalaw.org/kl/fileadmin/pdfdownloads/Acts/CountyGovernmentsAct_No17of2012.pdf</w:t>
        </w:r>
      </w:hyperlink>
    </w:p>
    <w:p>
      <w:pPr>
        <w:ind w:left="720" w:hanging="720"/>
      </w:pPr>
      <w:r>
        <w:t xml:space="preserve">Republic of Kenya. (2012b). </w:t>
      </w:r>
      <w:r>
        <w:rPr>
          <w:i/>
          <w:iCs/>
        </w:rPr>
        <w:t xml:space="preserve">Public Finance Management Act, No. 18 of 2012</w:t>
      </w:r>
      <w:r>
        <w:t xml:space="preserve">. Government Printer. </w:t>
      </w:r>
      <w:hyperlink r:id="rId110" w:history="1">
        <w:r>
          <w:rPr>
            <w:rStyle w:val="Hyperlink"/>
          </w:rPr>
          <w:t>http://kenyalaw.org/kl/fileadmin/pdfdownloads/Acts/PublicFinanceManagementAct_No18of2012.pdf</w:t>
        </w:r>
      </w:hyperlink>
    </w:p>
    <w:p>
      <w:pPr>
        <w:ind w:left="720" w:hanging="720"/>
      </w:pPr>
      <w:r>
        <w:t xml:space="preserve">Republic of South Africa. (2000). </w:t>
      </w:r>
      <w:r>
        <w:rPr>
          <w:i/>
          <w:iCs/>
        </w:rPr>
        <w:t xml:space="preserve">Local Government: Municipal Systems Act, No. 32 of 2000</w:t>
      </w:r>
      <w:r>
        <w:t xml:space="preserve">. Government Printer.</w:t>
      </w:r>
    </w:p>
    <w:p>
      <w:pPr>
        <w:ind w:left="720" w:hanging="720"/>
      </w:pPr>
      <w:r>
        <w:t xml:space="preserve">Republic of Uganda. (1997). </w:t>
      </w:r>
      <w:r>
        <w:rPr>
          <w:i/>
          <w:iCs/>
        </w:rPr>
        <w:t xml:space="preserve">The Local Governments Act, 1997</w:t>
      </w:r>
      <w:r>
        <w:t xml:space="preserve">. Uganda Printing and Publishing Corporation.</w:t>
      </w:r>
    </w:p>
    <w:p>
      <w:pPr>
        <w:ind w:left="720" w:hanging="720"/>
      </w:pPr>
      <w:r>
        <w:t xml:space="preserve">Wampler, B. (2007). </w:t>
      </w:r>
      <w:r>
        <w:rPr>
          <w:i/>
          <w:iCs/>
        </w:rPr>
        <w:t xml:space="preserve">Participatory budgeting in Brazil: Contestation, cooperation, and accountability</w:t>
      </w:r>
      <w:r>
        <w:t xml:space="preserve">. Pennsylvania State University Press.</w:t>
      </w:r>
    </w:p>
    <w:p w14:paraId="2422647B" w14:textId="77777777" w:rsidR="00CC08F1" w:rsidRDefault="00CC08F1"/>
    <w:sectPr w:rsidR="00CC08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24E05"/>
    <w:multiLevelType w:val="hybridMultilevel"/>
    <w:tmpl w:val="FC2A85D4"/>
    <w:lvl w:ilvl="0" w:tplc="2F647F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4711A"/>
    <w:multiLevelType w:val="multilevel"/>
    <w:tmpl w:val="8B68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tin Onsiro">
    <w15:presenceInfo w15:providerId="AD" w15:userId="S-1-5-21-210667918-1120100767-1390318391-20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8F1"/>
    <w:rsid w:val="00241289"/>
    <w:rsid w:val="00606606"/>
    <w:rsid w:val="006B61DA"/>
    <w:rsid w:val="00715E51"/>
    <w:rsid w:val="00CC0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C722"/>
  <w15:chartTrackingRefBased/>
  <w15:docId w15:val="{6170A078-0671-47EA-93F2-9356A532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0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F1"/>
    <w:rPr>
      <w:rFonts w:eastAsiaTheme="majorEastAsia" w:cstheme="majorBidi"/>
      <w:color w:val="272727" w:themeColor="text1" w:themeTint="D8"/>
    </w:rPr>
  </w:style>
  <w:style w:type="paragraph" w:styleId="Title">
    <w:name w:val="Title"/>
    <w:basedOn w:val="Normal"/>
    <w:next w:val="Normal"/>
    <w:link w:val="TitleChar"/>
    <w:uiPriority w:val="10"/>
    <w:qFormat/>
    <w:rsid w:val="00CC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F1"/>
    <w:pPr>
      <w:spacing w:before="160"/>
      <w:jc w:val="center"/>
    </w:pPr>
    <w:rPr>
      <w:i/>
      <w:iCs/>
      <w:color w:val="404040" w:themeColor="text1" w:themeTint="BF"/>
    </w:rPr>
  </w:style>
  <w:style w:type="character" w:customStyle="1" w:styleId="QuoteChar">
    <w:name w:val="Quote Char"/>
    <w:basedOn w:val="DefaultParagraphFont"/>
    <w:link w:val="Quote"/>
    <w:uiPriority w:val="29"/>
    <w:rsid w:val="00CC08F1"/>
    <w:rPr>
      <w:i/>
      <w:iCs/>
      <w:color w:val="404040" w:themeColor="text1" w:themeTint="BF"/>
    </w:rPr>
  </w:style>
  <w:style w:type="paragraph" w:styleId="ListParagraph">
    <w:name w:val="List Paragraph"/>
    <w:basedOn w:val="Normal"/>
    <w:uiPriority w:val="34"/>
    <w:qFormat/>
    <w:rsid w:val="00CC08F1"/>
    <w:pPr>
      <w:ind w:left="720"/>
      <w:contextualSpacing/>
    </w:pPr>
  </w:style>
  <w:style w:type="character" w:styleId="IntenseEmphasis">
    <w:name w:val="Intense Emphasis"/>
    <w:basedOn w:val="DefaultParagraphFont"/>
    <w:uiPriority w:val="21"/>
    <w:qFormat/>
    <w:rsid w:val="00CC08F1"/>
    <w:rPr>
      <w:i/>
      <w:iCs/>
      <w:color w:val="2F5496" w:themeColor="accent1" w:themeShade="BF"/>
    </w:rPr>
  </w:style>
  <w:style w:type="paragraph" w:styleId="IntenseQuote">
    <w:name w:val="Intense Quote"/>
    <w:basedOn w:val="Normal"/>
    <w:next w:val="Normal"/>
    <w:link w:val="IntenseQuoteChar"/>
    <w:uiPriority w:val="30"/>
    <w:qFormat/>
    <w:rsid w:val="00CC0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8F1"/>
    <w:rPr>
      <w:i/>
      <w:iCs/>
      <w:color w:val="2F5496" w:themeColor="accent1" w:themeShade="BF"/>
    </w:rPr>
  </w:style>
  <w:style w:type="character" w:styleId="IntenseReference">
    <w:name w:val="Intense Reference"/>
    <w:basedOn w:val="DefaultParagraphFont"/>
    <w:uiPriority w:val="32"/>
    <w:qFormat/>
    <w:rsid w:val="00CC08F1"/>
    <w:rPr>
      <w:b/>
      <w:bCs/>
      <w:smallCaps/>
      <w:color w:val="2F5496" w:themeColor="accent1" w:themeShade="BF"/>
      <w:spacing w:val="5"/>
    </w:rPr>
  </w:style>
  <w:style w:type="character" w:styleId="Hyperlink">
    <w:name w:val="Hyperlink"/>
    <w:basedOn w:val="DefaultParagraphFont"/>
    <w:uiPriority w:val="99"/>
    <w:unhideWhenUsed/>
    <w:rsid w:val="00CC08F1"/>
    <w:rPr>
      <w:color w:val="0563C1" w:themeColor="hyperlink"/>
      <w:u w:val="single"/>
    </w:rPr>
  </w:style>
  <w:style w:type="character" w:customStyle="1" w:styleId="UnresolvedMention">
    <w:name w:val="Unresolved Mention"/>
    <w:basedOn w:val="DefaultParagraphFont"/>
    <w:uiPriority w:val="99"/>
    <w:semiHidden/>
    <w:unhideWhenUsed/>
    <w:rsid w:val="00CC08F1"/>
    <w:rPr>
      <w:color w:val="605E5C"/>
      <w:shd w:val="clear" w:color="auto" w:fill="E1DFDD"/>
    </w:rPr>
  </w:style>
  <w:style w:type="character" w:styleId="CommentReference">
    <w:name w:val="annotation reference"/>
    <w:basedOn w:val="DefaultParagraphFont"/>
    <w:uiPriority w:val="99"/>
    <w:semiHidden/>
    <w:unhideWhenUsed/>
    <w:rsid w:val="00606606"/>
    <w:rPr>
      <w:sz w:val="16"/>
      <w:szCs w:val="16"/>
    </w:rPr>
  </w:style>
  <w:style w:type="paragraph" w:styleId="CommentText">
    <w:name w:val="annotation text"/>
    <w:basedOn w:val="Normal"/>
    <w:link w:val="CommentTextChar"/>
    <w:uiPriority w:val="99"/>
    <w:semiHidden/>
    <w:unhideWhenUsed/>
    <w:rsid w:val="00606606"/>
    <w:pPr>
      <w:spacing w:line="240" w:lineRule="auto"/>
    </w:pPr>
    <w:rPr>
      <w:sz w:val="20"/>
      <w:szCs w:val="20"/>
    </w:rPr>
  </w:style>
  <w:style w:type="character" w:customStyle="1" w:styleId="CommentTextChar">
    <w:name w:val="Comment Text Char"/>
    <w:basedOn w:val="DefaultParagraphFont"/>
    <w:link w:val="CommentText"/>
    <w:uiPriority w:val="99"/>
    <w:semiHidden/>
    <w:rsid w:val="00606606"/>
    <w:rPr>
      <w:sz w:val="20"/>
      <w:szCs w:val="20"/>
    </w:rPr>
  </w:style>
  <w:style w:type="paragraph" w:styleId="CommentSubject">
    <w:name w:val="annotation subject"/>
    <w:basedOn w:val="CommentText"/>
    <w:next w:val="CommentText"/>
    <w:link w:val="CommentSubjectChar"/>
    <w:uiPriority w:val="99"/>
    <w:semiHidden/>
    <w:unhideWhenUsed/>
    <w:rsid w:val="00606606"/>
    <w:rPr>
      <w:b/>
      <w:bCs/>
    </w:rPr>
  </w:style>
  <w:style w:type="character" w:customStyle="1" w:styleId="CommentSubjectChar">
    <w:name w:val="Comment Subject Char"/>
    <w:basedOn w:val="CommentTextChar"/>
    <w:link w:val="CommentSubject"/>
    <w:uiPriority w:val="99"/>
    <w:semiHidden/>
    <w:rsid w:val="00606606"/>
    <w:rPr>
      <w:b/>
      <w:bCs/>
      <w:sz w:val="20"/>
      <w:szCs w:val="20"/>
    </w:rPr>
  </w:style>
  <w:style w:type="paragraph" w:styleId="BalloonText">
    <w:name w:val="Balloon Text"/>
    <w:basedOn w:val="Normal"/>
    <w:link w:val="BalloonTextChar"/>
    <w:uiPriority w:val="99"/>
    <w:semiHidden/>
    <w:unhideWhenUsed/>
    <w:rsid w:val="006066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6606"/>
    <w:rPr>
      <w:rFonts w:ascii="Segoe UI" w:hAnsi="Segoe UI" w:cs="Segoe UI"/>
      <w:sz w:val="18"/>
      <w:szCs w:val="18"/>
    </w:rPr>
  </w:style>
  <w:style w:type="character" w:styleId="Strong">
    <w:name w:val="Strong"/>
    <w:basedOn w:val="DefaultParagraphFont"/>
    <w:uiPriority w:val="22"/>
    <w:qFormat/>
    <w:rsid w:val="006066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47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944366908977225" TargetMode="External"/><Relationship Id="rId13" Type="http://schemas.openxmlformats.org/officeDocument/2006/relationships/hyperlink" Target="https://doi.org/10.47772/IJRISS.2025.909000624" TargetMode="External"/><Relationship Id="rId18"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https://doi.org/10.2196/5971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kenyalaw.org/kl/fileadmin/pdfdownloads/Acts/PublicFinanceManagementAct_No18of2012.pdf" TargetMode="External"/><Relationship Id="rId1" Type="http://schemas.openxmlformats.org/officeDocument/2006/relationships/numbering" Target="numbering.xml"/><Relationship Id="rId11" Type="http://schemas.openxmlformats.org/officeDocument/2006/relationships/hyperlink" Target="https://doi.org/10.1177/00953997231177220" TargetMode="External"/><Relationship Id="rId5" Type="http://schemas.openxmlformats.org/officeDocument/2006/relationships/image" Target="media/image1.jpeg"/><Relationship Id="rId15" Type="http://schemas.openxmlformats.org/officeDocument/2006/relationships/hyperlink" Target="https://doi.org/10.1016/0305-750X(96)00023-X" TargetMode="External"/><Relationship Id="rId10" Type="http://schemas.openxmlformats.org/officeDocument/2006/relationships/hyperlink" Target="https://doi.org/10.1371/journal.pone.026540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kenyalaw.org/kl/fileadmin/pdfdownloads/Acts/CountyGovernmentsAct_No17of2012.pdf" TargetMode="External"/><Relationship Id="rId14" Type="http://schemas.openxmlformats.org/officeDocument/2006/relationships/hyperlink" Target="https://doi.org/10.51317/jpds.v3i1.539" TargetMode="External"/><Relationship Id="rId100" Type="http://schemas.openxmlformats.org/officeDocument/2006/relationships/hyperlink" Target="https://doi.org/10.1080/01944366908977225" TargetMode="External"/><Relationship Id="rId101" Type="http://schemas.openxmlformats.org/officeDocument/2006/relationships/hyperlink" Target="https://doi.org/10.1371/journal.pone.0265404" TargetMode="External"/><Relationship Id="rId102" Type="http://schemas.openxmlformats.org/officeDocument/2006/relationships/hyperlink" Target="https://doi.org/10.1111/j.1540-6210.2006.00667.x" TargetMode="External"/><Relationship Id="rId103" Type="http://schemas.openxmlformats.org/officeDocument/2006/relationships/hyperlink" Target="https://doi.org/10.1177/00953997231177220" TargetMode="External"/><Relationship Id="rId104" Type="http://schemas.openxmlformats.org/officeDocument/2006/relationships/hyperlink" Target="https://doi.org/10.2196/59717" TargetMode="External"/><Relationship Id="rId105" Type="http://schemas.openxmlformats.org/officeDocument/2006/relationships/hyperlink" Target="https://doi.org/10.47772/IJRISS.2025.909000624" TargetMode="External"/><Relationship Id="rId106" Type="http://schemas.openxmlformats.org/officeDocument/2006/relationships/hyperlink" Target="https://doi.org/10.51317/jpds.v3i1.539" TargetMode="External"/><Relationship Id="rId107" Type="http://schemas.openxmlformats.org/officeDocument/2006/relationships/hyperlink" Target="https://doi.org/10.1016/0305-750X(96)00023-X" TargetMode="External"/><Relationship Id="rId108" Type="http://schemas.openxmlformats.org/officeDocument/2006/relationships/hyperlink" Target="http://kenyalaw.org/kl/index.php?id=398" TargetMode="External"/><Relationship Id="rId109" Type="http://schemas.openxmlformats.org/officeDocument/2006/relationships/hyperlink" Target="http://kenyalaw.org/kl/fileadmin/pdfdownloads/Acts/CountyGovernmentsAct_No17of2012.pdf" TargetMode="External"/><Relationship Id="rId110" Type="http://schemas.openxmlformats.org/officeDocument/2006/relationships/hyperlink" Target="http://kenyalaw.org/kl/fileadmin/pdfdownloads/Acts/PublicFinanceManagementAct_No18of20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Martin Onsiro</cp:lastModifiedBy>
  <cp:revision>3</cp:revision>
  <dcterms:created xsi:type="dcterms:W3CDTF">2026-09-09T07:07:00Z</dcterms:created>
  <dcterms:modified xsi:type="dcterms:W3CDTF">2026-09-30T12:36:00Z</dcterms:modified>
</cp:coreProperties>
</file>