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6C32" w14:textId="50241344" w:rsidR="002F1A54" w:rsidRPr="002F1A54" w:rsidRDefault="002F1A54" w:rsidP="002F1A54">
      <w:pPr>
        <w:keepNext/>
        <w:keepLines/>
        <w:spacing w:before="400" w:after="120" w:line="276" w:lineRule="auto"/>
        <w:jc w:val="center"/>
        <w:outlineLvl w:val="0"/>
        <w:rPr>
          <w:rFonts w:ascii="Google Sans" w:eastAsia="Google Sans" w:hAnsi="Google Sans" w:cs="Google Sans"/>
          <w:kern w:val="0"/>
          <w:sz w:val="40"/>
          <w:szCs w:val="40"/>
          <w:lang w:val="en"/>
          <w14:ligatures w14:val="none"/>
        </w:rPr>
      </w:pPr>
      <w:bookmarkStart w:id="0" w:name="_wj2j189xt6fj" w:colFirst="0" w:colLast="0"/>
      <w:bookmarkEnd w:id="0"/>
      <w:r w:rsidRPr="002F1A54">
        <w:rPr>
          <w:rFonts w:ascii="Google Sans" w:eastAsia="Google Sans" w:hAnsi="Google Sans" w:cs="Google Sans"/>
          <w:kern w:val="0"/>
          <w:sz w:val="40"/>
          <w:szCs w:val="40"/>
          <w:lang w:val="en"/>
          <w14:ligatures w14:val="none"/>
        </w:rPr>
        <w:t xml:space="preserve">Stakeholder memorandum </w:t>
      </w:r>
    </w:p>
    <w:p w14:paraId="45FBBB44" w14:textId="77777777" w:rsidR="002F1A54" w:rsidRPr="002F1A54" w:rsidRDefault="002F1A54" w:rsidP="002F1A54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654BF844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TO: IT Manager, stakeholders</w:t>
      </w:r>
    </w:p>
    <w:p w14:paraId="2E803D5E" w14:textId="01F638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FROM: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Brianna Baird 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br/>
        <w:t xml:space="preserve">DATE: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1/18/2024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br/>
        <w:t>SUBJECT: Internal IT audit findings and recommendations</w:t>
      </w:r>
    </w:p>
    <w:p w14:paraId="08BF11DF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251D5FDF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Dear Colleagues,</w:t>
      </w:r>
    </w:p>
    <w:p w14:paraId="72F3A8E7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08A39D48" w14:textId="22DA5D9D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Please review the following information regarding the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XYZ Financial Services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internal audit scope, goals, critical findings, 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summary,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and recommendations.</w:t>
      </w:r>
    </w:p>
    <w:p w14:paraId="07D59446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27A5EEFD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23CE242C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  <w:t>Scope: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364E71AB" w14:textId="15141344" w:rsidR="002F1A54" w:rsidRPr="002F1A54" w:rsidRDefault="002F1A54" w:rsidP="002F1A54">
      <w:pPr>
        <w:numPr>
          <w:ilvl w:val="0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The following systems are in scope: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transaction processing </w:t>
      </w:r>
      <w:r w:rsidR="006E17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systems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, databases, financial applications, firewalls, intrusion detection</w:t>
      </w:r>
      <w:r w:rsidR="006E17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systems, and encryption.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 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The systems will be evaluated for:</w:t>
      </w:r>
    </w:p>
    <w:p w14:paraId="7A6B841C" w14:textId="77777777" w:rsidR="002F1A54" w:rsidRPr="002F1A54" w:rsidRDefault="002F1A54" w:rsidP="002F1A54">
      <w:pPr>
        <w:numPr>
          <w:ilvl w:val="1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Current user permissions </w:t>
      </w:r>
    </w:p>
    <w:p w14:paraId="3020F0C9" w14:textId="77777777" w:rsidR="006E173A" w:rsidRPr="00FD2C82" w:rsidRDefault="006E173A" w:rsidP="002F1A54">
      <w:pPr>
        <w:numPr>
          <w:ilvl w:val="1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Access controls </w:t>
      </w:r>
    </w:p>
    <w:p w14:paraId="77FB6A2D" w14:textId="1B26874A" w:rsidR="002F1A54" w:rsidRPr="00FD2C82" w:rsidRDefault="002F1A54" w:rsidP="002F1A54">
      <w:pPr>
        <w:numPr>
          <w:ilvl w:val="1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Current procedures and protocols</w:t>
      </w:r>
    </w:p>
    <w:p w14:paraId="01706218" w14:textId="2935BA2C" w:rsidR="006E173A" w:rsidRPr="002F1A54" w:rsidRDefault="006E173A" w:rsidP="002F1A54">
      <w:pPr>
        <w:numPr>
          <w:ilvl w:val="1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Effectiveness of controls </w:t>
      </w:r>
    </w:p>
    <w:p w14:paraId="032526B4" w14:textId="2CC29EB1" w:rsidR="002F1A54" w:rsidRPr="00FD2C82" w:rsidRDefault="006E173A" w:rsidP="002F1A54">
      <w:pPr>
        <w:numPr>
          <w:ilvl w:val="0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Evaluate compliance with financial regulations and alignment with GLBA and PCI DSS requirements. </w:t>
      </w:r>
    </w:p>
    <w:p w14:paraId="0522AF9E" w14:textId="140C7916" w:rsidR="006E173A" w:rsidRPr="002F1A54" w:rsidRDefault="00CC3881" w:rsidP="002F1A54">
      <w:pPr>
        <w:numPr>
          <w:ilvl w:val="0"/>
          <w:numId w:val="4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Assess</w:t>
      </w:r>
      <w:r w:rsidR="006E17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technology assets; hardware and software, used in financial </w:t>
      </w:r>
      <w:r w:rsidR="00A14274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transactions.</w:t>
      </w:r>
      <w:r w:rsidR="006E17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1C10600C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3B417B2F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5A1F9735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  <w:t>Goals:</w:t>
      </w:r>
    </w:p>
    <w:p w14:paraId="08F8C3FE" w14:textId="1F8B9B5B" w:rsidR="002F1A54" w:rsidRPr="00FD2C82" w:rsidRDefault="00CC3881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Ensure compliance</w:t>
      </w:r>
      <w:r w:rsidR="002F1A54"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with GLBA and PCI DSS regulations</w:t>
      </w:r>
      <w:r w:rsidR="002F1A54"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</w:p>
    <w:p w14:paraId="61A3B1E1" w14:textId="1560A5A2" w:rsidR="00CC3881" w:rsidRPr="00FD2C82" w:rsidRDefault="00CC3881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Strengthen data protection measures to safeguard customer financial records</w:t>
      </w:r>
      <w:r w:rsidR="00C9480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</w:p>
    <w:p w14:paraId="3F136D34" w14:textId="37BEF66B" w:rsidR="00CC3881" w:rsidRPr="00FD2C82" w:rsidRDefault="00CC3881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Identify and address concerns that are a threat to financial operations</w:t>
      </w:r>
      <w:r w:rsidR="00C9480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424F6370" w14:textId="3400340C" w:rsidR="00CC3881" w:rsidRPr="00FD2C82" w:rsidRDefault="00CC3881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Develop business continuity strategy</w:t>
      </w:r>
      <w:r w:rsidR="00C9480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</w:p>
    <w:p w14:paraId="25D2EC3C" w14:textId="06D98DA6" w:rsidR="00CC3881" w:rsidRPr="00FD2C82" w:rsidRDefault="00CC3881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Adhere to NIST CSF to enhance security</w:t>
      </w:r>
      <w:r w:rsidR="00C9480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6964572D" w14:textId="631BD240" w:rsidR="00C9480F" w:rsidRPr="00FD2C82" w:rsidRDefault="00C9480F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Provide recommendations for high-risk vulnerabilities.</w:t>
      </w:r>
    </w:p>
    <w:p w14:paraId="60A11ABC" w14:textId="3D5DBCE3" w:rsidR="00CC3881" w:rsidRPr="00FD2C82" w:rsidRDefault="00C9480F" w:rsidP="002F1A54">
      <w:pPr>
        <w:numPr>
          <w:ilvl w:val="0"/>
          <w:numId w:val="3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Develop and implement training programs.  </w:t>
      </w:r>
    </w:p>
    <w:p w14:paraId="6D525629" w14:textId="24DA3AA6" w:rsidR="00CC3881" w:rsidRPr="002F1A54" w:rsidRDefault="00CC3881" w:rsidP="00CC3881">
      <w:pPr>
        <w:spacing w:after="0" w:line="276" w:lineRule="auto"/>
        <w:ind w:left="720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52E3FDF5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0F928D7A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strike/>
          <w:color w:val="434343"/>
          <w:kern w:val="0"/>
          <w:sz w:val="24"/>
          <w:szCs w:val="24"/>
          <w:highlight w:val="magenta"/>
          <w:lang w:val="en"/>
          <w14:ligatures w14:val="none"/>
        </w:rPr>
      </w:pPr>
    </w:p>
    <w:p w14:paraId="044A4343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30030ED3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  <w:lastRenderedPageBreak/>
        <w:t>Critical findings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(must be addressed immediately): </w:t>
      </w:r>
    </w:p>
    <w:p w14:paraId="005C71F3" w14:textId="77777777" w:rsidR="002F1A54" w:rsidRPr="002F1A54" w:rsidRDefault="002F1A54" w:rsidP="002F1A54">
      <w:pPr>
        <w:numPr>
          <w:ilvl w:val="0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Multiple controls need to be developed and implemented to meet the audit goals, including:</w:t>
      </w:r>
    </w:p>
    <w:p w14:paraId="3643DE47" w14:textId="5D74FBBF" w:rsidR="00C43EC9" w:rsidRPr="00FD2C82" w:rsidRDefault="00C43EC9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Just-in Time privileged access management to limit access to systems </w:t>
      </w:r>
    </w:p>
    <w:p w14:paraId="1CD17675" w14:textId="21F92155" w:rsidR="00C43EC9" w:rsidRPr="00FD2C82" w:rsidRDefault="00C43EC9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Principle of least privilege to access systems  with customer financial data </w:t>
      </w:r>
    </w:p>
    <w:p w14:paraId="1828AE03" w14:textId="014997CC" w:rsidR="00C43EC9" w:rsidRPr="00FD2C82" w:rsidRDefault="00C43EC9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Multifactor authentication </w:t>
      </w:r>
      <w:r w:rsidR="00A14274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password management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for system access </w:t>
      </w:r>
      <w:r w:rsidR="00D83CDE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on employee devices </w:t>
      </w:r>
    </w:p>
    <w:p w14:paraId="2CC0B526" w14:textId="2A8AE3A3" w:rsidR="002F1A54" w:rsidRPr="002F1A54" w:rsidRDefault="00D83CDE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Data encryption to protect customer data in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transit.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77F23F4E" w14:textId="41C26433" w:rsidR="002F1A54" w:rsidRPr="002F1A54" w:rsidRDefault="00D83CDE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Intrusion Detection Systems (IDS) </w:t>
      </w:r>
    </w:p>
    <w:p w14:paraId="23737EA3" w14:textId="66C3E5E5" w:rsidR="002F1A54" w:rsidRPr="002F1A54" w:rsidRDefault="00D83CDE" w:rsidP="002F1A54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Data </w:t>
      </w:r>
      <w:r w:rsidR="002F1A54"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Backups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and recovery plans </w:t>
      </w:r>
    </w:p>
    <w:p w14:paraId="16B8DEBC" w14:textId="4262AB3C" w:rsidR="002F1A54" w:rsidRPr="002F1A54" w:rsidRDefault="00A14274" w:rsidP="000D36A8">
      <w:pPr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Firewall</w:t>
      </w:r>
      <w:r w:rsidR="000D36A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s to </w:t>
      </w:r>
    </w:p>
    <w:p w14:paraId="203BD662" w14:textId="22B6B972" w:rsidR="002F1A54" w:rsidRPr="00FD2C82" w:rsidRDefault="000D36A8" w:rsidP="000D36A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Biometric</w:t>
      </w:r>
      <w:r w:rsidR="00D83CDE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  <w:r w:rsidR="002F1A54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Locks</w:t>
      </w:r>
      <w:r w:rsidR="00D83CDE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  <w:r w:rsidR="00A14274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at data centers</w:t>
      </w:r>
    </w:p>
    <w:p w14:paraId="2579EFFC" w14:textId="1D600C35" w:rsidR="000D36A8" w:rsidRPr="00FD2C82" w:rsidRDefault="000D36A8" w:rsidP="000D36A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Implement 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policies in alignment with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SOC type 1 and SOC type 2 control standards to ensure data safety and integrity concerning user access.</w:t>
      </w:r>
    </w:p>
    <w:p w14:paraId="3784089D" w14:textId="307B1D3E" w:rsidR="000D36A8" w:rsidRPr="00FD2C82" w:rsidRDefault="000D36A8" w:rsidP="000D36A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Policies must be implemented 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to remain in compliance with GDPR and PCI DSS regulations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.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1401345C" w14:textId="77777777" w:rsidR="000D36A8" w:rsidRPr="002F1A54" w:rsidRDefault="000D36A8" w:rsidP="000D36A8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329C30AA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  <w:t>Findings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(should be addressed, but no immediate need): </w:t>
      </w:r>
    </w:p>
    <w:p w14:paraId="2D03B30A" w14:textId="77777777" w:rsidR="002F1A54" w:rsidRPr="00FD2C82" w:rsidRDefault="002F1A54" w:rsidP="002F1A54">
      <w:pPr>
        <w:numPr>
          <w:ilvl w:val="0"/>
          <w:numId w:val="2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The following controls should be implemented when possible:</w:t>
      </w:r>
    </w:p>
    <w:p w14:paraId="090DFB19" w14:textId="35730276" w:rsidR="00A14274" w:rsidRPr="00FD2C82" w:rsidRDefault="00A14274" w:rsidP="00A14274">
      <w:pPr>
        <w:numPr>
          <w:ilvl w:val="1"/>
          <w:numId w:val="2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Employee training </w:t>
      </w:r>
      <w:r w:rsidR="000D36A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on best cybersecurity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to reduce </w:t>
      </w:r>
      <w:r w:rsidR="000D36A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the </w:t>
      </w: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risk </w:t>
      </w:r>
      <w:r w:rsidR="000D36A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of error.</w:t>
      </w:r>
    </w:p>
    <w:p w14:paraId="5BDF83CB" w14:textId="19C99EE4" w:rsidR="000D36A8" w:rsidRPr="002F1A54" w:rsidRDefault="00D5453A" w:rsidP="00A14274">
      <w:pPr>
        <w:numPr>
          <w:ilvl w:val="1"/>
          <w:numId w:val="2"/>
        </w:num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Surveillance cameras at office locations </w:t>
      </w:r>
    </w:p>
    <w:p w14:paraId="1BA51BA0" w14:textId="77777777" w:rsidR="002F1A54" w:rsidRPr="002F1A54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7DBA5028" w14:textId="36733830" w:rsidR="00582308" w:rsidRPr="00FD2C82" w:rsidRDefault="002F1A54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2F1A54">
        <w:rPr>
          <w:rFonts w:ascii="Times New Roman" w:eastAsia="Google Sans" w:hAnsi="Times New Roman" w:cs="Times New Roman"/>
          <w:b/>
          <w:color w:val="434343"/>
          <w:kern w:val="0"/>
          <w:sz w:val="24"/>
          <w:szCs w:val="24"/>
          <w:lang w:val="en"/>
          <w14:ligatures w14:val="none"/>
        </w:rPr>
        <w:t>Summary/Recommendations:</w:t>
      </w:r>
      <w:r w:rsidRPr="002F1A54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It is recommended that XYZ Financial Services address the critical findings 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concerning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compliance with financial regulations to protect customer information and reduce 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the </w:t>
      </w:r>
      <w:r w:rsidR="00D5453A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risk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of data breaches.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The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i</w:t>
      </w:r>
      <w:r w:rsidR="00582308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mplementation of policies concerning systems access should be addressed to ensure our goals of data protection. 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Developing employee 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training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programs to educate employees on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the best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cybersecurity practices is crucial to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the 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protection of data.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If not in </w:t>
      </w:r>
      <w:r w:rsidR="00FD2C82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compliance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with GDPR and PCI DSS </w:t>
      </w:r>
      <w:r w:rsidR="00FD2C82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standards and regulations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XYZ Financial </w:t>
      </w:r>
      <w:r w:rsidR="00FD2C82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Services may face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ligation, financial loss, and damage to the brand. 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To ensure business continuity </w:t>
      </w:r>
      <w:r w:rsidR="00FD2C82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complete 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regular backups while developing a recovery plan. Implementation of IDS for quick 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>identification</w:t>
      </w:r>
      <w:r w:rsidR="00D7086F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 and response to threats</w:t>
      </w:r>
      <w:r w:rsidR="00BF2CEB"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. The protection of physical assets is also a priority. The use of biometric locks and CCTV to monitor and control access to office buildings and data centers offers additional protection. </w:t>
      </w:r>
    </w:p>
    <w:p w14:paraId="0357B1E7" w14:textId="77777777" w:rsidR="00FD2C82" w:rsidRPr="00FD2C82" w:rsidRDefault="00FD2C82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</w:p>
    <w:p w14:paraId="6AF97B78" w14:textId="6A01917B" w:rsidR="00FD2C82" w:rsidRPr="00FD2C82" w:rsidRDefault="00FD2C82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Sincerely, </w:t>
      </w:r>
    </w:p>
    <w:p w14:paraId="13920904" w14:textId="6470930D" w:rsidR="00FD2C82" w:rsidRPr="00FD2C82" w:rsidRDefault="00FD2C82" w:rsidP="002F1A54">
      <w:pPr>
        <w:spacing w:after="0" w:line="276" w:lineRule="auto"/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</w:pPr>
      <w:r w:rsidRPr="00FD2C82">
        <w:rPr>
          <w:rFonts w:ascii="Times New Roman" w:eastAsia="Google Sans" w:hAnsi="Times New Roman" w:cs="Times New Roman"/>
          <w:color w:val="434343"/>
          <w:kern w:val="0"/>
          <w:sz w:val="24"/>
          <w:szCs w:val="24"/>
          <w:lang w:val="en"/>
          <w14:ligatures w14:val="none"/>
        </w:rPr>
        <w:t xml:space="preserve">Brianna Baird </w:t>
      </w:r>
    </w:p>
    <w:p w14:paraId="28218C7D" w14:textId="575D33A1" w:rsidR="002F1A54" w:rsidRPr="002F1A54" w:rsidRDefault="00582308" w:rsidP="002F1A54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  <w:r>
        <w:rPr>
          <w:rFonts w:ascii="Google Sans" w:eastAsia="Google Sans" w:hAnsi="Google Sans" w:cs="Google Sans"/>
          <w:color w:val="434343"/>
          <w:kern w:val="0"/>
          <w:sz w:val="24"/>
          <w:szCs w:val="24"/>
          <w:lang w:val="en"/>
          <w14:ligatures w14:val="none"/>
        </w:rPr>
        <w:t xml:space="preserve"> </w:t>
      </w:r>
    </w:p>
    <w:p w14:paraId="2A175634" w14:textId="77777777" w:rsidR="002F1A54" w:rsidRPr="002F1A54" w:rsidRDefault="002F1A54" w:rsidP="002F1A54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6E39340F" w14:textId="77777777" w:rsidR="00267BA0" w:rsidRDefault="00267BA0"/>
    <w:sectPr w:rsidR="00267BA0" w:rsidSect="002F1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1D3"/>
    <w:multiLevelType w:val="multilevel"/>
    <w:tmpl w:val="5D668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E53AA"/>
    <w:multiLevelType w:val="multilevel"/>
    <w:tmpl w:val="E6A87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91DE6"/>
    <w:multiLevelType w:val="multilevel"/>
    <w:tmpl w:val="72802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7E6C77"/>
    <w:multiLevelType w:val="hybridMultilevel"/>
    <w:tmpl w:val="A5FA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A6B61"/>
    <w:multiLevelType w:val="multilevel"/>
    <w:tmpl w:val="69F67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7652160">
    <w:abstractNumId w:val="1"/>
  </w:num>
  <w:num w:numId="2" w16cid:durableId="824711968">
    <w:abstractNumId w:val="4"/>
  </w:num>
  <w:num w:numId="3" w16cid:durableId="1652055581">
    <w:abstractNumId w:val="0"/>
  </w:num>
  <w:num w:numId="4" w16cid:durableId="103116877">
    <w:abstractNumId w:val="2"/>
  </w:num>
  <w:num w:numId="5" w16cid:durableId="324893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4"/>
    <w:rsid w:val="000D36A8"/>
    <w:rsid w:val="00267BA0"/>
    <w:rsid w:val="002F1A54"/>
    <w:rsid w:val="00582308"/>
    <w:rsid w:val="006E173A"/>
    <w:rsid w:val="009F4B53"/>
    <w:rsid w:val="00A14274"/>
    <w:rsid w:val="00BF2CEB"/>
    <w:rsid w:val="00C43EC9"/>
    <w:rsid w:val="00C9480F"/>
    <w:rsid w:val="00CC3881"/>
    <w:rsid w:val="00D5453A"/>
    <w:rsid w:val="00D7086F"/>
    <w:rsid w:val="00D83CDE"/>
    <w:rsid w:val="00F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07C7E"/>
  <w15:chartTrackingRefBased/>
  <w15:docId w15:val="{5C982340-27B3-4305-BB17-F2783D05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463</Words>
  <Characters>2755</Characters>
  <Application>Microsoft Office Word</Application>
  <DocSecurity>0</DocSecurity>
  <Lines>76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baird</dc:creator>
  <cp:keywords/>
  <dc:description/>
  <cp:lastModifiedBy>brianna baird</cp:lastModifiedBy>
  <cp:revision>1</cp:revision>
  <dcterms:created xsi:type="dcterms:W3CDTF">2024-01-19T01:06:00Z</dcterms:created>
  <dcterms:modified xsi:type="dcterms:W3CDTF">2024-01-19T18:24:00Z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3dd89987-595a-4f08-8442-2b3a87dc9d21</vt:lpwstr>
  </property>
</Properties>
</file>