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1:Charateristics of patient information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3"/>
        <w:gridCol w:w="961"/>
        <w:gridCol w:w="1487"/>
        <w:gridCol w:w="2268"/>
        <w:gridCol w:w="1792"/>
        <w:gridCol w:w="1181"/>
      </w:tblGrid>
      <w:tr>
        <w:trPr>
          <w:trHeight w:val="612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nephrotoxic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7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1,500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non-nephrotoxic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578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nephrotoxic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Patient Age(Years)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± 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± 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± 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776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pressure(mm/Hg)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±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±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±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pressure(mm/HG)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±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±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±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Blood urea(mmol/L)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±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±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±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Blood glucose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± 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±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± 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835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Drug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Amphotericin-B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Aspirin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Gentamicin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Ibuprofen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Paracetamol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Tobramycin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Vancomycin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Drug dosage(mg)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 ± 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 ± 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 ± 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Days of 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±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±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±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Risk of chronic Kidney disease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373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Patients Age group(years)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38-42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43-47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48-52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53-57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58-62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63-67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68-72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73-77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83-87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88-92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exposure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5-10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 (16%)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(18%)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 (15%)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2026-03-06T16:38:40Z</dcterms:modified>
  <cp:category/>
</cp:coreProperties>
</file>