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1:Bivariate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89"/>
        <w:gridCol w:w="778"/>
        <w:gridCol w:w="2025"/>
        <w:gridCol w:w="2025"/>
        <w:gridCol w:w="2025"/>
        <w:gridCol w:w="1181"/>
      </w:tblGrid>
      <w:tr>
        <w:trPr>
          <w:trHeight w:val="571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Disease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Present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Patients Age in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(48, 61)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(45, 59)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(52, 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typical angina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atypical angina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 anginal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asymptomatic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Patient's level of BP at resting mode in mm/HG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(120, 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(120, 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(120, 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Serum cholesterol in mg/dl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(213, 281)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(209, 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(227, 287)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restecg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having ST-T wave abnormality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showing probable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Maximum heart rate achieved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(133, 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 (148, 172)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(125, 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Exercise induced ST-depression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(0.00,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 (0.00,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(0.60,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 segment measured in terms of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sloping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 sloping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 blood 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reversible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(68%)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(83%)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(IQR)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2026-03-08T07:41:14Z</dcterms:modified>
  <cp:category/>
</cp:coreProperties>
</file>