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2280 Photography II – Discussion Summary</w:t>
      </w:r>
    </w:p>
    <w:p>
      <w:r>
        <w:t>This document summarizes a working discussion about revising and right-sizing the syllabus and scope of ART 2280 Photography II under real instructional constraints (hybrid/tutorial delivery, limited lab reliability, and instructor workload). It is intended to be shared into a follow-up discussion within the same project.</w:t>
      </w:r>
    </w:p>
    <w:p>
      <w:pPr>
        <w:pStyle w:val="Heading2"/>
      </w:pPr>
      <w:r>
        <w:t>Context &amp; Constraints</w:t>
      </w:r>
    </w:p>
    <w:p>
      <w:r>
        <w:t>- Course may run in tutorial mode with ~1–1.5 hours of in-person time per week.</w:t>
        <w:br/>
        <w:t>- Printing lab infrastructure is unstable (profiles/drivers frequently lost after IT updates).</w:t>
        <w:br/>
        <w:t>- Students are transitioning from Lightroom (cloud) in Photo I to Lightroom Classic in Photo II.</w:t>
        <w:br/>
        <w:t>- File management and external hard drive workflows are the primary technical failure point for students.</w:t>
        <w:br/>
        <w:t>- Instructor is simultaneously building other courses (Art Portfolio, Photo Lighting) largely from scratch, so changes to Photo II must be minor and realistic.</w:t>
      </w:r>
    </w:p>
    <w:p>
      <w:pPr>
        <w:pStyle w:val="Heading2"/>
      </w:pPr>
      <w:r>
        <w:t>Core Pedagogical Priorities</w:t>
      </w:r>
    </w:p>
    <w:p>
      <w:r>
        <w:t>- Craft-first rigor: technical quality matters more than concept alone.</w:t>
        <w:br/>
        <w:t>- Strong final portfolio with technically competent prints.</w:t>
        <w:br/>
        <w:t>- Lightroom Classic mastery is the keystone skill; if it fails, the course fails.</w:t>
        <w:br/>
        <w:t>- Printing is essential philosophically, but must be scaled to what is logistically achievable.</w:t>
      </w:r>
    </w:p>
    <w:p>
      <w:pPr>
        <w:pStyle w:val="Heading2"/>
      </w:pPr>
      <w:r>
        <w:t>Key Issues Identified in the Existing Syllabus</w:t>
      </w:r>
    </w:p>
    <w:p>
      <w:r>
        <w:t>- The course attempts to do too much at once: Photo I review, advanced printing, and conceptual development.</w:t>
        <w:br/>
        <w:t>- Conflicting instructions about Lightroom vs Lightroom Classic.</w:t>
        <w:br/>
        <w:t>- Printing expectations assume stable lab conditions that do not exist.</w:t>
        <w:br/>
        <w:t>- Grade structure spreads emphasis across too many categories instead of prioritizing portfolio outcomes.</w:t>
        <w:br/>
        <w:t>- Early-semester workload risks cognitive overload, especially around file management.</w:t>
        <w:br/>
        <w:t>- Tone and policies sometimes feel punitive rather than growth-oriented.</w:t>
      </w:r>
    </w:p>
    <w:p>
      <w:pPr>
        <w:pStyle w:val="Heading2"/>
      </w:pPr>
      <w:r>
        <w:t>Agreed Scope Adjustments (Without Full Rebuild)</w:t>
      </w:r>
    </w:p>
    <w:p>
      <w:r>
        <w:t>- Treat Lightroom Classic workflow as the foundational pillar of the course.</w:t>
        <w:br/>
        <w:t>- Use a strict, standardized workflow (preconfigured drives, catalogs, presets) to reduce cognitive load.</w:t>
        <w:br/>
        <w:t>- Require basic, competent printing early as process evidence, not mastery.</w:t>
        <w:br/>
        <w:t>- Reserve refined printing expectations for the final portfolio only.</w:t>
        <w:br/>
        <w:t>- Consolidate creative work into one extended project in the second half of the semester.</w:t>
        <w:br/>
        <w:t>- Keep the existing week-by-week structure; make wording and emphasis changes rather than redesign.</w:t>
      </w:r>
    </w:p>
    <w:p>
      <w:pPr>
        <w:pStyle w:val="Heading2"/>
      </w:pPr>
      <w:r>
        <w:t>Alignment with the Common Course Outline (CCO)</w:t>
      </w:r>
    </w:p>
    <w:p>
      <w:r>
        <w:t>The revised scope still fully meets the CCO by:</w:t>
        <w:br/>
        <w:t>- Teaching digital capture, processing, and manipulation.</w:t>
        <w:br/>
        <w:t>- Producing fine photographic prints and a related body of work.</w:t>
        <w:br/>
        <w:t>- Including critique and peer feedback.</w:t>
        <w:br/>
        <w:t>- Engaging with contemporary and historical photography via the textbook.</w:t>
        <w:br/>
        <w:br/>
        <w:t>No CCO requirements mandate high-end color management or excessive printing volume.</w:t>
      </w:r>
    </w:p>
    <w:p>
      <w:pPr>
        <w:pStyle w:val="Heading2"/>
      </w:pPr>
      <w:r>
        <w:t>Outcome of the Discussion</w:t>
      </w:r>
    </w:p>
    <w:p>
      <w:r>
        <w:t>- Photo II does not need a full redesign for this term.</w:t>
        <w:br/>
        <w:t>- Small, targeted syllabus clarifications and grading emphasis shifts are sufficient.</w:t>
        <w:br/>
        <w:t>- The course can remain meaningful, rigorous, and humane while respecting real constraints.</w:t>
        <w:br/>
        <w:t>- This approach preserves instructional integrity while freeing time and energy for other high-stakes courses.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