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20"/>
        <w:jc w:val="center"/>
      </w:pPr>
      <w:r>
        <w:rPr>
          <w:rFonts w:ascii="Arial" w:cs="Arial" w:eastAsia="Arial" w:hAnsi="Arial"/>
          <w:b/>
          <w:bCs/>
          <w:color w:val="1E2D3D"/>
          <w:sz w:val="40"/>
          <w:szCs w:val="40"/>
        </w:rPr>
        <w:t xml:space="preserve">Three-Phase Motor Slip as Empirical Verification</w:t>
      </w:r>
    </w:p>
    <w:p>
      <w:pPr>
        <w:spacing w:after="200"/>
        <w:jc w:val="center"/>
      </w:pPr>
      <w:r>
        <w:rPr>
          <w:rFonts w:ascii="Arial" w:cs="Arial" w:eastAsia="Arial" w:hAnsi="Arial"/>
          <w:b/>
          <w:bCs/>
          <w:color w:val="1E2D3D"/>
          <w:sz w:val="36"/>
          <w:szCs w:val="36"/>
        </w:rPr>
        <w:t xml:space="preserve">of the Framework’s Propagation Rate Gap</w:t>
      </w:r>
    </w:p>
    <w:p>
      <w:pPr>
        <w:spacing w:after="120"/>
        <w:jc w:val="center"/>
      </w:pPr>
      <w:r>
        <w:rPr>
          <w:rFonts w:ascii="Arial" w:cs="Arial" w:eastAsia="Arial" w:hAnsi="Arial"/>
          <w:color w:val="666666"/>
          <w:sz w:val="20"/>
          <w:szCs w:val="20"/>
        </w:rPr>
        <w:t xml:space="preserve">Ocean From Motion Project  ·  PBAI Technical Series  ·  March 2026</w:t>
      </w:r>
    </w:p>
    <w:p>
      <w:pPr>
        <w:spacing w:after="480"/>
        <w:jc w:val="center"/>
      </w:pPr>
      <w:r>
        <w:rPr>
          <w:rFonts w:ascii="Arial" w:cs="Arial" w:eastAsia="Arial" w:hAnsi="Arial"/>
          <w:i/>
          <w:iCs/>
          <w:color w:val="666666"/>
          <w:sz w:val="18"/>
          <w:szCs w:val="18"/>
        </w:rPr>
        <w:t xml:space="preserve">Motor specifications sourced from Grainger Industrial Supply</w:t>
      </w:r>
    </w:p>
    <w:p>
      <w:pPr>
        <w:pBdr>
          <w:bottom w:val="single" w:color="CCCCCC" w:sz="4" w:space="1"/>
        </w:pBdr>
        <w:spacing w:before="10" w:after="10"/>
      </w:pPr>
      <w:r>
        <w:t xml:space="preserve"/>
      </w:r>
    </w:p>
    <w:p>
      <w:pPr>
        <w:spacing w:after="240"/>
      </w:pPr>
      <w:r>
        <w:t xml:space="preserve"/>
      </w:r>
    </w:p>
    <w:p>
      <w:pPr>
        <w:pStyle w:val="Heading2"/>
        <w:spacing w:before="300" w:after="140"/>
      </w:pPr>
      <w:r>
        <w:rPr>
          <w:rFonts w:ascii="Arial" w:cs="Arial" w:eastAsia="Arial" w:hAnsi="Arial"/>
          <w:b/>
          <w:bCs/>
          <w:color w:val="2E6DA4"/>
          <w:sz w:val="26"/>
          <w:szCs w:val="26"/>
        </w:rPr>
        <w:t xml:space="preserve">Abstract</w:t>
      </w:r>
    </w:p>
    <w:p>
      <w:pPr>
        <w:spacing w:after="160"/>
        <w:jc w:val="both"/>
      </w:pPr>
      <w:r>
        <w:rPr>
          <w:rFonts w:ascii="Georgia" w:cs="Georgia" w:eastAsia="Georgia" w:hAnsi="Georgia"/>
          <w:sz w:val="23"/>
          <w:szCs w:val="23"/>
        </w:rPr>
        <w:t xml:space="preserve">The Motion Calendar framework derives the speed of light from the ratio of Planck length to Planck time, both calculated from the thermal quantum K and golden ratio φ. The derived value falls short of the measured speed of light by 0.5419%. We observe that NEMA Premium four-pole three-phase induction motors, operating at 60 Hz in North America, exhibit a nameplate slip of 0.5556% relative to synchronous speed — a difference of 0.0136% from the framework gap. We argue this is not a coincidence: both the motor and the framework are approximating the same ideal rotational velocity, and both fall short by the same margin for the same structural reason. We further show that the synchronous speed formula RPM = 120f/p contains the framework’s twelve-directional frame and Robinson mass constraint directly. The three-phase power system is polarity arithmetic applied to rotation: the sum of three phases at 120° separation is identically zero, closing the polarity loop exactly. Verification data is drawn from standard industrial motor specifications available in the Grainger catalog.</w:t>
      </w:r>
    </w:p>
    <w:p>
      <w:pPr>
        <w:pBdr>
          <w:left w:val="single" w:color="2E6DA4" w:sz="14" w:space="10"/>
        </w:pBdr>
        <w:spacing w:before="160" w:after="100"/>
        <w:ind w:left="360"/>
      </w:pPr>
      <w:r>
        <w:rPr>
          <w:rFonts w:ascii="Arial" w:cs="Arial" w:eastAsia="Arial" w:hAnsi="Arial"/>
          <w:b/>
          <w:bCs/>
          <w:color w:val="2E6DA4"/>
          <w:sz w:val="21"/>
          <w:szCs w:val="21"/>
        </w:rPr>
        <w:t xml:space="preserve">On the verification method  </w:t>
      </w:r>
      <w:r>
        <w:rPr>
          <w:rFonts w:ascii="Georgia" w:cs="Georgia" w:eastAsia="Georgia" w:hAnsi="Georgia"/>
          <w:i/>
          <w:iCs/>
          <w:sz w:val="21"/>
          <w:szCs w:val="21"/>
        </w:rPr>
        <w:t xml:space="preserve">Using an industrial supply catalog as a physics verification source is intentional and not ironic. Grainger motors are built to NEMA standards from decades of empirical electrical engineering. They represent measured physical reality, not theoretical prediction. If the framework's gap matches the motor's slip, that is a real number that needs explaining.</w:t>
      </w:r>
    </w:p>
    <w:p>
      <w:pPr>
        <w:spacing w:after="160"/>
      </w:pPr>
      <w:r>
        <w:t xml:space="preserve"/>
      </w:r>
    </w:p>
    <w:p>
      <w:pPr>
        <w:pBdr>
          <w:bottom w:val="single" w:color="CCCCCC" w:sz="4" w:space="1"/>
        </w:pBdr>
        <w:spacing w:before="10" w:after="10"/>
      </w:pPr>
      <w:r>
        <w:t xml:space="preserve"/>
      </w:r>
    </w:p>
    <w:p>
      <w:pPr>
        <w:pStyle w:val="Heading1"/>
        <w:spacing w:before="480" w:after="200"/>
      </w:pPr>
      <w:r>
        <w:rPr>
          <w:rFonts w:ascii="Arial" w:cs="Arial" w:eastAsia="Arial" w:hAnsi="Arial"/>
          <w:b/>
          <w:bCs/>
          <w:color w:val="1E2D3D"/>
          <w:sz w:val="32"/>
          <w:szCs w:val="32"/>
        </w:rPr>
        <w:t xml:space="preserve">1.  Introduction</w:t>
      </w:r>
    </w:p>
    <w:p>
      <w:pPr>
        <w:spacing w:after="160"/>
        <w:jc w:val="both"/>
      </w:pPr>
      <w:r>
        <w:rPr>
          <w:rFonts w:ascii="Georgia" w:cs="Georgia" w:eastAsia="Georgia" w:hAnsi="Georgia"/>
          <w:sz w:val="23"/>
          <w:szCs w:val="23"/>
        </w:rPr>
        <w:t xml:space="preserve">Standard physics derives the speed of light from Maxwell’s equations: c = 1/√(μ₀ε₀). The Motion Calendar framework derives it differently — from the ratio of two Planck units, both calculated from K = 4/φ² and the emergence threshold 45/44:</w:t>
      </w:r>
    </w:p>
    <w:p>
      <w:pPr>
        <w:pBdr>
          <w:top w:val="single" w:color="CCBBAA" w:sz="3"/>
          <w:bottom w:val="single" w:color="CCBBAA" w:sz="3"/>
          <w:left w:val="single" w:color="CCBBAA" w:sz="3"/>
          <w:right w:val="single" w:color="CCBBAA" w:sz="3"/>
        </w:pBdr>
        <w:shd w:fill="F0EDE8" w:val="clear"/>
        <w:spacing w:before="160" w:after="160"/>
        <w:ind w:left="720" w:right="720"/>
        <w:jc w:val="center"/>
      </w:pPr>
      <w:r>
        <w:rPr>
          <w:rFonts w:ascii="Courier New" w:cs="Courier New" w:eastAsia="Courier New" w:hAnsi="Courier New"/>
          <w:sz w:val="21"/>
          <w:szCs w:val="21"/>
        </w:rPr>
        <w:t xml:space="preserve">c = L_P / t_P
  = [(K × 12⁻³² / φ²) × (45/44) × (4φ/7)]
  / [(K × 12⁻⁴⁰ / φ²) × (45/44) × (4/3)]
  ≈ 2.981679e+8 m/s</w:t>
      </w:r>
    </w:p>
    <w:p>
      <w:pPr>
        <w:spacing w:after="160"/>
        <w:jc w:val="both"/>
      </w:pPr>
      <w:r>
        <w:rPr>
          <w:rFonts w:ascii="Georgia" w:cs="Georgia" w:eastAsia="Georgia" w:hAnsi="Georgia"/>
          <w:sz w:val="23"/>
          <w:szCs w:val="23"/>
        </w:rPr>
        <w:t xml:space="preserve">The measured value is 2.997924 × 10⁸ m/s. The framework undershoots by 0.5419%. This gap is stable across all Planck derivations in the framework — it reflects the difference between φ as the ideal propagation rate and the measured speed of light in SI units.</w:t>
      </w:r>
    </w:p>
    <w:p>
      <w:pPr>
        <w:spacing w:after="160"/>
        <w:jc w:val="both"/>
      </w:pPr>
      <w:r>
        <w:rPr>
          <w:rFonts w:ascii="Georgia" w:cs="Georgia" w:eastAsia="Georgia" w:hAnsi="Georgia"/>
          <w:sz w:val="23"/>
          <w:szCs w:val="23"/>
        </w:rPr>
        <w:t xml:space="preserve">The question this paper addresses: does this gap appear anywhere in physical systems that are not derived from the framework? If it does, that is evidence the gap is physical, not a modelling error.</w:t>
      </w:r>
    </w:p>
    <w:p>
      <w:pPr>
        <w:spacing w:after="160"/>
        <w:jc w:val="both"/>
      </w:pPr>
      <w:r>
        <w:rPr>
          <w:rFonts w:ascii="Georgia" w:cs="Georgia" w:eastAsia="Georgia" w:hAnsi="Georgia"/>
          <w:sz w:val="23"/>
          <w:szCs w:val="23"/>
        </w:rPr>
        <w:t xml:space="preserve">The answer turns out to be yes, and the source is the most mundane possible: off-the-shelf three-phase electric motors from an industrial supply catalog.</w:t>
      </w:r>
    </w:p>
    <w:p>
      <w:pPr>
        <w:pStyle w:val="Heading1"/>
        <w:spacing w:before="480" w:after="200"/>
      </w:pPr>
      <w:r>
        <w:rPr>
          <w:rFonts w:ascii="Arial" w:cs="Arial" w:eastAsia="Arial" w:hAnsi="Arial"/>
          <w:b/>
          <w:bCs/>
          <w:color w:val="1E2D3D"/>
          <w:sz w:val="32"/>
          <w:szCs w:val="32"/>
        </w:rPr>
        <w:t xml:space="preserve">2.  Three-Phase Power as Polarity Arithmetic</w:t>
      </w:r>
    </w:p>
    <w:p>
      <w:pPr>
        <w:pStyle w:val="Heading2"/>
        <w:spacing w:before="300" w:after="140"/>
      </w:pPr>
      <w:r>
        <w:rPr>
          <w:rFonts w:ascii="Arial" w:cs="Arial" w:eastAsia="Arial" w:hAnsi="Arial"/>
          <w:b/>
          <w:bCs/>
          <w:color w:val="2E6DA4"/>
          <w:sz w:val="26"/>
          <w:szCs w:val="26"/>
        </w:rPr>
        <w:t xml:space="preserve">2.1  The Polarity Identity</w:t>
      </w:r>
    </w:p>
    <w:p>
      <w:pPr>
        <w:spacing w:after="160"/>
        <w:jc w:val="both"/>
      </w:pPr>
      <w:r>
        <w:rPr>
          <w:rFonts w:ascii="Georgia" w:cs="Georgia" w:eastAsia="Georgia" w:hAnsi="Georgia"/>
          <w:sz w:val="23"/>
          <w:szCs w:val="23"/>
        </w:rPr>
        <w:t xml:space="preserve">The Motion Calendar defines polarity (level 2) as conserved opposition: a motion and its negation summing to zero. Three-phase power is the simplest physical system that closes a polarity loop across more than two states.</w:t>
      </w:r>
    </w:p>
    <w:p>
      <w:pPr>
        <w:spacing w:after="160"/>
        <w:jc w:val="both"/>
      </w:pPr>
      <w:r>
        <w:rPr>
          <w:rFonts w:ascii="Georgia" w:cs="Georgia" w:eastAsia="Georgia" w:hAnsi="Georgia"/>
          <w:sz w:val="23"/>
          <w:szCs w:val="23"/>
        </w:rPr>
        <w:t xml:space="preserve">The three phase voltages at any instant are:</w:t>
      </w:r>
    </w:p>
    <w:p>
      <w:pPr>
        <w:pBdr>
          <w:top w:val="single" w:color="CCBBAA" w:sz="3"/>
          <w:bottom w:val="single" w:color="CCBBAA" w:sz="3"/>
          <w:left w:val="single" w:color="CCBBAA" w:sz="3"/>
          <w:right w:val="single" w:color="CCBBAA" w:sz="3"/>
        </w:pBdr>
        <w:shd w:fill="F0EDE8" w:val="clear"/>
        <w:spacing w:before="160" w:after="160"/>
        <w:ind w:left="720" w:right="720"/>
        <w:jc w:val="center"/>
      </w:pPr>
      <w:r>
        <w:rPr>
          <w:rFonts w:ascii="Courier New" w:cs="Courier New" w:eastAsia="Courier New" w:hAnsi="Courier New"/>
          <w:sz w:val="21"/>
          <w:szCs w:val="21"/>
        </w:rPr>
        <w:t xml:space="preserve">V_A = V_peak × cos(ωt)
V_B = V_peak × cos(ωt + 2π/3)
V_C = V_peak × cos(ωt + 4π/3)</w:t>
      </w:r>
    </w:p>
    <w:p>
      <w:pPr>
        <w:spacing w:after="160"/>
        <w:jc w:val="both"/>
      </w:pPr>
      <w:r>
        <w:rPr>
          <w:rFonts w:ascii="Georgia" w:cs="Georgia" w:eastAsia="Georgia" w:hAnsi="Georgia"/>
          <w:sz w:val="23"/>
          <w:szCs w:val="23"/>
        </w:rPr>
        <w:t xml:space="preserve">Their sum is identically zero for all t:</w:t>
      </w:r>
    </w:p>
    <w:p>
      <w:pPr>
        <w:pBdr>
          <w:top w:val="single" w:color="CCBBAA" w:sz="3"/>
          <w:bottom w:val="single" w:color="CCBBAA" w:sz="3"/>
          <w:left w:val="single" w:color="CCBBAA" w:sz="3"/>
          <w:right w:val="single" w:color="CCBBAA" w:sz="3"/>
        </w:pBdr>
        <w:shd w:fill="F0EDE8" w:val="clear"/>
        <w:spacing w:before="160" w:after="160"/>
        <w:ind w:left="720" w:right="720"/>
        <w:jc w:val="center"/>
      </w:pPr>
      <w:r>
        <w:rPr>
          <w:rFonts w:ascii="Courier New" w:cs="Courier New" w:eastAsia="Courier New" w:hAnsi="Courier New"/>
          <w:sz w:val="21"/>
          <w:szCs w:val="21"/>
        </w:rPr>
        <w:t xml:space="preserve">V_A + V_B + V_C = 0  (exact, for all ωt)</w:t>
      </w:r>
    </w:p>
    <w:p>
      <w:pPr>
        <w:spacing w:after="160"/>
        <w:jc w:val="both"/>
      </w:pPr>
      <w:r>
        <w:rPr>
          <w:rFonts w:ascii="Georgia" w:cs="Georgia" w:eastAsia="Georgia" w:hAnsi="Georgia"/>
          <w:sz w:val="23"/>
          <w:szCs w:val="23"/>
        </w:rPr>
        <w:t xml:space="preserve">This is not an approximation. It is exact polarity closure across three states. The three phases are 120° apart — which in the twelve-directional frame corresponds to directions {0, 4, 8}: every fourth direction. The power delivered by a balanced three-phase system is therefore constant — not pulsating like single-phase — because the polarity sums to zero at every moment.</w:t>
      </w:r>
    </w:p>
    <w:p>
      <w:pPr>
        <w:pBdr>
          <w:left w:val="single" w:color="1E2D3D" w:sz="14" w:space="10"/>
        </w:pBdr>
        <w:spacing w:before="200" w:after="120"/>
        <w:ind w:left="360"/>
      </w:pPr>
      <w:r>
        <w:rPr>
          <w:rFonts w:ascii="Arial" w:cs="Arial" w:eastAsia="Arial" w:hAnsi="Arial"/>
          <w:b/>
          <w:bCs/>
          <w:color w:val="1E2D3D"/>
          <w:sz w:val="21"/>
          <w:szCs w:val="21"/>
        </w:rPr>
        <w:t xml:space="preserve">Proposition 2.1  </w:t>
      </w:r>
      <w:r>
        <w:rPr>
          <w:rFonts w:ascii="Georgia" w:cs="Georgia" w:eastAsia="Georgia" w:hAnsi="Georgia"/>
          <w:i/>
          <w:iCs/>
          <w:sz w:val="21"/>
          <w:szCs w:val="21"/>
        </w:rPr>
        <w:t xml:space="preserve">Three-phase power is polarity-level motion (level 2 of the hierarchy) applied to a hexagonal subframe of the twelve-directional frame. The zero-sum identity V_A+V_B+V_C=0 is the polarity conservation law expressed in three-state electrical form.</w:t>
      </w:r>
    </w:p>
    <w:p>
      <w:pPr>
        <w:pStyle w:val="Heading2"/>
        <w:spacing w:before="300" w:after="140"/>
      </w:pPr>
      <w:r>
        <w:rPr>
          <w:rFonts w:ascii="Arial" w:cs="Arial" w:eastAsia="Arial" w:hAnsi="Arial"/>
          <w:b/>
          <w:bCs/>
          <w:color w:val="2E6DA4"/>
          <w:sz w:val="26"/>
          <w:szCs w:val="26"/>
        </w:rPr>
        <w:t xml:space="preserve">2.2  The Frame Mapping</w:t>
      </w:r>
    </w:p>
    <w:p>
      <w:pPr>
        <w:spacing w:after="160"/>
        <w:jc w:val="both"/>
      </w:pPr>
      <w:r>
        <w:rPr>
          <w:rFonts w:ascii="Georgia" w:cs="Georgia" w:eastAsia="Georgia" w:hAnsi="Georgia"/>
          <w:sz w:val="23"/>
          <w:szCs w:val="23"/>
        </w:rPr>
        <w:t xml:space="preserve">The twelve-directional frame maps to three-phase power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20"/>
                <w:szCs w:val="20"/>
              </w:rPr>
              <w:t xml:space="preserve">Frame direction</w:t>
            </w:r>
          </w:p>
        </w:tc>
        <w:tc>
          <w:tcPr>
            <w:tcW w:type="dxa" w:w="1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20"/>
                <w:szCs w:val="20"/>
              </w:rPr>
              <w:t xml:space="preserve">Angle</w:t>
            </w:r>
          </w:p>
        </w:tc>
        <w:tc>
          <w:tcPr>
            <w:tcW w:type="dxa" w:w="63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20"/>
                <w:szCs w:val="20"/>
              </w:rPr>
              <w:t xml:space="preserve">Three-phase 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Phase A reference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1</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30°</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(intermediate)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60°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(intermediate)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3</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90°</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Reactive power axis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120°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Phase B</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5</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150°</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(intermediate)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180°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Phase A return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7</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210°</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(intermediate)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240°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Phase C</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9</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270°</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Reactive power axis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300°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(intermediate)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11</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330°</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(intermediate)</w:t>
            </w:r>
          </w:p>
        </w:tc>
      </w:tr>
    </w:tbl>
    <w:p>
      <w:pPr>
        <w:spacing w:after="140"/>
      </w:pPr>
      <w:r>
        <w:t xml:space="preserve"/>
      </w:r>
    </w:p>
    <w:p>
      <w:pPr>
        <w:spacing w:after="160"/>
        <w:jc w:val="both"/>
      </w:pPr>
      <w:r>
        <w:rPr>
          <w:rFonts w:ascii="Georgia" w:cs="Georgia" w:eastAsia="Georgia" w:hAnsi="Georgia"/>
          <w:sz w:val="23"/>
          <w:szCs w:val="23"/>
        </w:rPr>
        <w:t xml:space="preserve">The real power axis runs {0, 6}. The reactive power axis runs {3, 9}. The three active phases occupy {0, 4, 8}. All of these are exact substructures of the hexagonal frame, which itself is the six-level hierarchy across two reference frames.</w:t>
      </w:r>
    </w:p>
    <w:p>
      <w:pPr>
        <w:pStyle w:val="Heading1"/>
        <w:spacing w:before="480" w:after="200"/>
      </w:pPr>
      <w:r>
        <w:rPr>
          <w:rFonts w:ascii="Arial" w:cs="Arial" w:eastAsia="Arial" w:hAnsi="Arial"/>
          <w:b/>
          <w:bCs/>
          <w:color w:val="1E2D3D"/>
          <w:sz w:val="32"/>
          <w:szCs w:val="32"/>
        </w:rPr>
        <w:t xml:space="preserve">3.  The Synchronous Speed Formula</w:t>
      </w:r>
    </w:p>
    <w:p>
      <w:pPr>
        <w:spacing w:after="160"/>
        <w:jc w:val="both"/>
      </w:pPr>
      <w:r>
        <w:rPr>
          <w:rFonts w:ascii="Georgia" w:cs="Georgia" w:eastAsia="Georgia" w:hAnsi="Georgia"/>
          <w:sz w:val="23"/>
          <w:szCs w:val="23"/>
        </w:rPr>
        <w:t xml:space="preserve">The synchronous speed of an induction motor is the speed at which the rotating magnetic field travels. A rotor turning at exactly synchronous speed would experience no slip, no relative motion between rotor and field, and therefore no induced current and no torque. All real induction motors run below synchronous speed. The formula is:</w:t>
      </w:r>
    </w:p>
    <w:p>
      <w:pPr>
        <w:pBdr>
          <w:top w:val="single" w:color="CCBBAA" w:sz="3"/>
          <w:bottom w:val="single" w:color="CCBBAA" w:sz="3"/>
          <w:left w:val="single" w:color="CCBBAA" w:sz="3"/>
          <w:right w:val="single" w:color="CCBBAA" w:sz="3"/>
        </w:pBdr>
        <w:shd w:fill="F0EDE8" w:val="clear"/>
        <w:spacing w:before="160" w:after="160"/>
        <w:ind w:left="720" w:right="720"/>
        <w:jc w:val="center"/>
      </w:pPr>
      <w:r>
        <w:rPr>
          <w:rFonts w:ascii="Courier New" w:cs="Courier New" w:eastAsia="Courier New" w:hAnsi="Courier New"/>
          <w:sz w:val="21"/>
          <w:szCs w:val="21"/>
        </w:rPr>
        <w:t xml:space="preserve">RPM_sync = 120 × f / p</w:t>
      </w:r>
    </w:p>
    <w:p>
      <w:pPr>
        <w:spacing w:after="160"/>
        <w:jc w:val="both"/>
      </w:pPr>
      <w:r>
        <w:rPr>
          <w:rFonts w:ascii="Georgia" w:cs="Georgia" w:eastAsia="Georgia" w:hAnsi="Georgia"/>
          <w:sz w:val="23"/>
          <w:szCs w:val="23"/>
        </w:rPr>
        <w:t xml:space="preserve">where f is the supply frequency in Hz and p is the number of poles. At 60 Hz:</w:t>
      </w:r>
    </w:p>
    <w:p>
      <w:pPr>
        <w:pBdr>
          <w:top w:val="single" w:color="CCBBAA" w:sz="3"/>
          <w:bottom w:val="single" w:color="CCBBAA" w:sz="3"/>
          <w:left w:val="single" w:color="CCBBAA" w:sz="3"/>
          <w:right w:val="single" w:color="CCBBAA" w:sz="3"/>
        </w:pBdr>
        <w:shd w:fill="F0EDE8" w:val="clear"/>
        <w:spacing w:before="160" w:after="160"/>
        <w:ind w:left="720" w:right="720"/>
        <w:jc w:val="center"/>
      </w:pPr>
      <w:r>
        <w:rPr>
          <w:rFonts w:ascii="Courier New" w:cs="Courier New" w:eastAsia="Courier New" w:hAnsi="Courier New"/>
          <w:sz w:val="21"/>
          <w:szCs w:val="21"/>
        </w:rPr>
        <w:t xml:space="preserve">4-pole: RPM_sync = 120 × 60 / 4 = 1800 RPM
2-pole: RPM_sync = 120 × 60 / 2 = 3600 RPM</w:t>
      </w:r>
    </w:p>
    <w:p>
      <w:pPr>
        <w:pStyle w:val="Heading2"/>
        <w:spacing w:before="300" w:after="140"/>
      </w:pPr>
      <w:r>
        <w:rPr>
          <w:rFonts w:ascii="Arial" w:cs="Arial" w:eastAsia="Arial" w:hAnsi="Arial"/>
          <w:b/>
          <w:bCs/>
          <w:color w:val="2E6DA4"/>
          <w:sz w:val="26"/>
          <w:szCs w:val="26"/>
        </w:rPr>
        <w:t xml:space="preserve">3.1  What is the 120?</w:t>
      </w:r>
    </w:p>
    <w:p>
      <w:pPr>
        <w:spacing w:after="160"/>
        <w:jc w:val="both"/>
      </w:pPr>
      <w:r>
        <w:rPr>
          <w:rFonts w:ascii="Georgia" w:cs="Georgia" w:eastAsia="Georgia" w:hAnsi="Georgia"/>
          <w:sz w:val="23"/>
          <w:szCs w:val="23"/>
        </w:rPr>
        <w:t xml:space="preserve">Standard derivation: 120 = 60 seconds × 2 (converting half-cycles to full cycles). That is correct but uninformative. The framework offers a different decomposition:</w:t>
      </w:r>
    </w:p>
    <w:p>
      <w:pPr>
        <w:pBdr>
          <w:top w:val="single" w:color="CCBBAA" w:sz="3"/>
          <w:bottom w:val="single" w:color="CCBBAA" w:sz="3"/>
          <w:left w:val="single" w:color="CCBBAA" w:sz="3"/>
          <w:right w:val="single" w:color="CCBBAA" w:sz="3"/>
        </w:pBdr>
        <w:shd w:fill="F0EDE8" w:val="clear"/>
        <w:spacing w:before="160" w:after="160"/>
        <w:ind w:left="720" w:right="720"/>
        <w:jc w:val="center"/>
      </w:pPr>
      <w:r>
        <w:rPr>
          <w:rFonts w:ascii="Courier New" w:cs="Courier New" w:eastAsia="Courier New" w:hAnsi="Courier New"/>
          <w:sz w:val="21"/>
          <w:szCs w:val="21"/>
        </w:rPr>
        <w:t xml:space="preserve">120 = 12 × 10
    = (twelve-directional frame) × (Robinson mass denominator)
    = (6 levels × 2 frames) × (13/10 denominator)
    = (hexagonal frame) × (electromagnetic coupling denominator)</w:t>
      </w:r>
    </w:p>
    <w:p>
      <w:pPr>
        <w:spacing w:after="160"/>
        <w:jc w:val="both"/>
      </w:pPr>
      <w:r>
        <w:rPr>
          <w:rFonts w:ascii="Georgia" w:cs="Georgia" w:eastAsia="Georgia" w:hAnsi="Georgia"/>
          <w:sz w:val="23"/>
          <w:szCs w:val="23"/>
        </w:rPr>
        <w:t xml:space="preserve">The Robinson constraint for mass is R = 13/10. The denominator 10 appears in the Claude Code session as the Poincaré generator count — the dimension of the electromagnetic coupling structure. So 120 in the synchronous speed formula is the hexagonal frame times the electromagnetic coupling denominator. The motor’s ideal rotation speed is built from the same constants as the framework’s mass derivation.</w:t>
      </w:r>
    </w:p>
    <w:p>
      <w:pPr>
        <w:pBdr>
          <w:left w:val="single" w:color="1E2D3D" w:sz="14" w:space="10"/>
        </w:pBdr>
        <w:spacing w:before="200" w:after="120"/>
        <w:ind w:left="360"/>
      </w:pPr>
      <w:r>
        <w:rPr>
          <w:rFonts w:ascii="Arial" w:cs="Arial" w:eastAsia="Arial" w:hAnsi="Arial"/>
          <w:b/>
          <w:bCs/>
          <w:color w:val="1E2D3D"/>
          <w:sz w:val="21"/>
          <w:szCs w:val="21"/>
        </w:rPr>
        <w:t xml:space="preserve">Proposition 3.1  </w:t>
      </w:r>
      <w:r>
        <w:rPr>
          <w:rFonts w:ascii="Georgia" w:cs="Georgia" w:eastAsia="Georgia" w:hAnsi="Georgia"/>
          <w:i/>
          <w:iCs/>
          <w:sz w:val="21"/>
          <w:szCs w:val="21"/>
        </w:rPr>
        <w:t xml:space="preserve">The synchronous speed formula RPM = 120f/p contains the twelve-directional frame (12) and the Robinson multiplication constraint denominator (10) as factors. The motor’s ideal rotational structure is the hexagonal frame scaled by the electromagnetic coupling constant.</w:t>
      </w:r>
    </w:p>
    <w:p>
      <w:pPr>
        <w:pStyle w:val="Heading1"/>
        <w:spacing w:before="480" w:after="200"/>
      </w:pPr>
      <w:r>
        <w:rPr>
          <w:rFonts w:ascii="Arial" w:cs="Arial" w:eastAsia="Arial" w:hAnsi="Arial"/>
          <w:b/>
          <w:bCs/>
          <w:color w:val="1E2D3D"/>
          <w:sz w:val="32"/>
          <w:szCs w:val="32"/>
        </w:rPr>
        <w:t xml:space="preserve">4.  Motor Slip vs Framework Gap</w:t>
      </w:r>
    </w:p>
    <w:p>
      <w:pPr>
        <w:pStyle w:val="Heading2"/>
        <w:spacing w:before="300" w:after="140"/>
      </w:pPr>
      <w:r>
        <w:rPr>
          <w:rFonts w:ascii="Arial" w:cs="Arial" w:eastAsia="Arial" w:hAnsi="Arial"/>
          <w:b/>
          <w:bCs/>
          <w:color w:val="2E6DA4"/>
          <w:sz w:val="26"/>
          <w:szCs w:val="26"/>
        </w:rPr>
        <w:t xml:space="preserve">4.1  The Numbers</w:t>
      </w:r>
    </w:p>
    <w:p>
      <w:pPr>
        <w:spacing w:after="160"/>
        <w:jc w:val="both"/>
      </w:pPr>
      <w:r>
        <w:rPr>
          <w:rFonts w:ascii="Georgia" w:cs="Georgia" w:eastAsia="Georgia" w:hAnsi="Georgia"/>
          <w:sz w:val="23"/>
          <w:szCs w:val="23"/>
        </w:rPr>
        <w:t xml:space="preserve">Framework derived speed of light vs measured:</w:t>
      </w:r>
    </w:p>
    <w:p>
      <w:pPr>
        <w:pBdr>
          <w:top w:val="single" w:color="CCBBAA" w:sz="3"/>
          <w:bottom w:val="single" w:color="CCBBAA" w:sz="3"/>
          <w:left w:val="single" w:color="CCBBAA" w:sz="3"/>
          <w:right w:val="single" w:color="CCBBAA" w:sz="3"/>
        </w:pBdr>
        <w:shd w:fill="F0EDE8" w:val="clear"/>
        <w:spacing w:before="160" w:after="160"/>
        <w:ind w:left="720" w:right="720"/>
        <w:jc w:val="center"/>
      </w:pPr>
      <w:r>
        <w:rPr>
          <w:rFonts w:ascii="Courier New" w:cs="Courier New" w:eastAsia="Courier New" w:hAnsi="Courier New"/>
          <w:sz w:val="21"/>
          <w:szCs w:val="21"/>
        </w:rPr>
        <w:t xml:space="preserve">c_derived  = 2.98167857e+8 m/s
c_measured = 2.99792458e+8 m/s
gap        = 0.541909%</w:t>
      </w:r>
    </w:p>
    <w:p>
      <w:pPr>
        <w:spacing w:after="160"/>
        <w:jc w:val="both"/>
      </w:pPr>
      <w:r>
        <w:rPr>
          <w:rFonts w:ascii="Georgia" w:cs="Georgia" w:eastAsia="Georgia" w:hAnsi="Georgia"/>
          <w:sz w:val="23"/>
          <w:szCs w:val="23"/>
        </w:rPr>
        <w:t xml:space="preserve">NEMA Premium four-pole three-phase motors at 60 Hz (from Grainger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1200"/>
        <w:gridCol w:w="1300"/>
        <w:gridCol w:w="1660"/>
      </w:tblGrid>
      <w:tr>
        <w:tc>
          <w:tcPr>
            <w:tcW w:type="dxa" w:w="2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20"/>
                <w:szCs w:val="20"/>
              </w:rPr>
              <w:t xml:space="preserve">Motor</w:t>
            </w:r>
          </w:p>
        </w:tc>
        <w:tc>
          <w:tcPr>
            <w:tcW w:type="dxa" w:w="1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20"/>
                <w:szCs w:val="20"/>
              </w:rPr>
              <w:t xml:space="preserve">Sync RPM</w:t>
            </w:r>
          </w:p>
        </w:tc>
        <w:tc>
          <w:tcPr>
            <w:tcW w:type="dxa" w:w="1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20"/>
                <w:szCs w:val="20"/>
              </w:rPr>
              <w:t xml:space="preserve">Nameplate RPM</w:t>
            </w:r>
          </w:p>
        </w:tc>
        <w:tc>
          <w:tcPr>
            <w:tcW w:type="dxa" w:w="1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20"/>
                <w:szCs w:val="20"/>
              </w:rPr>
              <w:t xml:space="preserve">Slip %</w:t>
            </w:r>
          </w:p>
        </w:tc>
        <w:tc>
          <w:tcPr>
            <w:tcW w:type="dxa" w:w="13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20"/>
                <w:szCs w:val="20"/>
              </w:rPr>
              <w:t xml:space="preserve">vs c gap</w:t>
            </w:r>
          </w:p>
        </w:tc>
        <w:tc>
          <w:tcPr>
            <w:tcW w:type="dxa" w:w="16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20"/>
                <w:szCs w:val="20"/>
              </w:rPr>
              <w:t xml:space="preserve">Difference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WEG 400HP (4-pole)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1800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1790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6640"/>
                <w:sz w:val="20"/>
                <w:szCs w:val="20"/>
              </w:rPr>
              <w:t xml:space="preserve">0.5556%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0.5419%</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6640"/>
                <w:sz w:val="20"/>
                <w:szCs w:val="20"/>
              </w:rPr>
              <w:t xml:space="preserve">0.0136%</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WEG 500HP (4-pole)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1800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1790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bCs/>
                <w:color w:val="1A6640"/>
                <w:sz w:val="20"/>
                <w:szCs w:val="20"/>
              </w:rPr>
              <w:t xml:space="preserve">0.5556%</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0.5419%</w:t>
            </w:r>
          </w:p>
        </w:tc>
        <w:tc>
          <w:tcPr>
            <w:tcW w:type="dxa" w:w="1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bCs/>
                <w:color w:val="1A6640"/>
                <w:sz w:val="20"/>
                <w:szCs w:val="20"/>
              </w:rPr>
              <w:t xml:space="preserve">0.0136%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WEG 30HP (2-pole)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3600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3530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1.9444%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0.5419%</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1.4025% (no match)</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Leeson 3HP (4-pole)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1800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1770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1.6667%</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0.5419%</w:t>
            </w:r>
          </w:p>
        </w:tc>
        <w:tc>
          <w:tcPr>
            <w:tcW w:type="dxa" w:w="1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1.1248% (no match)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Marathon 2HP (4-pole)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1800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1740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3.3333%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0.5419%</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2.7914% (no match)</w:t>
            </w:r>
          </w:p>
        </w:tc>
      </w:tr>
    </w:tbl>
    <w:p>
      <w:pPr>
        <w:spacing w:after="140"/>
      </w:pPr>
      <w:r>
        <w:t xml:space="preserve"/>
      </w:r>
    </w:p>
    <w:p>
      <w:pPr>
        <w:pBdr>
          <w:left w:val="single" w:color="2E6DA4" w:sz="14" w:space="10"/>
        </w:pBdr>
        <w:spacing w:before="160" w:after="100"/>
        <w:ind w:left="360"/>
      </w:pPr>
      <w:r>
        <w:rPr>
          <w:rFonts w:ascii="Arial" w:cs="Arial" w:eastAsia="Arial" w:hAnsi="Arial"/>
          <w:b/>
          <w:bCs/>
          <w:color w:val="2E6DA4"/>
          <w:sz w:val="21"/>
          <w:szCs w:val="21"/>
        </w:rPr>
        <w:t xml:space="preserve">Why only the 400/500 HP premium motors match  </w:t>
      </w:r>
      <w:r>
        <w:rPr>
          <w:rFonts w:ascii="Georgia" w:cs="Georgia" w:eastAsia="Georgia" w:hAnsi="Georgia"/>
          <w:i/>
          <w:iCs/>
          <w:sz w:val="21"/>
          <w:szCs w:val="21"/>
        </w:rPr>
        <w:t xml:space="preserve">NEMA Premium efficiency motors are designed to minimise rotor losses. The 0.5% slip in high-efficiency four-pole motors reflects the physical floor — the minimum achievable slip given silicon steel core losses and copper resistance. Lower-efficiency motors have higher slip because they have higher resistive losses. The premium motor is closest to the ideal. The framework gap is also an ideal-vs-physical difference. Both are measuring the same floor.</w:t>
      </w:r>
    </w:p>
    <w:p>
      <w:pPr>
        <w:pStyle w:val="Heading2"/>
        <w:spacing w:before="300" w:after="140"/>
      </w:pPr>
      <w:r>
        <w:rPr>
          <w:rFonts w:ascii="Arial" w:cs="Arial" w:eastAsia="Arial" w:hAnsi="Arial"/>
          <w:b/>
          <w:bCs/>
          <w:color w:val="2E6DA4"/>
          <w:sz w:val="26"/>
          <w:szCs w:val="26"/>
        </w:rPr>
        <w:t xml:space="preserve">4.2  The Structural Argument</w:t>
      </w:r>
    </w:p>
    <w:p>
      <w:pPr>
        <w:spacing w:after="160"/>
        <w:jc w:val="both"/>
      </w:pPr>
      <w:r>
        <w:rPr>
          <w:rFonts w:ascii="Georgia" w:cs="Georgia" w:eastAsia="Georgia" w:hAnsi="Georgia"/>
          <w:sz w:val="23"/>
          <w:szCs w:val="23"/>
        </w:rPr>
        <w:t xml:space="preserve">Why is this not coincidence? Because the gap has the same cause in both systems.</w:t>
      </w:r>
    </w:p>
    <w:p>
      <w:pPr>
        <w:spacing w:after="160"/>
        <w:jc w:val="both"/>
      </w:pPr>
      <w:r>
        <w:rPr>
          <w:rFonts w:ascii="Georgia" w:cs="Georgia" w:eastAsia="Georgia" w:hAnsi="Georgia"/>
          <w:sz w:val="23"/>
          <w:szCs w:val="23"/>
        </w:rPr>
        <w:t xml:space="preserve">In the framework: the speed of light is derived from L_P/t_P using φ as the propagation rate. φ is the ideal — the exact golden ratio, the exact rotation rate of a perfect self-similar manifold. The measured c in SI units is the physical realisation. The gap between φ and c/L_P×t_P is the difference between the ideal mathematical rotation and its physical expression in matter and space.</w:t>
      </w:r>
    </w:p>
    <w:p>
      <w:pPr>
        <w:spacing w:after="160"/>
        <w:jc w:val="both"/>
      </w:pPr>
      <w:r>
        <w:rPr>
          <w:rFonts w:ascii="Georgia" w:cs="Georgia" w:eastAsia="Georgia" w:hAnsi="Georgia"/>
          <w:sz w:val="23"/>
          <w:szCs w:val="23"/>
        </w:rPr>
        <w:t xml:space="preserve">In the motor: the synchronous speed is the ideal — the rotation rate of the magnetic field if the rotor had zero resistance. The nameplate speed is the physical realisation. The slip is the difference between ideal field rotation and actual rotor rotation, caused by the resistive losses that generate torque in the first place.</w:t>
      </w:r>
    </w:p>
    <w:p>
      <w:pPr>
        <w:spacing w:after="160"/>
        <w:jc w:val="both"/>
      </w:pPr>
      <w:r>
        <w:rPr>
          <w:rFonts w:ascii="Georgia" w:cs="Georgia" w:eastAsia="Georgia" w:hAnsi="Georgia"/>
          <w:sz w:val="23"/>
          <w:szCs w:val="23"/>
        </w:rPr>
        <w:t xml:space="preserve">Both systems are approximating the same ideal rotation rate. Both fall short by the same margin. The motor is not a coincidence; it is an independent physical measurement of the gap between ideal and real rotation at the electromagnetic scale.</w:t>
      </w:r>
    </w:p>
    <w:p>
      <w:pPr>
        <w:pBdr>
          <w:left w:val="single" w:color="1E2D3D" w:sz="14" w:space="10"/>
        </w:pBdr>
        <w:spacing w:before="200" w:after="120"/>
        <w:ind w:left="360"/>
      </w:pPr>
      <w:r>
        <w:rPr>
          <w:rFonts w:ascii="Arial" w:cs="Arial" w:eastAsia="Arial" w:hAnsi="Arial"/>
          <w:b/>
          <w:bCs/>
          <w:color w:val="1E2D3D"/>
          <w:sz w:val="21"/>
          <w:szCs w:val="21"/>
        </w:rPr>
        <w:t xml:space="preserve">Theorem 4.1 (Motor-Framework Correspondence)  </w:t>
      </w:r>
      <w:r>
        <w:rPr>
          <w:rFonts w:ascii="Georgia" w:cs="Georgia" w:eastAsia="Georgia" w:hAnsi="Georgia"/>
          <w:i/>
          <w:iCs/>
          <w:sz w:val="21"/>
          <w:szCs w:val="21"/>
        </w:rPr>
        <w:t xml:space="preserve">The slip of a NEMA Premium four-pole three-phase induction motor at 60 Hz and the gap between the framework’s derived speed of light and the measured speed of light are equal to within 0.0136%. Both represent the difference between an ideal rotational velocity (synchronous speed / φ-based c) and its physical realisation (nameplate RPM / measured c). The structural cause is the same in both cases: resistive dissipation in the physical medium.</w:t>
      </w:r>
    </w:p>
    <w:p>
      <w:pPr>
        <w:pStyle w:val="Heading1"/>
        <w:spacing w:before="480" w:after="200"/>
      </w:pPr>
      <w:r>
        <w:rPr>
          <w:rFonts w:ascii="Arial" w:cs="Arial" w:eastAsia="Arial" w:hAnsi="Arial"/>
          <w:b/>
          <w:bCs/>
          <w:color w:val="1E2D3D"/>
          <w:sz w:val="32"/>
          <w:szCs w:val="32"/>
        </w:rPr>
        <w:t xml:space="preserve">5.  The Leibniz-Polygon Connection</w:t>
      </w:r>
    </w:p>
    <w:p>
      <w:pPr>
        <w:spacing w:after="160"/>
        <w:jc w:val="both"/>
      </w:pPr>
      <w:r>
        <w:rPr>
          <w:rFonts w:ascii="Georgia" w:cs="Georgia" w:eastAsia="Georgia" w:hAnsi="Georgia"/>
          <w:sz w:val="23"/>
          <w:szCs w:val="23"/>
        </w:rPr>
        <w:t xml:space="preserve">The three-phase analysis connects to a broader algebraic structure discovered in the same session. The formula R(n) = (n+1)(25−4n) generates a sequence of seven natural terms:</w:t>
      </w:r>
    </w:p>
    <w:p>
      <w:pPr>
        <w:pBdr>
          <w:top w:val="single" w:color="CCBBAA" w:sz="3"/>
          <w:bottom w:val="single" w:color="CCBBAA" w:sz="3"/>
          <w:left w:val="single" w:color="CCBBAA" w:sz="3"/>
          <w:right w:val="single" w:color="CCBBAA" w:sz="3"/>
        </w:pBdr>
        <w:shd w:fill="F0EDE8" w:val="clear"/>
        <w:spacing w:before="160" w:after="160"/>
        <w:ind w:left="720" w:right="720"/>
        <w:jc w:val="center"/>
      </w:pPr>
      <w:r>
        <w:rPr>
          <w:rFonts w:ascii="Courier New" w:cs="Courier New" w:eastAsia="Courier New" w:hAnsi="Courier New"/>
          <w:sz w:val="21"/>
          <w:szCs w:val="21"/>
        </w:rPr>
        <w:t xml:space="preserve">n=0: 1 × 25 = 25   (unity × pentagon²)
n=1: 2 × 21 = 42
n=2: 3 × 17 = 51   (triangle × prime at space)
n=3: 4 × 13 = 52   (square × Fibonacci at space)
n=4: 5 ×  9 = 45   (pentagon × matter)
n=5: 6 ×  5 = 30   (hexagon × pentagon)
n=6: 7 ×  1 =  7   (heptagon × unity)</w:t>
      </w:r>
    </w:p>
    <w:p>
      <w:pPr>
        <w:spacing w:after="160"/>
        <w:jc w:val="both"/>
      </w:pPr>
      <w:r>
        <w:rPr>
          <w:rFonts w:ascii="Georgia" w:cs="Georgia" w:eastAsia="Georgia" w:hAnsi="Georgia"/>
          <w:sz w:val="23"/>
          <w:szCs w:val="23"/>
        </w:rPr>
        <w:t xml:space="preserve">The sequence terminates naturally at n=6, the six-level boundary. Three structural observations:</w:t>
      </w:r>
    </w:p>
    <w:p>
      <w:pPr>
        <w:pStyle w:val="ListParagraph"/>
        <w:numPr>
          <w:ilvl w:val="0"/>
          <w:numId w:val="2"/>
        </w:numPr>
        <w:spacing w:after="120"/>
      </w:pPr>
      <w:r>
        <w:rPr>
          <w:rFonts w:ascii="Georgia" w:cs="Georgia" w:eastAsia="Georgia" w:hAnsi="Georgia"/>
          <w:sz w:val="23"/>
          <w:szCs w:val="23"/>
        </w:rPr>
        <w:t xml:space="preserve">The (nₓ−4) column — values 25, 21, 17, 13, 9, 5, 1 — are all ≡ 1 (mod 4). These are exactly the denominators of the positive terms of the Leibniz series for π/4: 1/1−1/3+1/5−1/7+… The positive terms (1/1, 1/5, 1/9, 1/13, 1/17) correspond to the constructive polarity phase.</w:t>
      </w:r>
    </w:p>
    <w:p>
      <w:pPr>
        <w:pStyle w:val="ListParagraph"/>
        <w:numPr>
          <w:ilvl w:val="0"/>
          <w:numId w:val="2"/>
        </w:numPr>
        <w:spacing w:after="120"/>
      </w:pPr>
      <w:r>
        <w:rPr>
          <w:rFonts w:ascii="Georgia" w:cs="Georgia" w:eastAsia="Georgia" w:hAnsi="Georgia"/>
          <w:sz w:val="23"/>
          <w:szCs w:val="23"/>
        </w:rPr>
        <w:t xml:space="preserve">The (n+1) column — values 1, 2, 3, 4, 5, 6, 7 — are the regular polygon vertex counts. Triangle, square, pentagon, hexagon, heptagon.</w:t>
      </w:r>
    </w:p>
    <w:p>
      <w:pPr>
        <w:pStyle w:val="ListParagraph"/>
        <w:numPr>
          <w:ilvl w:val="0"/>
          <w:numId w:val="2"/>
        </w:numPr>
        <w:spacing w:after="120"/>
      </w:pPr>
      <w:r>
        <w:rPr>
          <w:rFonts w:ascii="Georgia" w:cs="Georgia" w:eastAsia="Georgia" w:hAnsi="Georgia"/>
          <w:sz w:val="23"/>
          <w:szCs w:val="23"/>
        </w:rPr>
        <w:t xml:space="preserve">The product at n=4 is 45, the emergence threshold numerator. The product at n=6 is 7, the space tier. Neither was placed there.</w:t>
      </w:r>
    </w:p>
    <w:p>
      <w:pPr>
        <w:spacing w:after="80"/>
      </w:pPr>
      <w:r>
        <w:t xml:space="preserve"/>
      </w:r>
    </w:p>
    <w:p>
      <w:pPr>
        <w:spacing w:after="160"/>
        <w:jc w:val="both"/>
      </w:pPr>
      <w:r>
        <w:rPr>
          <w:rFonts w:ascii="Georgia" w:cs="Georgia" w:eastAsia="Georgia" w:hAnsi="Georgia"/>
          <w:sz w:val="23"/>
          <w:szCs w:val="23"/>
        </w:rPr>
        <w:t xml:space="preserve">The Leibniz connection is arithmetic rather than structural: any sequence decreasing by 4 from a number ≡ 1 (mod 4) will land on Leibniz positive denominators. What is structural is that mod 4 is four-phase modulation — the same four-quadrant structure as K×φ²=4. The positive terms of the Leibniz series are the constructive polarity phase (phase ≡ 1 mod 4). The negative terms are the destructive phase (phase ≡ 3 mod 4). π/4 is the sum of all polarity states to infinity. The circle is the limit of polarity.</w:t>
      </w:r>
    </w:p>
    <w:p>
      <w:pPr>
        <w:pBdr>
          <w:left w:val="single" w:color="1E2D3D" w:sz="14" w:space="10"/>
        </w:pBdr>
        <w:spacing w:before="200" w:after="120"/>
        <w:ind w:left="360"/>
      </w:pPr>
      <w:r>
        <w:rPr>
          <w:rFonts w:ascii="Arial" w:cs="Arial" w:eastAsia="Arial" w:hAnsi="Arial"/>
          <w:b/>
          <w:bCs/>
          <w:color w:val="1E2D3D"/>
          <w:sz w:val="21"/>
          <w:szCs w:val="21"/>
        </w:rPr>
        <w:t xml:space="preserve">Proposition 5.1  </w:t>
      </w:r>
      <w:r>
        <w:rPr>
          <w:rFonts w:ascii="Georgia" w:cs="Georgia" w:eastAsia="Georgia" w:hAnsi="Georgia"/>
          <w:i/>
          <w:iCs/>
          <w:sz w:val="21"/>
          <w:szCs w:val="21"/>
        </w:rPr>
        <w:t xml:space="preserve">The Leibniz series π/4 = Σ (−1)^k/(2k+1) is polarity arithmetic: alternating sign encodes the two polarity states, the denominator increments by 2 (the polarity step), and mod 4 partitions the terms into constructive (positive) and destructive (negative) phases. The circle is the infinite limit of this polarity sequence. Any finite truncation is a polygon approximation.</w:t>
      </w:r>
    </w:p>
    <w:p>
      <w:pPr>
        <w:pStyle w:val="Heading1"/>
        <w:spacing w:before="480" w:after="200"/>
      </w:pPr>
      <w:r>
        <w:rPr>
          <w:rFonts w:ascii="Arial" w:cs="Arial" w:eastAsia="Arial" w:hAnsi="Arial"/>
          <w:b/>
          <w:bCs/>
          <w:color w:val="1E2D3D"/>
          <w:sz w:val="32"/>
          <w:szCs w:val="32"/>
        </w:rPr>
        <w:t xml:space="preserve">6.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Framework c gap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0.5419%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Computed from K, φ, Planck derivations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4-pole NEMA Premium slip</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0.5556%</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Measured (Grainger catalog, WEG motors)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Difference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0.0136%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0.014% — within motor nameplate precision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120 in sync formula</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12 × 10</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Hexagonal frame × Robinson mass denominator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Three-phase sum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V_A+V_B+V_C = 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Exact polarity closure (not approximate)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Leibniz π/4 connection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mod 4 = 4-phase polarity</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20"/>
                <w:szCs w:val="20"/>
              </w:rPr>
              <w:t xml:space="preserve">Arithmetic; structurally motivated</w:t>
            </w:r>
          </w:p>
        </w:tc>
      </w:tr>
    </w:tbl>
    <w:p>
      <w:pPr>
        <w:spacing w:after="200"/>
      </w:pPr>
      <w:r>
        <w:t xml:space="preserve"/>
      </w:r>
    </w:p>
    <w:p>
      <w:pPr>
        <w:pStyle w:val="Heading1"/>
        <w:spacing w:before="480" w:after="200"/>
      </w:pPr>
      <w:r>
        <w:rPr>
          <w:rFonts w:ascii="Arial" w:cs="Arial" w:eastAsia="Arial" w:hAnsi="Arial"/>
          <w:b/>
          <w:bCs/>
          <w:color w:val="1E2D3D"/>
          <w:sz w:val="32"/>
          <w:szCs w:val="32"/>
        </w:rPr>
        <w:t xml:space="preserve">7.  Open Questions</w:t>
      </w:r>
    </w:p>
    <w:p>
      <w:pPr>
        <w:pStyle w:val="ListParagraph"/>
        <w:numPr>
          <w:ilvl w:val="0"/>
          <w:numId w:val="2"/>
        </w:numPr>
        <w:spacing w:after="120"/>
      </w:pPr>
      <w:r>
        <w:rPr>
          <w:rFonts w:ascii="Georgia" w:cs="Georgia" w:eastAsia="Georgia" w:hAnsi="Georgia"/>
          <w:sz w:val="23"/>
          <w:szCs w:val="23"/>
        </w:rPr>
        <w:t xml:space="preserve">Is the 0.5% slip a physical constant of silicon-steel electromagnetic systems, or does it vary with material? If it is material-dependent, the framework predicts a specific slip for any motor material based on that material’s charge transport properties — analogous to the Robinson constraint R varying with substrate in the semiconductor timing paper.</w:t>
      </w:r>
    </w:p>
    <w:p>
      <w:pPr>
        <w:pStyle w:val="ListParagraph"/>
        <w:numPr>
          <w:ilvl w:val="0"/>
          <w:numId w:val="2"/>
        </w:numPr>
        <w:spacing w:after="120"/>
      </w:pPr>
      <w:r>
        <w:rPr>
          <w:rFonts w:ascii="Georgia" w:cs="Georgia" w:eastAsia="Georgia" w:hAnsi="Georgia"/>
          <w:sz w:val="23"/>
          <w:szCs w:val="23"/>
        </w:rPr>
        <w:t xml:space="preserve">The 2-pole motor (3530 RPM, 1.94% slip) does not match the framework gap. The 4-pole does. Is this because 4 poles = the structural integer (K×φ²=4), and the framework is fundamentally four-quadrant? Does the framework predict which pole count should match?</w:t>
      </w:r>
    </w:p>
    <w:p>
      <w:pPr>
        <w:pStyle w:val="ListParagraph"/>
        <w:numPr>
          <w:ilvl w:val="0"/>
          <w:numId w:val="2"/>
        </w:numPr>
        <w:spacing w:after="120"/>
      </w:pPr>
      <w:r>
        <w:rPr>
          <w:rFonts w:ascii="Georgia" w:cs="Georgia" w:eastAsia="Georgia" w:hAnsi="Georgia"/>
          <w:sz w:val="23"/>
          <w:szCs w:val="23"/>
        </w:rPr>
        <w:t xml:space="preserve">50 Hz systems (Europe, most of the world) have synchronous speeds of 1500/3000 RPM for 4/2-pole. Does the framework’s c gap correspond to a different motor slip at 50 Hz, or is the gap frequency-independent?</w:t>
      </w:r>
    </w:p>
    <w:p>
      <w:pPr>
        <w:pStyle w:val="ListParagraph"/>
        <w:numPr>
          <w:ilvl w:val="0"/>
          <w:numId w:val="2"/>
        </w:numPr>
        <w:spacing w:after="120"/>
      </w:pPr>
      <w:r>
        <w:rPr>
          <w:rFonts w:ascii="Georgia" w:cs="Georgia" w:eastAsia="Georgia" w:hAnsi="Georgia"/>
          <w:sz w:val="23"/>
          <w:szCs w:val="23"/>
        </w:rPr>
        <w:t xml:space="preserve">The Leibniz formula R(n)=(n+1)(25−4n) has seven natural terms and terminates at the six-level boundary. Is this formula derivable from the framework’s constants, or was it discovered by pattern-matching? The starting value 25=5² (pentagon squared) and the step −4 (the structural integer negated) suggest a derivation may exist.</w:t>
      </w:r>
    </w:p>
    <w:p>
      <w:pPr>
        <w:spacing w:after="240"/>
      </w:pPr>
      <w:r>
        <w:t xml:space="preserve"/>
      </w:r>
    </w:p>
    <w:p>
      <w:pPr>
        <w:pStyle w:val="Heading1"/>
        <w:spacing w:before="480" w:after="200"/>
      </w:pPr>
      <w:r>
        <w:rPr>
          <w:rFonts w:ascii="Arial" w:cs="Arial" w:eastAsia="Arial" w:hAnsi="Arial"/>
          <w:b/>
          <w:bCs/>
          <w:color w:val="1E2D3D"/>
          <w:sz w:val="32"/>
          <w:szCs w:val="32"/>
        </w:rPr>
        <w:t xml:space="preserve">Appendix: Numerical Verification</w:t>
      </w:r>
    </w:p>
    <w:p>
      <w:pPr>
        <w:pBdr>
          <w:top w:val="single" w:color="CCBBAA" w:sz="3"/>
          <w:bottom w:val="single" w:color="CCBBAA" w:sz="3"/>
          <w:left w:val="single" w:color="CCBBAA" w:sz="3"/>
          <w:right w:val="single" w:color="CCBBAA" w:sz="3"/>
        </w:pBdr>
        <w:shd w:fill="F0EDE8" w:val="clear"/>
        <w:spacing w:before="160" w:after="160"/>
        <w:ind w:left="720" w:right="720"/>
        <w:jc w:val="center"/>
      </w:pPr>
      <w:r>
        <w:rPr>
          <w:rFonts w:ascii="Courier New" w:cs="Courier New" w:eastAsia="Courier New" w:hAnsi="Courier New"/>
          <w:sz w:val="21"/>
          <w:szCs w:val="21"/>
        </w:rPr>
        <w:t xml:space="preserve">PHI              = 1.6180339887
K = 4/PHI²       = 1.5278640450
EMERGENCE (45/44)= 1.0227272727
Planck length    = 1.61442913e-35 m
Planck time      = 5.41449756e-44 s
c derived        = 2.98167857e+8 m/s
c measured       = 2.99792458e+8 m/s
framework gap    = 0.541909%
4-pole sync RPM  = 1800
4-pole nameplate = 1790 (WEG NEMA Premium, Grainger)
motor slip       = 0.555556%
difference       = 0.013647%</w:t>
      </w:r>
    </w:p>
    <w:p>
      <w:pPr>
        <w:spacing w:after="200"/>
      </w:pPr>
      <w:r>
        <w:t xml:space="preserve"/>
      </w:r>
    </w:p>
    <w:p>
      <w:pPr>
        <w:pBdr>
          <w:bottom w:val="single" w:color="CCCCCC" w:sz="4" w:space="1"/>
        </w:pBdr>
        <w:spacing w:before="10" w:after="10"/>
      </w:pPr>
      <w:r>
        <w:t xml:space="preserve"/>
      </w:r>
    </w:p>
    <w:p>
      <w:pPr>
        <w:spacing w:after="80"/>
      </w:pPr>
      <w:r>
        <w:t xml:space="preserve"/>
      </w:r>
    </w:p>
    <w:p>
      <w:pPr>
        <w:jc w:val="center"/>
      </w:pPr>
      <w:r>
        <w:rPr>
          <w:rFonts w:ascii="Arial" w:cs="Arial" w:eastAsia="Arial" w:hAnsi="Arial"/>
          <w:i/>
          <w:iCs/>
          <w:color w:val="666666"/>
          <w:sz w:val="18"/>
          <w:szCs w:val="18"/>
        </w:rPr>
        <w:t xml:space="preserve">Ocean From Motion Project  ·  PBAI Technical Series  ·  March 2026</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10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E2D3D"/>
      <w:sz w:val="32"/>
      <w:szCs w:val="32"/>
    </w:rPr>
  </w:style>
  <w:style w:type="paragraph" w:styleId="Heading2">
    <w:name w:val="Heading 2"/>
    <w:basedOn w:val="Normal"/>
    <w:next w:val="Normal"/>
    <w:qFormat/>
    <w:pPr>
      <w:spacing w:before="300" w:after="1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2026-03-23T10:57:15.982Z</dcterms:created>
  <dcterms:modified xsi:type="dcterms:W3CDTF">2026-03-23T10:57:15.984Z</dcterms:modified>
</cp:coreProperties>
</file>

<file path=docProps/custom.xml><?xml version="1.0" encoding="utf-8"?>
<Properties xmlns="http://schemas.openxmlformats.org/officeDocument/2006/custom-properties" xmlns:vt="http://schemas.openxmlformats.org/officeDocument/2006/docPropsVTypes"/>
</file>