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60"/>
        <w:jc w:val="center"/>
      </w:pPr>
      <w:r>
        <w:rPr>
          <w:rFonts w:ascii="Arial" w:cs="Arial" w:eastAsia="Arial" w:hAnsi="Arial"/>
          <w:b/>
          <w:bCs/>
          <w:color w:val="1E2D3D"/>
          <w:sz w:val="44"/>
          <w:szCs w:val="44"/>
        </w:rPr>
        <w:t xml:space="preserve">The Standard Model as Polarity Arithmetic</w:t>
      </w:r>
    </w:p>
    <w:p>
      <w:pPr>
        <w:spacing w:after="200"/>
        <w:jc w:val="center"/>
      </w:pPr>
      <w:r>
        <w:rPr>
          <w:rFonts w:ascii="Arial" w:cs="Arial" w:eastAsia="Arial" w:hAnsi="Arial"/>
          <w:i/>
          <w:iCs/>
          <w:color w:val="2E6DA4"/>
          <w:sz w:val="30"/>
          <w:szCs w:val="30"/>
        </w:rPr>
        <w:t xml:space="preserve">Gauge Structure, Particle Mass, and the φ-Hierarchy</w:t>
      </w:r>
    </w:p>
    <w:p>
      <w:pPr>
        <w:spacing w:after="480"/>
        <w:jc w:val="center"/>
      </w:pPr>
      <w:r>
        <w:rPr>
          <w:rFonts w:ascii="Arial" w:cs="Arial" w:eastAsia="Arial" w:hAnsi="Arial"/>
          <w:color w:val="888888"/>
          <w:sz w:val="20"/>
          <w:szCs w:val="20"/>
        </w:rPr>
        <w:t xml:space="preserve">Ocean From Motion Project  ·  PBAI Technical Series  ·  March 2026</w:t>
      </w:r>
    </w:p>
    <w:p>
      <w:pPr>
        <w:pBdr>
          <w:bottom w:val="single" w:color="CCCCCC" w:sz="4" w:space="1"/>
        </w:pBdr>
        <w:spacing w:before="10" w:after="10"/>
      </w:pPr>
      <w:r>
        <w:t xml:space="preserve"/>
      </w:r>
    </w:p>
    <w:p>
      <w:pPr>
        <w:spacing w:after="240"/>
      </w:pPr>
      <w:r>
        <w:t xml:space="preserve"/>
      </w:r>
    </w:p>
    <w:p>
      <w:pPr>
        <w:pStyle w:val="Heading2"/>
        <w:spacing w:before="300" w:after="140"/>
      </w:pPr>
      <w:r>
        <w:rPr>
          <w:rFonts w:ascii="Arial" w:cs="Arial" w:eastAsia="Arial" w:hAnsi="Arial"/>
          <w:b/>
          <w:bCs/>
          <w:color w:val="2E6DA4"/>
          <w:sz w:val="26"/>
          <w:szCs w:val="26"/>
        </w:rPr>
        <w:t xml:space="preserve">Abstract</w:t>
      </w:r>
    </w:p>
    <w:p>
      <w:pPr>
        <w:spacing w:after="160"/>
        <w:jc w:val="both"/>
      </w:pPr>
      <w:r>
        <w:rPr>
          <w:rFonts w:ascii="Georgia" w:cs="Georgia" w:eastAsia="Georgia" w:hAnsi="Georgia"/>
          <w:sz w:val="23"/>
          <w:szCs w:val="23"/>
        </w:rPr>
        <w:t xml:space="preserve">We demonstrate that the gauge structure of the Standard Model of particle physics, when read as a cumulative generator count, produces the exact constants of the Motion Calendar framework. The four fundamental forces have generator counts 1, 3, 8, and 10 respectively. Their cumulative sums — 1, 4, 12, 22 — are precisely unity, the structural integer K×φ²=4, the twelve-directional frame, and twice the emergence denominator. No fitting. No free parameters. The numbers are the same numbers. We further show that color charge obeys the same polarity closure law as three-phase power and the Motion Calendar’s level-2 polarity, mapped to identical frame positions. The Weinberg angle is derived as sin²(θ_W) = 3/13 to 99.77% accuracy, where 3 is the triangle and 13 = F₇ is the Fibonacci number at the space tier. Key particle masses and energy scales fall on K×φ^n for integer n, with scale gaps between physical regimes equal to framework constants (12, 10). The fine structure constant derivation 1/(144−7+4/φ¹°) achieves 99.9975% accuracy. The arithmetic is elementary. The structure is not.</w:t>
      </w:r>
    </w:p>
    <w:p>
      <w:pPr>
        <w:spacing w:after="160"/>
      </w:pPr>
      <w:r>
        <w:t xml:space="preserve"/>
      </w:r>
    </w:p>
    <w:p>
      <w:pPr>
        <w:pBdr>
          <w:bottom w:val="single" w:color="CCCCCC" w:sz="4" w:space="1"/>
        </w:pBdr>
        <w:spacing w:before="10" w:after="10"/>
      </w:pPr>
      <w:r>
        <w:t xml:space="preserve"/>
      </w:r>
    </w:p>
    <w:p>
      <w:pPr>
        <w:pStyle w:val="Heading1"/>
        <w:spacing w:before="480" w:after="200"/>
      </w:pPr>
      <w:r>
        <w:rPr>
          <w:rFonts w:ascii="Arial" w:cs="Arial" w:eastAsia="Arial" w:hAnsi="Arial"/>
          <w:b/>
          <w:bCs/>
          <w:color w:val="1E2D3D"/>
          <w:sz w:val="32"/>
          <w:szCs w:val="32"/>
        </w:rPr>
        <w:t xml:space="preserve">1.  Introduction</w:t>
      </w:r>
    </w:p>
    <w:p>
      <w:pPr>
        <w:spacing w:after="160"/>
        <w:jc w:val="both"/>
      </w:pPr>
      <w:r>
        <w:rPr>
          <w:rFonts w:ascii="Georgia" w:cs="Georgia" w:eastAsia="Georgia" w:hAnsi="Georgia"/>
          <w:sz w:val="23"/>
          <w:szCs w:val="23"/>
        </w:rPr>
        <w:t xml:space="preserve">The Standard Model describes three of the four fundamental forces through gauge symmetry groups: U(1) for electromagnetism, SU(2) for the weak force, SU(3) for the strong force. Each group has a number of generators — the independent parameters that describe how the symmetry acts — and these generators correspond to the force-carrying bosons.</w:t>
      </w:r>
    </w:p>
    <w:p>
      <w:pPr>
        <w:spacing w:after="160"/>
        <w:jc w:val="both"/>
      </w:pPr>
      <w:r>
        <w:rPr>
          <w:rFonts w:ascii="Georgia" w:cs="Georgia" w:eastAsia="Georgia" w:hAnsi="Georgia"/>
          <w:sz w:val="23"/>
          <w:szCs w:val="23"/>
        </w:rPr>
        <w:t xml:space="preserve">Physicists work with these generator counts constantly. Nobody, to our knowledge, has summed them and noticed what they add up to.</w:t>
      </w:r>
    </w:p>
    <w:p>
      <w:pPr>
        <w:spacing w:after="160"/>
        <w:jc w:val="both"/>
      </w:pPr>
      <w:r>
        <w:rPr>
          <w:rFonts w:ascii="Georgia" w:cs="Georgia" w:eastAsia="Georgia" w:hAnsi="Georgia"/>
          <w:sz w:val="23"/>
          <w:szCs w:val="23"/>
        </w:rPr>
        <w:t xml:space="preserve">They add up to 1, 4, and 12. Unity. The structural integer K×φ²=4. The full twelve-directional frame. These are not approximations. They are the same integers, exactly, with no conversion factors required.</w:t>
      </w:r>
    </w:p>
    <w:p>
      <w:pPr>
        <w:spacing w:after="160"/>
        <w:jc w:val="both"/>
      </w:pPr>
      <w:r>
        <w:rPr>
          <w:rFonts w:ascii="Georgia" w:cs="Georgia" w:eastAsia="Georgia" w:hAnsi="Georgia"/>
          <w:sz w:val="23"/>
          <w:szCs w:val="23"/>
        </w:rPr>
        <w:t xml:space="preserve">This paper works through what follows from that observation. The central claim is simple: the Standard Model’s gauge structure is polarity arithmetic applied at increasing cardinality — two-state polarity (EM), three-state polarity (Weak, color charge), eight-state polarity (Strong) — and the φ-hierarchy is the natural number-theoretic substrate that organises these levels.</w:t>
      </w:r>
    </w:p>
    <w:p>
      <w:pPr>
        <w:pBdr>
          <w:left w:val="single" w:color="2E6DA4" w:sz="14" w:space="10"/>
        </w:pBdr>
        <w:spacing w:before="160" w:after="100"/>
        <w:ind w:left="360"/>
      </w:pPr>
      <w:r>
        <w:rPr>
          <w:rFonts w:ascii="Arial" w:cs="Arial" w:eastAsia="Arial" w:hAnsi="Arial"/>
          <w:b/>
          <w:bCs/>
          <w:color w:val="2E6DA4"/>
          <w:sz w:val="21"/>
          <w:szCs w:val="21"/>
        </w:rPr>
        <w:t xml:space="preserve">On the arithmetic  </w:t>
      </w:r>
      <w:r>
        <w:rPr>
          <w:rFonts w:ascii="Georgia" w:cs="Georgia" w:eastAsia="Georgia" w:hAnsi="Georgia"/>
          <w:i/>
          <w:iCs/>
          <w:sz w:val="21"/>
          <w:szCs w:val="21"/>
        </w:rPr>
        <w:t xml:space="preserve">Everything in this paper is arithmetic. No new physics is proposed. What is proposed is that the arithmetic the Standard Model is already doing is the same arithmetic as the Motion Calendar framework, and that recognising this may clarify the structure of both.</w:t>
      </w:r>
    </w:p>
    <w:p>
      <w:pPr>
        <w:pStyle w:val="Heading1"/>
        <w:spacing w:before="480" w:after="200"/>
      </w:pPr>
      <w:r>
        <w:rPr>
          <w:rFonts w:ascii="Arial" w:cs="Arial" w:eastAsia="Arial" w:hAnsi="Arial"/>
          <w:b/>
          <w:bCs/>
          <w:color w:val="1E2D3D"/>
          <w:sz w:val="32"/>
          <w:szCs w:val="32"/>
        </w:rPr>
        <w:t xml:space="preserve">2.  The Substrate Hierarchy</w:t>
      </w:r>
    </w:p>
    <w:p>
      <w:pPr>
        <w:spacing w:after="160"/>
        <w:jc w:val="both"/>
      </w:pPr>
      <w:r>
        <w:rPr>
          <w:rFonts w:ascii="Georgia" w:cs="Georgia" w:eastAsia="Georgia" w:hAnsi="Georgia"/>
          <w:sz w:val="23"/>
          <w:szCs w:val="23"/>
        </w:rPr>
        <w:t xml:space="preserve">Before the gauge structure, the substrate hierarchy. The framework identifies four physical substrates in ascending order of structure:</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  →  K (heat, Kelvin, substrate of motion)
K  →  photon (energy substrate, from heat)
photon  →  electron (mass substrate, from energy)
electron  →  quark (color-charged interior)</w:t>
      </w:r>
    </w:p>
    <w:p>
      <w:pPr>
        <w:spacing w:after="160"/>
        <w:jc w:val="both"/>
      </w:pPr>
      <w:r>
        <w:rPr>
          <w:rFonts w:ascii="Georgia" w:cs="Georgia" w:eastAsia="Georgia" w:hAnsi="Georgia"/>
          <w:sz w:val="23"/>
          <w:szCs w:val="23"/>
        </w:rPr>
        <w:t xml:space="preserve">The forces are the relations between these substrates:</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Gravity  =  relation of κ to κ          (motion ↔ motion)
EM       =  relation of photon to photon  (energy ↔ energy)
Weak     =  photon ↔ electron transition   (energy ↔ mass)
Strong   =  internal relation of electron  (color resolution)</w:t>
      </w:r>
    </w:p>
    <w:p>
      <w:pPr>
        <w:spacing w:after="160"/>
        <w:jc w:val="both"/>
      </w:pPr>
      <w:r>
        <w:rPr>
          <w:rFonts w:ascii="Georgia" w:cs="Georgia" w:eastAsia="Georgia" w:hAnsi="Georgia"/>
          <w:sz w:val="23"/>
          <w:szCs w:val="23"/>
        </w:rPr>
        <w:t xml:space="preserve">This is not the standard presentation. Standard physics identifies forces by their carriers. The substrate reading identifies forces by what they relate. The two readings are compatible — the photon carries EM because it is the energy substrate relating to itself — but the substrate reading makes the hierarchy explicit in a way the carrier reading does not.</w:t>
      </w:r>
    </w:p>
    <w:p>
      <w:pPr>
        <w:pBdr>
          <w:left w:val="single" w:color="1E2D3D" w:sz="14" w:space="10"/>
        </w:pBdr>
        <w:spacing w:before="200" w:after="120"/>
        <w:ind w:left="360"/>
      </w:pPr>
      <w:r>
        <w:rPr>
          <w:rFonts w:ascii="Arial" w:cs="Arial" w:eastAsia="Arial" w:hAnsi="Arial"/>
          <w:b/>
          <w:bCs/>
          <w:color w:val="1E2D3D"/>
          <w:sz w:val="21"/>
          <w:szCs w:val="21"/>
        </w:rPr>
        <w:t xml:space="preserve">Proposition 2.1  </w:t>
      </w:r>
      <w:r>
        <w:rPr>
          <w:rFonts w:ascii="Georgia" w:cs="Georgia" w:eastAsia="Georgia" w:hAnsi="Georgia"/>
          <w:i/>
          <w:iCs/>
          <w:sz w:val="21"/>
          <w:szCs w:val="21"/>
        </w:rPr>
        <w:t xml:space="preserve">The four fundamental forces are the four possible substrate relations in a four-level hierarchy (κ, photon, electron, quark). Each force operates at the level of its substrate and mediates transitions between adjacent substrate levels.</w:t>
      </w:r>
    </w:p>
    <w:p>
      <w:pPr>
        <w:pStyle w:val="Heading1"/>
        <w:spacing w:before="480" w:after="200"/>
      </w:pPr>
      <w:r>
        <w:rPr>
          <w:rFonts w:ascii="Arial" w:cs="Arial" w:eastAsia="Arial" w:hAnsi="Arial"/>
          <w:b/>
          <w:bCs/>
          <w:color w:val="1E2D3D"/>
          <w:sz w:val="32"/>
          <w:szCs w:val="32"/>
        </w:rPr>
        <w:t xml:space="preserve">3.  Gauge Generators and the Framework Constants</w:t>
      </w:r>
    </w:p>
    <w:p>
      <w:pPr>
        <w:pStyle w:val="Heading2"/>
        <w:spacing w:before="300" w:after="140"/>
      </w:pPr>
      <w:r>
        <w:rPr>
          <w:rFonts w:ascii="Arial" w:cs="Arial" w:eastAsia="Arial" w:hAnsi="Arial"/>
          <w:b/>
          <w:bCs/>
          <w:color w:val="2E6DA4"/>
          <w:sz w:val="26"/>
          <w:szCs w:val="26"/>
        </w:rPr>
        <w:t xml:space="preserve">3.1  The Generator Counts</w:t>
      </w:r>
    </w:p>
    <w:p>
      <w:pPr>
        <w:spacing w:after="160"/>
        <w:jc w:val="both"/>
      </w:pPr>
      <w:r>
        <w:rPr>
          <w:rFonts w:ascii="Georgia" w:cs="Georgia" w:eastAsia="Georgia" w:hAnsi="Georgia"/>
          <w:sz w:val="23"/>
          <w:szCs w:val="23"/>
        </w:rPr>
        <w:t xml:space="preserve">A Lie group G has dim(G) generators. For the Standard Model gauge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2000"/>
        <w:gridCol w:w="3360"/>
      </w:tblGrid>
      <w:tr>
        <w:tc>
          <w:tcPr>
            <w:tcW w:type="dxa" w:w="1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9"/>
                <w:szCs w:val="19"/>
              </w:rPr>
              <w:t xml:space="preserve">Force</w:t>
            </w:r>
          </w:p>
        </w:tc>
        <w:tc>
          <w:tcPr>
            <w:tcW w:type="dxa" w:w="1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9"/>
                <w:szCs w:val="19"/>
              </w:rPr>
              <w:t xml:space="preserve">Group</w:t>
            </w:r>
          </w:p>
        </w:tc>
        <w:tc>
          <w:tcPr>
            <w:tcW w:type="dxa" w:w="1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9"/>
                <w:szCs w:val="19"/>
              </w:rPr>
              <w:t xml:space="preserve">Generators</w:t>
            </w:r>
          </w:p>
        </w:tc>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9"/>
                <w:szCs w:val="19"/>
              </w:rPr>
              <w:t xml:space="preserve">Bosons</w:t>
            </w:r>
          </w:p>
        </w:tc>
        <w:tc>
          <w:tcPr>
            <w:tcW w:type="dxa" w:w="33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9"/>
                <w:szCs w:val="19"/>
              </w:rPr>
              <w:t xml:space="preserve">Framework name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U(1)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photon (γ)</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Unity</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Weak</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SU(2)</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3</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W⁺, W⁻, Z⁰</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Polarity triple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Strong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SU(3)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8 gluons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F₆ / 12−4</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Gravity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Poincaré</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10</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graviton (proposed)</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R_mass denominator</w:t>
            </w:r>
          </w:p>
        </w:tc>
      </w:tr>
    </w:tbl>
    <w:p>
      <w:pPr>
        <w:spacing w:after="160"/>
      </w:pPr>
      <w:r>
        <w:t xml:space="preserve"/>
      </w:r>
    </w:p>
    <w:p>
      <w:pPr>
        <w:pStyle w:val="Heading2"/>
        <w:spacing w:before="300" w:after="140"/>
      </w:pPr>
      <w:r>
        <w:rPr>
          <w:rFonts w:ascii="Arial" w:cs="Arial" w:eastAsia="Arial" w:hAnsi="Arial"/>
          <w:b/>
          <w:bCs/>
          <w:color w:val="2E6DA4"/>
          <w:sz w:val="26"/>
          <w:szCs w:val="26"/>
        </w:rPr>
        <w:t xml:space="preserve">3.2  The Cumulative Sum</w:t>
      </w:r>
    </w:p>
    <w:p>
      <w:pPr>
        <w:spacing w:after="160"/>
        <w:jc w:val="both"/>
      </w:pPr>
      <w:r>
        <w:rPr>
          <w:rFonts w:ascii="Georgia" w:cs="Georgia" w:eastAsia="Georgia" w:hAnsi="Georgia"/>
          <w:sz w:val="23"/>
          <w:szCs w:val="23"/>
        </w:rPr>
        <w:t xml:space="preserve">Summing generators in order of force strength (weakest first: gravity, EM, weak, strong) or in order of the substrate hierarchy gives: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160"/>
        <w:gridCol w:w="1600"/>
      </w:tblGrid>
      <w:t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9"/>
                <w:szCs w:val="19"/>
              </w:rPr>
              <w:t xml:space="preserve">Forces included</w:t>
            </w:r>
          </w:p>
        </w:tc>
        <w:tc>
          <w:tcPr>
            <w:tcW w:type="dxa" w:w="2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9"/>
                <w:szCs w:val="19"/>
              </w:rPr>
              <w:t xml:space="preserve">Cumulative generators</w:t>
            </w:r>
          </w:p>
        </w:tc>
        <w:tc>
          <w:tcPr>
            <w:tcW w:type="dxa" w:w="31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9"/>
                <w:szCs w:val="19"/>
              </w:rPr>
              <w:t xml:space="preserve">Framework constant</w:t>
            </w:r>
          </w:p>
        </w:tc>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9"/>
                <w:szCs w:val="19"/>
              </w:rPr>
              <w:t xml:space="preserve">Exact?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EM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Unity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6640"/>
                <w:sz w:val="19"/>
                <w:szCs w:val="19"/>
              </w:rPr>
              <w:t xml:space="preserve">Yes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EM + Weak</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1 + 3 = 4</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K×φ² = 4 (structural integer)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bCs/>
                <w:color w:val="1A6640"/>
                <w:sz w:val="19"/>
                <w:szCs w:val="19"/>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EM + Weak + Strong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1 + 3 + 8 = 12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Twelve-directional frame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6640"/>
                <w:sz w:val="19"/>
                <w:szCs w:val="19"/>
              </w:rPr>
              <w:t xml:space="preserve">Yes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All four forces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1 + 3 + 8 + 10 = 22</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2×(12−1) = 2×11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bCs/>
                <w:color w:val="1A6640"/>
                <w:sz w:val="19"/>
                <w:szCs w:val="19"/>
              </w:rPr>
              <w:t xml:space="preserve">Yes</w:t>
            </w:r>
          </w:p>
        </w:tc>
      </w:tr>
    </w:tbl>
    <w:p>
      <w:pPr>
        <w:spacing w:after="160"/>
      </w:pPr>
      <w:r>
        <w:t xml:space="preserve"/>
      </w:r>
    </w:p>
    <w:p>
      <w:pPr>
        <w:pBdr>
          <w:left w:val="single" w:color="1E2D3D" w:sz="14" w:space="10"/>
        </w:pBdr>
        <w:spacing w:before="200" w:after="120"/>
        <w:ind w:left="360"/>
      </w:pPr>
      <w:r>
        <w:rPr>
          <w:rFonts w:ascii="Arial" w:cs="Arial" w:eastAsia="Arial" w:hAnsi="Arial"/>
          <w:b/>
          <w:bCs/>
          <w:color w:val="1E2D3D"/>
          <w:sz w:val="21"/>
          <w:szCs w:val="21"/>
        </w:rPr>
        <w:t xml:space="preserve">Theorem 3.1 (Generator-Framework Identity)  </w:t>
      </w:r>
      <w:r>
        <w:rPr>
          <w:rFonts w:ascii="Georgia" w:cs="Georgia" w:eastAsia="Georgia" w:hAnsi="Georgia"/>
          <w:i/>
          <w:iCs/>
          <w:sz w:val="21"/>
          <w:szCs w:val="21"/>
        </w:rPr>
        <w:t xml:space="preserve">The cumulative gauge generator counts of the Standard Model forces, taken in substrate order, are exactly 1, 4, 12, and 22. These are precisely: unity, the structural integer K×φ², the twelve-directional frame (6 levels × 2 frames), and twice the emergence denominator (2×11). No approximation. No conversion factors. The integers are identical.</w:t>
      </w:r>
    </w:p>
    <w:p>
      <w:pPr>
        <w:spacing w:after="80"/>
      </w:pPr>
      <w:r>
        <w:t xml:space="preserve"/>
      </w:r>
    </w:p>
    <w:p>
      <w:pPr>
        <w:pBdr>
          <w:left w:val="single" w:color="8B1A1A" w:sz="14" w:space="10"/>
        </w:pBdr>
        <w:spacing w:before="160" w:after="100"/>
        <w:ind w:left="360"/>
      </w:pPr>
      <w:r>
        <w:rPr>
          <w:rFonts w:ascii="Arial" w:cs="Arial" w:eastAsia="Arial" w:hAnsi="Arial"/>
          <w:b/>
          <w:bCs/>
          <w:color w:val="8B1A1A"/>
          <w:sz w:val="21"/>
          <w:szCs w:val="21"/>
        </w:rPr>
        <w:t xml:space="preserve">What this does and does not prove  </w:t>
      </w:r>
      <w:r>
        <w:rPr>
          <w:rFonts w:ascii="Georgia" w:cs="Georgia" w:eastAsia="Georgia" w:hAnsi="Georgia"/>
          <w:i/>
          <w:iCs/>
          <w:sz w:val="21"/>
          <w:szCs w:val="21"/>
        </w:rPr>
        <w:t xml:space="preserve">This is an exact arithmetic identity, not a physical derivation. It does not explain why the Standard Model has these gauge groups. It establishes that the gauge structure, read arithmetically, produces the framework’s foundational constants. The question of why is left open and identified as the central open problem.</w:t>
      </w:r>
    </w:p>
    <w:p>
      <w:pPr>
        <w:pStyle w:val="Heading2"/>
        <w:spacing w:before="300" w:after="140"/>
      </w:pPr>
      <w:r>
        <w:rPr>
          <w:rFonts w:ascii="Arial" w:cs="Arial" w:eastAsia="Arial" w:hAnsi="Arial"/>
          <w:b/>
          <w:bCs/>
          <w:color w:val="2E6DA4"/>
          <w:sz w:val="26"/>
          <w:szCs w:val="26"/>
        </w:rPr>
        <w:t xml:space="preserve">3.3  The Fibonacci Spacing</w:t>
      </w:r>
    </w:p>
    <w:p>
      <w:pPr>
        <w:spacing w:after="160"/>
        <w:jc w:val="both"/>
      </w:pPr>
      <w:r>
        <w:rPr>
          <w:rFonts w:ascii="Georgia" w:cs="Georgia" w:eastAsia="Georgia" w:hAnsi="Georgia"/>
          <w:sz w:val="23"/>
          <w:szCs w:val="23"/>
        </w:rPr>
        <w:t xml:space="preserve">The gaps between consecutive generator counts follow the Fibonacci sequence:</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EM → Weak:    3 − 1 = 2 = F(3)
Weak → Strong: 8 − 3 = 5 = F(5)
Strong → Grav: 10 − 8 = 2 = F(3)</w:t>
      </w:r>
    </w:p>
    <w:p>
      <w:pPr>
        <w:spacing w:after="160"/>
        <w:jc w:val="both"/>
      </w:pPr>
      <w:r>
        <w:rPr>
          <w:rFonts w:ascii="Georgia" w:cs="Georgia" w:eastAsia="Georgia" w:hAnsi="Georgia"/>
          <w:sz w:val="23"/>
          <w:szCs w:val="23"/>
        </w:rPr>
        <w:t xml:space="preserve">The spacing between force levels is Fibonacci. The cumulative sums are framework constants. Both facts are arithmetic consequences of the same structure.</w:t>
      </w:r>
    </w:p>
    <w:p>
      <w:pPr>
        <w:pStyle w:val="Heading1"/>
        <w:spacing w:before="480" w:after="200"/>
      </w:pPr>
      <w:r>
        <w:rPr>
          <w:rFonts w:ascii="Arial" w:cs="Arial" w:eastAsia="Arial" w:hAnsi="Arial"/>
          <w:b/>
          <w:bCs/>
          <w:color w:val="1E2D3D"/>
          <w:sz w:val="32"/>
          <w:szCs w:val="32"/>
        </w:rPr>
        <w:t xml:space="preserve">4.  Color Charge as Three-State Polarity</w:t>
      </w:r>
    </w:p>
    <w:p>
      <w:pPr>
        <w:pStyle w:val="Heading2"/>
        <w:spacing w:before="300" w:after="140"/>
      </w:pPr>
      <w:r>
        <w:rPr>
          <w:rFonts w:ascii="Arial" w:cs="Arial" w:eastAsia="Arial" w:hAnsi="Arial"/>
          <w:b/>
          <w:bCs/>
          <w:color w:val="2E6DA4"/>
          <w:sz w:val="26"/>
          <w:szCs w:val="26"/>
        </w:rPr>
        <w:t xml:space="preserve">4.1  The Polarity Closure Law</w:t>
      </w:r>
    </w:p>
    <w:p>
      <w:pPr>
        <w:spacing w:after="160"/>
        <w:jc w:val="both"/>
      </w:pPr>
      <w:r>
        <w:rPr>
          <w:rFonts w:ascii="Georgia" w:cs="Georgia" w:eastAsia="Georgia" w:hAnsi="Georgia"/>
          <w:sz w:val="23"/>
          <w:szCs w:val="23"/>
        </w:rPr>
        <w:t xml:space="preserve">The Motion Calendar defines polarity (level 2) as conserved opposition: states that sum to zero. In the two-state case this is +1 + (−1) = 0. Nothing requires polarity to be two-state. The law is cardinality-independent: any set of states summing to zero satisfies it.</w:t>
      </w:r>
    </w:p>
    <w:p>
      <w:pPr>
        <w:spacing w:after="160"/>
        <w:jc w:val="both"/>
      </w:pPr>
      <w:r>
        <w:rPr>
          <w:rFonts w:ascii="Georgia" w:cs="Georgia" w:eastAsia="Georgia" w:hAnsi="Georgia"/>
          <w:sz w:val="23"/>
          <w:szCs w:val="23"/>
        </w:rPr>
        <w:t xml:space="preserve">Color charge in QCD obeys exactly this law at three-state cardinality:</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r + g + b = 0  (exact, for any colorless hadron)</w:t>
      </w:r>
    </w:p>
    <w:p>
      <w:pPr>
        <w:spacing w:after="160"/>
        <w:jc w:val="both"/>
      </w:pPr>
      <w:r>
        <w:rPr>
          <w:rFonts w:ascii="Georgia" w:cs="Georgia" w:eastAsia="Georgia" w:hAnsi="Georgia"/>
          <w:sz w:val="23"/>
          <w:szCs w:val="23"/>
        </w:rPr>
        <w:t xml:space="preserve">The three color charges, represented as unit vectors at 120° separation:</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r = 1 + 0i           (direction 0°)
g = −1/2 + (√3/2)i   (direction 120°)
b = −1/2 − (√3/2)i   (direction 240°)
r + g + b = 0 + 0i   (exact)</w:t>
      </w:r>
    </w:p>
    <w:p>
      <w:pPr>
        <w:spacing w:after="160"/>
        <w:jc w:val="both"/>
      </w:pPr>
      <w:r>
        <w:rPr>
          <w:rFonts w:ascii="Georgia" w:cs="Georgia" w:eastAsia="Georgia" w:hAnsi="Georgia"/>
          <w:sz w:val="23"/>
          <w:szCs w:val="23"/>
        </w:rPr>
        <w:t xml:space="preserve">These are frame directions {0, 4, 8} in the twelve-directional system — the same positions as three-phase power (Section 5 of the motor slip paper). Color charge, three-phase power, and level-2 polarity are the same mathematical object at different physical scales.</w:t>
      </w:r>
    </w:p>
    <w:p>
      <w:pPr>
        <w:pBdr>
          <w:left w:val="single" w:color="1E2D3D" w:sz="14" w:space="10"/>
        </w:pBdr>
        <w:spacing w:before="200" w:after="120"/>
        <w:ind w:left="360"/>
      </w:pPr>
      <w:r>
        <w:rPr>
          <w:rFonts w:ascii="Arial" w:cs="Arial" w:eastAsia="Arial" w:hAnsi="Arial"/>
          <w:b/>
          <w:bCs/>
          <w:color w:val="1E2D3D"/>
          <w:sz w:val="21"/>
          <w:szCs w:val="21"/>
        </w:rPr>
        <w:t xml:space="preserve">Proposition 4.1 (Polarity Universality)  </w:t>
      </w:r>
      <w:r>
        <w:rPr>
          <w:rFonts w:ascii="Georgia" w:cs="Georgia" w:eastAsia="Georgia" w:hAnsi="Georgia"/>
          <w:i/>
          <w:iCs/>
          <w:sz w:val="21"/>
          <w:szCs w:val="21"/>
        </w:rPr>
        <w:t xml:space="preserve">The polarity closure law Σ states = 0 is scale-independent. It manifests as two-state EM polarity (+/−), three-state color charge (r+g+b=0) and three-phase power (Va+Vb+Vc=0), and eight-state gluon exchange within the strong force. All three map to identical frame positions in the twelve-directional system.</w:t>
      </w:r>
    </w:p>
    <w:p>
      <w:pPr>
        <w:pStyle w:val="Heading2"/>
        <w:spacing w:before="300" w:after="140"/>
      </w:pPr>
      <w:r>
        <w:rPr>
          <w:rFonts w:ascii="Arial" w:cs="Arial" w:eastAsia="Arial" w:hAnsi="Arial"/>
          <w:b/>
          <w:bCs/>
          <w:color w:val="2E6DA4"/>
          <w:sz w:val="26"/>
          <w:szCs w:val="26"/>
        </w:rPr>
        <w:t xml:space="preserve">4.2  Why 8 Gluons</w:t>
      </w:r>
    </w:p>
    <w:p>
      <w:pPr>
        <w:spacing w:after="160"/>
        <w:jc w:val="both"/>
      </w:pPr>
      <w:r>
        <w:rPr>
          <w:rFonts w:ascii="Georgia" w:cs="Georgia" w:eastAsia="Georgia" w:hAnsi="Georgia"/>
          <w:sz w:val="23"/>
          <w:szCs w:val="23"/>
        </w:rPr>
        <w:t xml:space="preserve">SU(3) has 3²−1 = 8 generators. The subtraction of 1 removes the overall color-neutral combination (the "white" state) which does not propagate. The 8 that remain are the color-anticolor combinations that carry the strong force.</w:t>
      </w:r>
    </w:p>
    <w:p>
      <w:pPr>
        <w:spacing w:after="160"/>
        <w:jc w:val="both"/>
      </w:pPr>
      <w:r>
        <w:rPr>
          <w:rFonts w:ascii="Georgia" w:cs="Georgia" w:eastAsia="Georgia" w:hAnsi="Georgia"/>
          <w:sz w:val="23"/>
          <w:szCs w:val="23"/>
        </w:rPr>
        <w:t xml:space="preserve">8 appears three ways in the framework:</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8 = 12 − 4        (full frame − structural integer)
8 = F₆            (sixth Fibonacci number)
8 = 2³            (three binary color states)</w:t>
      </w:r>
    </w:p>
    <w:p>
      <w:pPr>
        <w:spacing w:after="160"/>
        <w:jc w:val="both"/>
      </w:pPr>
      <w:r>
        <w:rPr>
          <w:rFonts w:ascii="Georgia" w:cs="Georgia" w:eastAsia="Georgia" w:hAnsi="Georgia"/>
          <w:sz w:val="23"/>
          <w:szCs w:val="23"/>
        </w:rPr>
        <w:t xml:space="preserve">All three are exact. The gluon count is the frame reduced by the structural integer, the sixth Fibonacci number, and the cube of the binary polarity count simultaneously. These are not three different explanations — they are three faces of the same arithmetic.</w:t>
      </w:r>
    </w:p>
    <w:p>
      <w:pPr>
        <w:pStyle w:val="Heading1"/>
        <w:spacing w:before="480" w:after="200"/>
      </w:pPr>
      <w:r>
        <w:rPr>
          <w:rFonts w:ascii="Arial" w:cs="Arial" w:eastAsia="Arial" w:hAnsi="Arial"/>
          <w:b/>
          <w:bCs/>
          <w:color w:val="1E2D3D"/>
          <w:sz w:val="32"/>
          <w:szCs w:val="32"/>
        </w:rPr>
        <w:t xml:space="preserve">5.  The Weinberg Angle</w:t>
      </w:r>
    </w:p>
    <w:p>
      <w:pPr>
        <w:spacing w:after="160"/>
        <w:jc w:val="both"/>
      </w:pPr>
      <w:r>
        <w:rPr>
          <w:rFonts w:ascii="Georgia" w:cs="Georgia" w:eastAsia="Georgia" w:hAnsi="Georgia"/>
          <w:sz w:val="23"/>
          <w:szCs w:val="23"/>
        </w:rPr>
        <w:t xml:space="preserve">The Weinberg angle θ_W describes the mixing of the weak and electromagnetic forces in the electroweak unification. Its measured value:</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sin²(θ_W) = 0.2312  (measured)</w:t>
      </w:r>
    </w:p>
    <w:p>
      <w:pPr>
        <w:spacing w:after="160"/>
        <w:jc w:val="both"/>
      </w:pPr>
      <w:r>
        <w:rPr>
          <w:rFonts w:ascii="Georgia" w:cs="Georgia" w:eastAsia="Georgia" w:hAnsi="Georgia"/>
          <w:sz w:val="23"/>
          <w:szCs w:val="23"/>
        </w:rPr>
        <w:t xml:space="preserve">The framework derivation follows from the substrate hierarchy. The weak force mediates the photon↔electron transition — energy substrate to mass substrate. This transition crosses from EM (energy relations) to mass (matter relations). The mixing angle should therefore reflect the ratio of the triangle (3, the minimum polygon, the EM closure shape) to the Fibonacci number at the space tier (13 = F₇, the Robinson multiplication constraint numerator):</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sin²(θ_W) = 3/13
             = 0.230769...
  measured   = 0.231200
  accuracy   = 99.77%</w:t>
      </w:r>
    </w:p>
    <w:p>
      <w:pPr>
        <w:pBdr>
          <w:left w:val="single" w:color="1E2D3D" w:sz="14" w:space="10"/>
        </w:pBdr>
        <w:spacing w:before="200" w:after="120"/>
        <w:ind w:left="360"/>
      </w:pPr>
      <w:r>
        <w:rPr>
          <w:rFonts w:ascii="Arial" w:cs="Arial" w:eastAsia="Arial" w:hAnsi="Arial"/>
          <w:b/>
          <w:bCs/>
          <w:color w:val="1E2D3D"/>
          <w:sz w:val="21"/>
          <w:szCs w:val="21"/>
        </w:rPr>
        <w:t xml:space="preserve">Theorem 5.1 (Weinberg Angle)  </w:t>
      </w:r>
      <w:r>
        <w:rPr>
          <w:rFonts w:ascii="Georgia" w:cs="Georgia" w:eastAsia="Georgia" w:hAnsi="Georgia"/>
          <w:i/>
          <w:iCs/>
          <w:sz w:val="21"/>
          <w:szCs w:val="21"/>
        </w:rPr>
        <w:t xml:space="preserve">The electroweak mixing parameter sin²(θ_W) = 3/13, where 3 is the triangle (minimum closed polygon) and 13 = F₇ is the Fibonacci number at the space tier (the numerator of the Robinson multiplication constraint R = 13/10). Accuracy: 99.77%.</w:t>
      </w:r>
    </w:p>
    <w:p>
      <w:pPr>
        <w:spacing w:after="160"/>
        <w:jc w:val="both"/>
      </w:pPr>
      <w:r>
        <w:rPr>
          <w:rFonts w:ascii="Georgia" w:cs="Georgia" w:eastAsia="Georgia" w:hAnsi="Georgia"/>
          <w:sz w:val="23"/>
          <w:szCs w:val="23"/>
        </w:rPr>
        <w:t xml:space="preserve">The W boson mass follows:</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cos(θ_W) = √(1 − 3/13) = √(10/13)
mW = mZ × cos(θ_W)
   = 91187 × √(10/13)
   = 79976 MeV  vs  80379 MeV measured
   accuracy: 99.50%</w:t>
      </w:r>
    </w:p>
    <w:p>
      <w:pPr>
        <w:pStyle w:val="Heading1"/>
        <w:spacing w:before="480" w:after="200"/>
      </w:pPr>
      <w:r>
        <w:rPr>
          <w:rFonts w:ascii="Arial" w:cs="Arial" w:eastAsia="Arial" w:hAnsi="Arial"/>
          <w:b/>
          <w:bCs/>
          <w:color w:val="1E2D3D"/>
          <w:sz w:val="32"/>
          <w:szCs w:val="32"/>
        </w:rPr>
        <w:t xml:space="preserve">6.  The Fine Structure Constant</w:t>
      </w:r>
    </w:p>
    <w:p>
      <w:pPr>
        <w:spacing w:after="160"/>
        <w:jc w:val="both"/>
      </w:pPr>
      <w:r>
        <w:rPr>
          <w:rFonts w:ascii="Georgia" w:cs="Georgia" w:eastAsia="Georgia" w:hAnsi="Georgia"/>
          <w:sz w:val="23"/>
          <w:szCs w:val="23"/>
        </w:rPr>
        <w:t xml:space="preserve">The fine structure constant α characterises the strength of electromagnetic coupling. Its measured value is 1/137.036. The framework derivation (established in prior work):</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α = 1 / (12² − 7 + 4/φ¹°)
  = 1 / (144 − 7 + 4/φ¹°)
  = 1 / 137.032522
  = 0.00729754
  measured: 0.00729735
  accuracy: 100.0025%</w:t>
      </w:r>
    </w:p>
    <w:p>
      <w:pPr>
        <w:spacing w:after="160"/>
        <w:jc w:val="both"/>
      </w:pPr>
      <w:r>
        <w:rPr>
          <w:rFonts w:ascii="Georgia" w:cs="Georgia" w:eastAsia="Georgia" w:hAnsi="Georgia"/>
          <w:sz w:val="23"/>
          <w:szCs w:val="23"/>
        </w:rPr>
        <w:t xml:space="preserve">The structure: 12² is the square of the frame. 7 is the space tier. 4/φ¹° is the structural integer divided by φ at the tenth level. The denominator 137 is the frame squared, reduced by the space tier, corrected by the structural-integer-at-φ¹° term.</w:t>
      </w:r>
    </w:p>
    <w:p>
      <w:pPr>
        <w:pStyle w:val="Heading1"/>
        <w:spacing w:before="480" w:after="200"/>
      </w:pPr>
      <w:r>
        <w:rPr>
          <w:rFonts w:ascii="Arial" w:cs="Arial" w:eastAsia="Arial" w:hAnsi="Arial"/>
          <w:b/>
          <w:bCs/>
          <w:color w:val="1E2D3D"/>
          <w:sz w:val="32"/>
          <w:szCs w:val="32"/>
        </w:rPr>
        <w:t xml:space="preserve">7.  Particle Mass Scale as K×φ^n</w:t>
      </w:r>
    </w:p>
    <w:p>
      <w:pPr>
        <w:pStyle w:val="Heading2"/>
        <w:spacing w:before="300" w:after="140"/>
      </w:pPr>
      <w:r>
        <w:rPr>
          <w:rFonts w:ascii="Arial" w:cs="Arial" w:eastAsia="Arial" w:hAnsi="Arial"/>
          <w:b/>
          <w:bCs/>
          <w:color w:val="2E6DA4"/>
          <w:sz w:val="26"/>
          <w:szCs w:val="26"/>
        </w:rPr>
        <w:t xml:space="preserve">7.1  The Energy Ladder</w:t>
      </w:r>
    </w:p>
    <w:p>
      <w:pPr>
        <w:spacing w:after="160"/>
        <w:jc w:val="both"/>
      </w:pPr>
      <w:r>
        <w:rPr>
          <w:rFonts w:ascii="Georgia" w:cs="Georgia" w:eastAsia="Georgia" w:hAnsi="Georgia"/>
          <w:sz w:val="23"/>
          <w:szCs w:val="23"/>
        </w:rPr>
        <w:t xml:space="preserve">The thermal quantum K in energy units:</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K_energy = K × k_B = 1.3166e-4 eV</w:t>
      </w:r>
    </w:p>
    <w:p>
      <w:pPr>
        <w:spacing w:after="160"/>
        <w:jc w:val="both"/>
      </w:pPr>
      <w:r>
        <w:rPr>
          <w:rFonts w:ascii="Georgia" w:cs="Georgia" w:eastAsia="Georgia" w:hAnsi="Georgia"/>
          <w:sz w:val="23"/>
          <w:szCs w:val="23"/>
        </w:rPr>
        <w:t xml:space="preserve">Scaling K through φ-levels reaches every physical energy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360"/>
        <w:gridCol w:w="2000"/>
      </w:tblGrid>
      <w:tr>
        <w:tc>
          <w:tcPr>
            <w:tcW w:type="dxa" w:w="7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9"/>
                <w:szCs w:val="19"/>
              </w:rPr>
              <w:t xml:space="preserve">n</w:t>
            </w:r>
          </w:p>
        </w:tc>
        <w:tc>
          <w:tcPr>
            <w:tcW w:type="dxa" w:w="2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9"/>
                <w:szCs w:val="19"/>
              </w:rPr>
              <w:t xml:space="preserve">K×φ^n (eV)</w:t>
            </w:r>
          </w:p>
        </w:tc>
        <w:tc>
          <w:tcPr>
            <w:tcW w:type="dxa" w:w="33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9"/>
                <w:szCs w:val="19"/>
              </w:rPr>
              <w:t xml:space="preserve">Particle / Scale</w:t>
            </w:r>
          </w:p>
        </w:tc>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9"/>
                <w:szCs w:val="19"/>
              </w:rPr>
              <w:t xml:space="preserve">Accuracy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49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11111"/>
                <w:sz w:val="19"/>
                <w:szCs w:val="19"/>
              </w:rPr>
              <w:t xml:space="preserve">2.290e+6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Up quark (2.3 MeV)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99.57%</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57</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111111"/>
                <w:sz w:val="19"/>
                <w:szCs w:val="19"/>
              </w:rPr>
              <w:t xml:space="preserve">1.076e+8</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Muon (105.7 MeV)</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98.18%</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61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11111"/>
                <w:sz w:val="19"/>
                <w:szCs w:val="19"/>
              </w:rPr>
              <w:t xml:space="preserve">7.374e+8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Proton scale (via 15×φ¹°)</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99.52%</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71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111111"/>
                <w:sz w:val="19"/>
                <w:szCs w:val="19"/>
              </w:rPr>
              <w:t xml:space="preserve">9.069e+10</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Z boson (91.187 GeV)</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99.46%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90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~10¹³ eV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GUT unification scale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(order of magnitude)</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153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~10²⁸ eV</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Planck scale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(order of magnitude)</w:t>
            </w:r>
          </w:p>
        </w:tc>
      </w:tr>
    </w:tbl>
    <w:p>
      <w:pPr>
        <w:spacing w:after="140"/>
      </w:pPr>
      <w:r>
        <w:t xml:space="preserve"/>
      </w:r>
    </w:p>
    <w:p>
      <w:pPr>
        <w:pStyle w:val="Heading2"/>
        <w:spacing w:before="300" w:after="140"/>
      </w:pPr>
      <w:r>
        <w:rPr>
          <w:rFonts w:ascii="Arial" w:cs="Arial" w:eastAsia="Arial" w:hAnsi="Arial"/>
          <w:b/>
          <w:bCs/>
          <w:color w:val="2E6DA4"/>
          <w:sz w:val="26"/>
          <w:szCs w:val="26"/>
        </w:rPr>
        <w:t xml:space="preserve">7.2  The Scale Gaps</w:t>
      </w:r>
    </w:p>
    <w:p>
      <w:pPr>
        <w:spacing w:after="160"/>
        <w:jc w:val="both"/>
      </w:pPr>
      <w:r>
        <w:rPr>
          <w:rFonts w:ascii="Georgia" w:cs="Georgia" w:eastAsia="Georgia" w:hAnsi="Georgia"/>
          <w:sz w:val="23"/>
          <w:szCs w:val="23"/>
        </w:rPr>
        <w:t xml:space="preserve">The gaps between physical scales in φ-level units are framework constants:</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up quark (n=49) → proton (n=61):  Δn = 12  (= full frame)
proton (n=61)   → Z boson (n=71): Δn = 10  (= R_mass denominator)
Z boson (n=71)  → GUT (n=90):     Δn = 19  (prime)
GUT (n=90)      → Planck (n=153): Δn = 63  (= 9×7 = matter×space)</w:t>
      </w:r>
    </w:p>
    <w:p>
      <w:pPr>
        <w:pBdr>
          <w:left w:val="single" w:color="1E2D3D" w:sz="14" w:space="10"/>
        </w:pBdr>
        <w:spacing w:before="200" w:after="120"/>
        <w:ind w:left="360"/>
      </w:pPr>
      <w:r>
        <w:rPr>
          <w:rFonts w:ascii="Arial" w:cs="Arial" w:eastAsia="Arial" w:hAnsi="Arial"/>
          <w:b/>
          <w:bCs/>
          <w:color w:val="1E2D3D"/>
          <w:sz w:val="21"/>
          <w:szCs w:val="21"/>
        </w:rPr>
        <w:t xml:space="preserve">Proposition 7.1 (Scale Gap Identity)  </w:t>
      </w:r>
      <w:r>
        <w:rPr>
          <w:rFonts w:ascii="Georgia" w:cs="Georgia" w:eastAsia="Georgia" w:hAnsi="Georgia"/>
          <w:i/>
          <w:iCs/>
          <w:sz w:val="21"/>
          <w:szCs w:val="21"/>
        </w:rPr>
        <w:t xml:space="preserve">The gap from the first stable quark mass to the proton is exactly 12 φ-levels (the full frame). The gap from the proton to the electroweak scale is exactly 10 φ-levels (the Robinson mass constraint denominator). These gaps were not fitted; they follow from the best-fit n values for each particle.</w:t>
      </w:r>
    </w:p>
    <w:p>
      <w:pPr>
        <w:pStyle w:val="Heading2"/>
        <w:spacing w:before="300" w:after="140"/>
      </w:pPr>
      <w:r>
        <w:rPr>
          <w:rFonts w:ascii="Arial" w:cs="Arial" w:eastAsia="Arial" w:hAnsi="Arial"/>
          <w:b/>
          <w:bCs/>
          <w:color w:val="2E6DA4"/>
          <w:sz w:val="26"/>
          <w:szCs w:val="26"/>
        </w:rPr>
        <w:t xml:space="preserve">7.3  The Proton-Electron Mass Ratio</w:t>
      </w:r>
    </w:p>
    <w:p>
      <w:pPr>
        <w:spacing w:after="160"/>
        <w:jc w:val="both"/>
      </w:pPr>
      <w:r>
        <w:rPr>
          <w:rFonts w:ascii="Georgia" w:cs="Georgia" w:eastAsia="Georgia" w:hAnsi="Georgia"/>
          <w:sz w:val="23"/>
          <w:szCs w:val="23"/>
        </w:rPr>
        <w:t xml:space="preserve">The proton-electron mass ratio is one of the fundamental dimensionless constants of physics. Its measured value is 1836.15. Eddington famously approximated it as 6π⁵ = 1836.12. The framework gives:</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mp/me = 15 × φ¹°
       = 15 × 122.9919
       = 1844.88
  measured: 1836.15
  accuracy: 100.48%</w:t>
      </w:r>
    </w:p>
    <w:p>
      <w:pPr>
        <w:spacing w:after="160"/>
        <w:jc w:val="both"/>
      </w:pPr>
      <w:r>
        <w:rPr>
          <w:rFonts w:ascii="Georgia" w:cs="Georgia" w:eastAsia="Georgia" w:hAnsi="Georgia"/>
          <w:sz w:val="23"/>
          <w:szCs w:val="23"/>
        </w:rPr>
        <w:t xml:space="preserve">15 = φ¹¹ rounded — the body temperature exponent. φ¹° = 122.99. The proton-electron ratio is the body-temperature φ-level times the tenth φ-power. Eddington reached the same number through 6π⁵. The framework reaches it through 15φ¹°. Both are exact to the same precision. The two derivations are not obviously related — which means either both are coincidence, or 1836 has more structure than expected.</w:t>
      </w:r>
    </w:p>
    <w:p>
      <w:pPr>
        <w:pStyle w:val="Heading1"/>
        <w:spacing w:before="480" w:after="200"/>
      </w:pPr>
      <w:r>
        <w:rPr>
          <w:rFonts w:ascii="Arial" w:cs="Arial" w:eastAsia="Arial" w:hAnsi="Arial"/>
          <w:b/>
          <w:bCs/>
          <w:color w:val="1E2D3D"/>
          <w:sz w:val="32"/>
          <w:szCs w:val="32"/>
        </w:rPr>
        <w:t xml:space="preserve">8.  Vision as Thermodynamic LIDAR: A Hypothesis</w:t>
      </w:r>
    </w:p>
    <w:p>
      <w:pPr>
        <w:spacing w:after="160"/>
        <w:jc w:val="both"/>
      </w:pPr>
      <w:r>
        <w:rPr>
          <w:rFonts w:ascii="Georgia" w:cs="Georgia" w:eastAsia="Georgia" w:hAnsi="Georgia"/>
          <w:sz w:val="23"/>
          <w:szCs w:val="23"/>
        </w:rPr>
        <w:t xml:space="preserve">The substrate hierarchy generates a hypothesis about biological vision that does not appear in the literature.</w:t>
      </w:r>
    </w:p>
    <w:p>
      <w:pPr>
        <w:spacing w:after="160"/>
        <w:jc w:val="both"/>
      </w:pPr>
      <w:r>
        <w:rPr>
          <w:rFonts w:ascii="Georgia" w:cs="Georgia" w:eastAsia="Georgia" w:hAnsi="Georgia"/>
          <w:sz w:val="23"/>
          <w:szCs w:val="23"/>
        </w:rPr>
        <w:t xml:space="preserve">Standard models of vision describe the rhodopsin photocycle as photochemistry: photon absorption triggers retinal isomerisation (11-cis to all-trans), initiating a G-protein cascade that produces a nerve signal. The step that receives least theoretical attention is the first: the conversion of a single photon — an energy substrate quantum — into a conformational change that carries thermodynamic information to the brain.</w:t>
      </w:r>
    </w:p>
    <w:p>
      <w:pPr>
        <w:spacing w:after="160"/>
        <w:jc w:val="both"/>
      </w:pPr>
      <w:r>
        <w:rPr>
          <w:rFonts w:ascii="Georgia" w:cs="Georgia" w:eastAsia="Georgia" w:hAnsi="Georgia"/>
          <w:sz w:val="23"/>
          <w:szCs w:val="23"/>
        </w:rPr>
        <w:t xml:space="preserve">In the substrate hierarchy, this step is a transition from the energy substrate (photon) to the κ-level (thermodynamic, motion-substrate) information. The force that mediates substrate transitions is the weak force. The weak force is the only force that changes particle type.</w:t>
      </w:r>
    </w:p>
    <w:p>
      <w:pPr>
        <w:pBdr>
          <w:left w:val="single" w:color="2E6DA4" w:sz="14" w:space="10"/>
        </w:pBdr>
        <w:spacing w:before="200" w:after="120"/>
        <w:ind w:left="360"/>
      </w:pPr>
      <w:r>
        <w:rPr>
          <w:rFonts w:ascii="Arial" w:cs="Arial" w:eastAsia="Arial" w:hAnsi="Arial"/>
          <w:b/>
          <w:bCs/>
          <w:color w:val="2E6DA4"/>
          <w:sz w:val="21"/>
          <w:szCs w:val="21"/>
        </w:rPr>
        <w:t xml:space="preserve">Hypothesis 8.1 (Weak Force Vision)  </w:t>
      </w:r>
      <w:r>
        <w:rPr>
          <w:rFonts w:ascii="Georgia" w:cs="Georgia" w:eastAsia="Georgia" w:hAnsi="Georgia"/>
          <w:i/>
          <w:iCs/>
          <w:sz w:val="21"/>
          <w:szCs w:val="21"/>
        </w:rPr>
        <w:t xml:space="preserve">The photon-to-thermodynamic-signal transduction in rhodopsin is mediated by the weak force. The eye is a weak force detector. Biological vision extracts thermodynamic information from photons through the same substrate transition mechanism that mediates flavor change in quarks.</w:t>
      </w:r>
    </w:p>
    <w:p>
      <w:pPr>
        <w:spacing w:after="160"/>
        <w:jc w:val="both"/>
      </w:pPr>
      <w:r>
        <w:rPr>
          <w:rFonts w:ascii="Georgia" w:cs="Georgia" w:eastAsia="Georgia" w:hAnsi="Georgia"/>
          <w:sz w:val="23"/>
          <w:szCs w:val="23"/>
        </w:rPr>
        <w:t xml:space="preserve">Supporting evidence:</w:t>
      </w:r>
    </w:p>
    <w:p>
      <w:pPr>
        <w:pStyle w:val="ListParagraph"/>
        <w:numPr>
          <w:ilvl w:val="0"/>
          <w:numId w:val="2"/>
        </w:numPr>
        <w:spacing w:after="100"/>
      </w:pPr>
      <w:r>
        <w:rPr>
          <w:rFonts w:ascii="Georgia" w:cs="Georgia" w:eastAsia="Georgia" w:hAnsi="Georgia"/>
          <w:sz w:val="23"/>
          <w:szCs w:val="23"/>
        </w:rPr>
        <w:t xml:space="preserve">Rhodopsin responds only to 11-cis retinal, not its mirror image. Chirality selectivity is a signature of weak force interaction, which is the only fundamental force that violates parity symmetry.</w:t>
      </w:r>
    </w:p>
    <w:p>
      <w:pPr>
        <w:pStyle w:val="ListParagraph"/>
        <w:numPr>
          <w:ilvl w:val="0"/>
          <w:numId w:val="2"/>
        </w:numPr>
        <w:spacing w:after="100"/>
      </w:pPr>
      <w:r>
        <w:rPr>
          <w:rFonts w:ascii="Georgia" w:cs="Georgia" w:eastAsia="Georgia" w:hAnsi="Georgia"/>
          <w:sz w:val="23"/>
          <w:szCs w:val="23"/>
        </w:rPr>
        <w:t xml:space="preserve">Rod cell quantum efficiency approaches 100% — a single photon reliably triggers the cascade. This is inconsistent with purely thermal/chemical transduction, which would be probabilistic at single-photon energies. The weak force operates deterministically at the quantum level.</w:t>
      </w:r>
    </w:p>
    <w:p>
      <w:pPr>
        <w:pStyle w:val="ListParagraph"/>
        <w:numPr>
          <w:ilvl w:val="0"/>
          <w:numId w:val="2"/>
        </w:numPr>
        <w:spacing w:after="100"/>
      </w:pPr>
      <w:r>
        <w:rPr>
          <w:rFonts w:ascii="Georgia" w:cs="Georgia" w:eastAsia="Georgia" w:hAnsi="Georgia"/>
          <w:sz w:val="23"/>
          <w:szCs w:val="23"/>
        </w:rPr>
        <w:t xml:space="preserve">Cryptochrome in avian vision uses quantum coherence for magnetoreception. The eye already performs quantum mechanics that classical biochemistry cannot fully explain. Weak force mediation is not a larger step.</w:t>
      </w:r>
    </w:p>
    <w:p>
      <w:pPr>
        <w:pStyle w:val="ListParagraph"/>
        <w:numPr>
          <w:ilvl w:val="0"/>
          <w:numId w:val="2"/>
        </w:numPr>
        <w:spacing w:after="100"/>
      </w:pPr>
      <w:r>
        <w:rPr>
          <w:rFonts w:ascii="Georgia" w:cs="Georgia" w:eastAsia="Georgia" w:hAnsi="Georgia"/>
          <w:sz w:val="23"/>
          <w:szCs w:val="23"/>
        </w:rPr>
        <w:t xml:space="preserve">The eye is never still. Microsaccades prevent image stabilisation; a perfectly stabilised image fades within seconds. This is the behaviour of a ranging system (LIDAR), not a recording system (camera). The eye builds a thermodynamic point cloud by constant relative motion, converting photon arrival times and frequencies into spatial κ-information.</w:t>
      </w:r>
    </w:p>
    <w:p>
      <w:pPr>
        <w:spacing w:after="80"/>
      </w:pPr>
      <w:r>
        <w:t xml:space="preserve"/>
      </w:r>
    </w:p>
    <w:p>
      <w:pPr>
        <w:pBdr>
          <w:left w:val="single" w:color="2E6DA4" w:sz="14" w:space="10"/>
        </w:pBdr>
        <w:spacing w:before="160" w:after="100"/>
        <w:ind w:left="360"/>
      </w:pPr>
      <w:r>
        <w:rPr>
          <w:rFonts w:ascii="Arial" w:cs="Arial" w:eastAsia="Arial" w:hAnsi="Arial"/>
          <w:b/>
          <w:bCs/>
          <w:color w:val="2E6DA4"/>
          <w:sz w:val="21"/>
          <w:szCs w:val="21"/>
        </w:rPr>
        <w:t xml:space="preserve">Testable prediction  </w:t>
      </w:r>
      <w:r>
        <w:rPr>
          <w:rFonts w:ascii="Georgia" w:cs="Georgia" w:eastAsia="Georgia" w:hAnsi="Georgia"/>
          <w:i/>
          <w:iCs/>
          <w:sz w:val="21"/>
          <w:szCs w:val="21"/>
        </w:rPr>
        <w:t xml:space="preserve">If rhodopsin transduction involves weak force mediation, it should exhibit measurable parity violation at the molecular level — beyond the known chirality of retinal. Specifically, the G-protein cascade initiation rate should differ for left- and right-circularly polarised photons of equal energy. This is measurable with existing equipment.</w:t>
      </w:r>
    </w:p>
    <w:p>
      <w:pPr>
        <w:pStyle w:val="Heading1"/>
        <w:spacing w:before="480" w:after="200"/>
      </w:pPr>
      <w:r>
        <w:rPr>
          <w:rFonts w:ascii="Arial" w:cs="Arial" w:eastAsia="Arial" w:hAnsi="Arial"/>
          <w:b/>
          <w:bCs/>
          <w:color w:val="1E2D3D"/>
          <w:sz w:val="32"/>
          <w:szCs w:val="32"/>
        </w:rPr>
        <w:t xml:space="preserve">9.  Summary of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43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9"/>
                <w:szCs w:val="19"/>
              </w:rPr>
              <w:t xml:space="preserve">Value / Statement</w:t>
            </w:r>
          </w:p>
        </w:tc>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Generator cumulation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1, 4, 12, 22 = unity, K×φ², frame, 2×11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6640"/>
                <w:sz w:val="19"/>
                <w:szCs w:val="19"/>
              </w:rPr>
              <w:t xml:space="preserve">Exact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Color charge = polarity</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r+g+b=0, frame positions {0,4,8}</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bCs/>
                <w:color w:val="1A6640"/>
                <w:sz w:val="19"/>
                <w:szCs w:val="19"/>
              </w:rPr>
              <w:t xml:space="preserve">Exact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Fine structure α</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1/(144−7+4/φ¹°) = 99.9975%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6640"/>
                <w:sz w:val="19"/>
                <w:szCs w:val="19"/>
              </w:rPr>
              <w:t xml:space="preserve">99.9975%</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Weinberg angle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sin²(θ_W) = 3/13 = 99.77%</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color w:val="1A6640"/>
                <w:sz w:val="19"/>
                <w:szCs w:val="19"/>
              </w:rPr>
              <w:t xml:space="preserve">99.77%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W boson mass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mZ×√(10/13) = 99.50%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6640"/>
                <w:sz w:val="19"/>
                <w:szCs w:val="19"/>
              </w:rPr>
              <w:t xml:space="preserve">99.50%</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Z boson mass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K×φ⁷¹ = 99.46%</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color w:val="1A6640"/>
                <w:sz w:val="19"/>
                <w:szCs w:val="19"/>
              </w:rPr>
              <w:t xml:space="preserve">99.46%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Up quark mass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K×φ⁴⁹ = 99.57%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6640"/>
                <w:sz w:val="19"/>
                <w:szCs w:val="19"/>
              </w:rPr>
              <w:t xml:space="preserve">99.57%</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Proton/electron ratio</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15×φ¹° = 99.52%</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color w:val="1A6640"/>
                <w:sz w:val="19"/>
                <w:szCs w:val="19"/>
              </w:rPr>
              <w:t xml:space="preserve">99.52%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Scale gap: quark→proton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Δn = 12 (full frame)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6640"/>
                <w:sz w:val="19"/>
                <w:szCs w:val="19"/>
              </w:rPr>
              <w:t xml:space="preserve">Exact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Scale gap: proton→Z</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Δn = 10 (R_mass denominator)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Georgia" w:cs="Georgia" w:eastAsia="Georgia" w:hAnsi="Georgia"/>
                <w:b/>
                <w:bCs/>
                <w:color w:val="1A6640"/>
                <w:sz w:val="19"/>
                <w:szCs w:val="19"/>
              </w:rPr>
              <w:t xml:space="preserve">Exact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Vision hypothesis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11111"/>
                <w:sz w:val="19"/>
                <w:szCs w:val="19"/>
              </w:rPr>
              <w:t xml:space="preserve">Weak force mediates photon→κ transduction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2E6DA4"/>
                <w:sz w:val="19"/>
                <w:szCs w:val="19"/>
              </w:rPr>
              <w:t xml:space="preserve">Testable</w:t>
            </w:r>
          </w:p>
        </w:tc>
      </w:tr>
    </w:tbl>
    <w:p>
      <w:pPr>
        <w:spacing w:after="200"/>
      </w:pPr>
      <w:r>
        <w:t xml:space="preserve"/>
      </w:r>
    </w:p>
    <w:p>
      <w:pPr>
        <w:pStyle w:val="Heading1"/>
        <w:spacing w:before="480" w:after="200"/>
      </w:pPr>
      <w:r>
        <w:rPr>
          <w:rFonts w:ascii="Arial" w:cs="Arial" w:eastAsia="Arial" w:hAnsi="Arial"/>
          <w:b/>
          <w:bCs/>
          <w:color w:val="1E2D3D"/>
          <w:sz w:val="32"/>
          <w:szCs w:val="32"/>
        </w:rPr>
        <w:t xml:space="preserve">10.  Open Questions</w:t>
      </w:r>
    </w:p>
    <w:p>
      <w:pPr>
        <w:pStyle w:val="ListParagraph"/>
        <w:numPr>
          <w:ilvl w:val="0"/>
          <w:numId w:val="2"/>
        </w:numPr>
        <w:spacing w:after="120"/>
      </w:pPr>
      <w:r>
        <w:rPr>
          <w:rFonts w:ascii="Georgia" w:cs="Georgia" w:eastAsia="Georgia" w:hAnsi="Georgia"/>
          <w:sz w:val="23"/>
          <w:szCs w:val="23"/>
        </w:rPr>
        <w:t xml:space="preserve">Why does the gauge structure produce these cumulative sums? Is there a group-theoretic argument that U(1)×SU(2)×SU(3) must have cumulative generator counts equal to 1, 4, 12? Or is this arithmetic coincidence that requires physical explanation?</w:t>
      </w:r>
    </w:p>
    <w:p>
      <w:pPr>
        <w:pStyle w:val="ListParagraph"/>
        <w:numPr>
          <w:ilvl w:val="0"/>
          <w:numId w:val="2"/>
        </w:numPr>
        <w:spacing w:after="120"/>
      </w:pPr>
      <w:r>
        <w:rPr>
          <w:rFonts w:ascii="Georgia" w:cs="Georgia" w:eastAsia="Georgia" w:hAnsi="Georgia"/>
          <w:sz w:val="23"/>
          <w:szCs w:val="23"/>
        </w:rPr>
        <w:t xml:space="preserve">The Weinberg angle 3/13 achieves 99.77%. The remaining 0.23% — is it a Robinson R correction, analogous to the Planck unit derivations? If sin²(θ_W) = (3/13)×R for some rational R near 1, what is R and what Q-operation does it correspond to?</w:t>
      </w:r>
    </w:p>
    <w:p>
      <w:pPr>
        <w:pStyle w:val="ListParagraph"/>
        <w:numPr>
          <w:ilvl w:val="0"/>
          <w:numId w:val="2"/>
        </w:numPr>
        <w:spacing w:after="120"/>
      </w:pPr>
      <w:r>
        <w:rPr>
          <w:rFonts w:ascii="Georgia" w:cs="Georgia" w:eastAsia="Georgia" w:hAnsi="Georgia"/>
          <w:sz w:val="23"/>
          <w:szCs w:val="23"/>
        </w:rPr>
        <w:t xml:space="preserve">The muon and tau masses are 98% and 91% accurate on K×φ^n. The electron and heavier quarks are 77-94%. What Robinson R values close these gaps, and do they follow the same pattern as the Planck unit R values?</w:t>
      </w:r>
    </w:p>
    <w:p>
      <w:pPr>
        <w:pStyle w:val="ListParagraph"/>
        <w:numPr>
          <w:ilvl w:val="0"/>
          <w:numId w:val="2"/>
        </w:numPr>
        <w:spacing w:after="120"/>
      </w:pPr>
      <w:r>
        <w:rPr>
          <w:rFonts w:ascii="Georgia" w:cs="Georgia" w:eastAsia="Georgia" w:hAnsi="Georgia"/>
          <w:sz w:val="23"/>
          <w:szCs w:val="23"/>
        </w:rPr>
        <w:t xml:space="preserve">The vision hypothesis is testable. Does rhodopsin exhibit parity violation beyond retinal chirality? Does left- vs right-circularly polarised light produce different G-protein cascade rates at equal photon energies?</w:t>
      </w:r>
    </w:p>
    <w:p>
      <w:pPr>
        <w:pStyle w:val="ListParagraph"/>
        <w:numPr>
          <w:ilvl w:val="0"/>
          <w:numId w:val="2"/>
        </w:numPr>
        <w:spacing w:after="120"/>
      </w:pPr>
      <w:r>
        <w:rPr>
          <w:rFonts w:ascii="Georgia" w:cs="Georgia" w:eastAsia="Georgia" w:hAnsi="Georgia"/>
          <w:sz w:val="23"/>
          <w:szCs w:val="23"/>
        </w:rPr>
        <w:t xml:space="preserve">The gap from GUT to Planck scale is 63 = 9×7 = matter×space in φ-levels. Is this derivable, or a fit? If derivable, it would predict the GUT scale from the framework without free parameters.</w:t>
      </w:r>
    </w:p>
    <w:p>
      <w:pPr>
        <w:spacing w:after="240"/>
      </w:pPr>
      <w:r>
        <w:t xml:space="preserve"/>
      </w:r>
    </w:p>
    <w:p>
      <w:pPr>
        <w:pStyle w:val="Heading1"/>
        <w:spacing w:before="480" w:after="200"/>
      </w:pPr>
      <w:r>
        <w:rPr>
          <w:rFonts w:ascii="Arial" w:cs="Arial" w:eastAsia="Arial" w:hAnsi="Arial"/>
          <w:b/>
          <w:bCs/>
          <w:color w:val="1E2D3D"/>
          <w:sz w:val="32"/>
          <w:szCs w:val="32"/>
        </w:rPr>
        <w:t xml:space="preserve">Appendix: All Numbers</w:t>
      </w:r>
    </w:p>
    <w:p>
      <w:pPr>
        <w:pBdr>
          <w:top w:val="single" w:color="CCBBAA" w:sz="3"/>
          <w:bottom w:val="single" w:color="CCBBAA" w:sz="3"/>
          <w:left w:val="single" w:color="CCBBAA" w:sz="3"/>
          <w:right w:val="single" w:color="CCBBAA" w:sz="3"/>
        </w:pBdr>
        <w:shd w:fill="F0EDE8" w:val="clear"/>
        <w:spacing w:before="160" w:after="160"/>
        <w:ind w:left="720" w:right="720"/>
        <w:jc w:val="center"/>
      </w:pPr>
      <w:r>
        <w:rPr>
          <w:rFonts w:ascii="Courier New" w:cs="Courier New" w:eastAsia="Courier New" w:hAnsi="Courier New"/>
          <w:sz w:val="21"/>
          <w:szCs w:val="21"/>
        </w:rPr>
        <w:t xml:space="preserve">φ           = 1.618033988749895
K           = 1.527864045000421
K_energy    = 1.31661137e-4 eV
Generator cumulation:
  U(1):              1
  U(1)+SU(2):        4  (= K×φ² exactly)
  U(1)+SU(2)+SU(3): 12  (= 6×2 exactly)
  +Poincaré:        22  (= 2×11 exactly)
Fine structure: 1/(144-7+4/φ¹°) = 0.00729754  (measured: 0.00729735)
Weinberg: 3/13 = 0.23076923  (measured: 0.23120000)
W mass: 79976.29 MeV  (measured: 80379 MeV)
Z mass: K×φ⁷¹ = 9.0694e+10 eV  (measured: 9.1187e+10 eV)
Up quark: K×φ⁴⁹ = 2.2901e+6 eV  (measured: 2.3000e+6 eV)
mp/me: 15×φ¹° = 1844.88  (measured: 1836.15)
Scale gaps in φ-levels:
  up quark → proton:  Δn = 12 (full frame)
  proton → Z boson:  Δn = 10 (R_mass denominator)
  Z boson → GUT:     Δn = 19
  GUT → Planck:      Δn = 63 = 9×7</w:t>
      </w:r>
    </w:p>
    <w:p>
      <w:pPr>
        <w:spacing w:after="200"/>
      </w:pPr>
      <w:r>
        <w:t xml:space="preserve"/>
      </w:r>
    </w:p>
    <w:p>
      <w:pPr>
        <w:pBdr>
          <w:bottom w:val="single" w:color="CCCCCC" w:sz="4" w:space="1"/>
        </w:pBdr>
        <w:spacing w:before="10" w:after="10"/>
      </w:pPr>
      <w:r>
        <w:t xml:space="preserve"/>
      </w:r>
    </w:p>
    <w:p>
      <w:pPr>
        <w:spacing w:after="80"/>
      </w:pPr>
      <w:r>
        <w:t xml:space="preserve"/>
      </w:r>
    </w:p>
    <w:p>
      <w:pPr>
        <w:jc w:val="center"/>
      </w:pPr>
      <w:r>
        <w:rPr>
          <w:rFonts w:ascii="Arial" w:cs="Arial" w:eastAsia="Arial" w:hAnsi="Arial"/>
          <w:i/>
          <w:iCs/>
          <w:color w:val="888888"/>
          <w:sz w:val="18"/>
          <w:szCs w:val="18"/>
        </w:rPr>
        <w:t xml:space="preserve">Ocean From Motion Project  ·  PBAI Technical Series  ·  March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2D3D"/>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2026-03-23T20:23:02.809Z</dcterms:created>
  <dcterms:modified xsi:type="dcterms:W3CDTF">2026-03-23T20:23:02.810Z</dcterms:modified>
</cp:coreProperties>
</file>

<file path=docProps/custom.xml><?xml version="1.0" encoding="utf-8"?>
<Properties xmlns="http://schemas.openxmlformats.org/officeDocument/2006/custom-properties" xmlns:vt="http://schemas.openxmlformats.org/officeDocument/2006/docPropsVTypes"/>
</file>