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F3F7" w14:textId="77777777" w:rsidR="007E48FD" w:rsidRDefault="00AC1660">
      <w:pPr>
        <w:jc w:val="center"/>
      </w:pPr>
      <w:r>
        <w:rPr>
          <w:b/>
          <w:color w:val="1F4E79"/>
          <w:sz w:val="36"/>
        </w:rPr>
        <w:t>BigWatt Digital Upsized Gas-Powered Data Center Sites</w:t>
      </w:r>
      <w:r>
        <w:rPr>
          <w:b/>
          <w:color w:val="1F4E79"/>
          <w:sz w:val="36"/>
        </w:rPr>
        <w:br/>
      </w:r>
      <w:r>
        <w:rPr>
          <w:b/>
          <w:sz w:val="26"/>
        </w:rPr>
        <w:t>Air Permit Submissions, Decarbonization Deliverables, and Brick Full-Service Execution Plan</w:t>
      </w:r>
    </w:p>
    <w:p w14:paraId="725309F8" w14:textId="5A4CEF5C" w:rsidR="007E48FD" w:rsidRDefault="00AC1660">
      <w:pPr>
        <w:jc w:val="center"/>
      </w:pPr>
      <w:r>
        <w:rPr>
          <w:i/>
        </w:rPr>
        <w:t>Prepared as a presentation-ready permitting workplan positioning Brick as the full air-</w:t>
      </w:r>
      <w:r w:rsidR="001F107B">
        <w:rPr>
          <w:i/>
        </w:rPr>
        <w:t>water-</w:t>
      </w:r>
      <w:r>
        <w:rPr>
          <w:i/>
        </w:rPr>
        <w:t xml:space="preserve">permitting + </w:t>
      </w:r>
      <w:r w:rsidR="001F107B">
        <w:rPr>
          <w:i/>
        </w:rPr>
        <w:t xml:space="preserve">energy supply/optimization + </w:t>
      </w:r>
      <w:r>
        <w:rPr>
          <w:i/>
        </w:rPr>
        <w:t>decarbonization execution partner, including workstreams that may otherwise be led by ASG or similar consultants.</w:t>
      </w:r>
    </w:p>
    <w:p w14:paraId="76B2549E" w14:textId="77777777" w:rsidR="007E48FD" w:rsidRDefault="007E48FD"/>
    <w:p w14:paraId="32653666" w14:textId="77777777" w:rsidR="007E48FD" w:rsidRDefault="00AC1660">
      <w:pPr>
        <w:pStyle w:val="Heading1"/>
      </w:pPr>
      <w:r>
        <w:rPr>
          <w:rFonts w:ascii="Arial" w:hAnsi="Arial"/>
        </w:rPr>
        <w:t>Executive Positioning</w:t>
      </w:r>
    </w:p>
    <w:p w14:paraId="6FE4AA6A" w14:textId="2AE01AC9" w:rsidR="007E48FD" w:rsidRPr="00BD023D" w:rsidRDefault="00AC1660">
      <w:pPr>
        <w:pStyle w:val="BodyText"/>
        <w:rPr>
          <w:rFonts w:eastAsia="SimSun" w:hint="eastAsia"/>
          <w:lang w:eastAsia="zh-CN"/>
        </w:rPr>
      </w:pPr>
      <w:r>
        <w:t>BigWatt's upsized sites face an air-permitting problem driven by Potential to Emit (PTE), modeled ambient impacts, enforceable operating limits, public scrutiny, and the ability to show that onsite generation can operate within a defensible emissions envelope. Brick should not be positioned only as a software efficiency add-on. Brick should be positioned as the single technical owner for the air-</w:t>
      </w:r>
      <w:r w:rsidR="001F107B">
        <w:t>water-</w:t>
      </w:r>
      <w:r>
        <w:t>permit submission package and the post-issuance compliance operating system.</w:t>
      </w:r>
    </w:p>
    <w:p w14:paraId="326A89AA" w14:textId="77777777" w:rsidR="007E48FD" w:rsidRDefault="00AC1660">
      <w:pPr>
        <w:pStyle w:val="BodyText"/>
      </w:pPr>
      <w:r>
        <w:t>Brick's expanded role: prepare or directly manage all air-permit deliverables; generate the PTE, BACT/LAER, dispersion modeling, monitoring, recordkeeping, and decarbonization packages; translate permit limits into live operational controls; and provide the software layer that proves compliance after COD.</w:t>
      </w:r>
    </w:p>
    <w:p w14:paraId="3C2FFAA0" w14:textId="77777777" w:rsidR="007E48FD" w:rsidRDefault="00AC1660">
      <w:pPr>
        <w:pStyle w:val="Heading1"/>
      </w:pPr>
      <w:r>
        <w:rPr>
          <w:rFonts w:ascii="Arial" w:hAnsi="Arial"/>
        </w:rPr>
        <w:t>Critical Regulatory Correction</w:t>
      </w:r>
    </w:p>
    <w:p w14:paraId="17AEAAFD" w14:textId="77777777" w:rsidR="007E48FD" w:rsidRDefault="00AC1660">
      <w:pPr>
        <w:pStyle w:val="BodyText"/>
      </w:pPr>
      <w:r>
        <w:t>Subpart KKKK applies to new, modified, or reconstructed stationary combustion turbines under 40 CFR Part 60. For modern gas turbines at BigWatt sites, this is the core NSPS rule set.</w:t>
      </w:r>
    </w:p>
    <w:p w14:paraId="22E25DBD" w14:textId="77777777" w:rsidR="007E48FD" w:rsidRDefault="00AC1660">
      <w:pPr>
        <w:pStyle w:val="BodyText"/>
      </w:pPr>
      <w:r>
        <w:t>Subpart YYYY is not the primary backup-engine rule. In this context, Subpart YYYY is a 40 CFR Part 63 NESHAP for stationary combustion turbines at major HAP sources. Backup reciprocating engines are typically evaluated under 40 CFR Part 60 Subpart IIII for compression-ignition engines, Subpart JJJJ for spark-ignition engines, and 40 CFR Part 63 Subpart ZZZZ for RICE NESHAP applicability.</w:t>
      </w:r>
    </w:p>
    <w:p w14:paraId="6132ED7B" w14:textId="77777777" w:rsidR="007E48FD" w:rsidRDefault="00AC1660">
      <w:pPr>
        <w:pStyle w:val="Heading1"/>
      </w:pPr>
      <w:r>
        <w:rPr>
          <w:rFonts w:ascii="Arial" w:hAnsi="Arial"/>
        </w:rPr>
        <w:t>Air Permit Package BigWatt Must Deliver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3"/>
        <w:gridCol w:w="2660"/>
      </w:tblGrid>
      <w:tr w:rsidR="007E48FD" w14:paraId="3CA2194C" w14:textId="77777777">
        <w:trPr>
          <w:jc w:val="center"/>
        </w:trPr>
        <w:tc>
          <w:tcPr>
            <w:tcW w:w="2664" w:type="dxa"/>
            <w:shd w:val="clear" w:color="auto" w:fill="1F4E79"/>
          </w:tcPr>
          <w:p w14:paraId="79CD6F02" w14:textId="77777777" w:rsidR="007E48FD" w:rsidRDefault="00AC1660">
            <w:r>
              <w:rPr>
                <w:b/>
                <w:color w:val="FFFFFF"/>
                <w:sz w:val="16"/>
              </w:rPr>
              <w:t>Submission / Report</w:t>
            </w:r>
          </w:p>
        </w:tc>
        <w:tc>
          <w:tcPr>
            <w:tcW w:w="2664" w:type="dxa"/>
            <w:shd w:val="clear" w:color="auto" w:fill="1F4E79"/>
          </w:tcPr>
          <w:p w14:paraId="59288C12" w14:textId="77777777" w:rsidR="007E48FD" w:rsidRDefault="00AC1660">
            <w:r>
              <w:rPr>
                <w:b/>
                <w:color w:val="FFFFFF"/>
                <w:sz w:val="16"/>
              </w:rPr>
              <w:t>What permitting body needs</w:t>
            </w:r>
          </w:p>
        </w:tc>
        <w:tc>
          <w:tcPr>
            <w:tcW w:w="2664" w:type="dxa"/>
            <w:shd w:val="clear" w:color="auto" w:fill="1F4E79"/>
          </w:tcPr>
          <w:p w14:paraId="0392818F" w14:textId="77777777" w:rsidR="007E48FD" w:rsidRDefault="00AC1660">
            <w:r>
              <w:rPr>
                <w:b/>
                <w:color w:val="FFFFFF"/>
                <w:sz w:val="16"/>
              </w:rPr>
              <w:t>Brick deliverable BigWatt can present</w:t>
            </w:r>
          </w:p>
        </w:tc>
        <w:tc>
          <w:tcPr>
            <w:tcW w:w="2664" w:type="dxa"/>
            <w:shd w:val="clear" w:color="auto" w:fill="1F4E79"/>
          </w:tcPr>
          <w:p w14:paraId="2680F775" w14:textId="77777777" w:rsidR="007E48FD" w:rsidRDefault="00AC1660">
            <w:r>
              <w:rPr>
                <w:b/>
                <w:color w:val="FFFFFF"/>
                <w:sz w:val="16"/>
              </w:rPr>
              <w:t>Priority</w:t>
            </w:r>
          </w:p>
        </w:tc>
      </w:tr>
      <w:tr w:rsidR="007E48FD" w14:paraId="11416245" w14:textId="77777777">
        <w:trPr>
          <w:jc w:val="center"/>
        </w:trPr>
        <w:tc>
          <w:tcPr>
            <w:tcW w:w="2664" w:type="dxa"/>
          </w:tcPr>
          <w:p w14:paraId="31B151A0" w14:textId="77777777" w:rsidR="007E48FD" w:rsidRDefault="00AC1660">
            <w:r>
              <w:rPr>
                <w:sz w:val="14"/>
              </w:rPr>
              <w:t>1. Air Construction Permit Application Forms</w:t>
            </w:r>
          </w:p>
        </w:tc>
        <w:tc>
          <w:tcPr>
            <w:tcW w:w="2664" w:type="dxa"/>
          </w:tcPr>
          <w:p w14:paraId="7A9538DE" w14:textId="77777777" w:rsidR="007E48FD" w:rsidRDefault="00AC1660">
            <w:r>
              <w:rPr>
                <w:sz w:val="14"/>
              </w:rPr>
              <w:t>State/local construction permit forms with facility identity, source description, requested permit action, source classification, controls, emissions units, and compliance certifications.</w:t>
            </w:r>
          </w:p>
        </w:tc>
        <w:tc>
          <w:tcPr>
            <w:tcW w:w="2664" w:type="dxa"/>
          </w:tcPr>
          <w:p w14:paraId="49B3A35F" w14:textId="77777777" w:rsidR="007E48FD" w:rsidRDefault="00AC1660">
            <w:r>
              <w:rPr>
                <w:sz w:val="14"/>
              </w:rPr>
              <w:t>Brick Permit Application Binder: completed application forms, facility narrative, emissions-unit schedule, requested synthetic minor/major permit strategy if applicable, and permit-condition request language.</w:t>
            </w:r>
          </w:p>
        </w:tc>
        <w:tc>
          <w:tcPr>
            <w:tcW w:w="2664" w:type="dxa"/>
          </w:tcPr>
          <w:p w14:paraId="0B8F3DC5" w14:textId="77777777" w:rsidR="007E48FD" w:rsidRDefault="00AC1660">
            <w:r>
              <w:rPr>
                <w:sz w:val="14"/>
              </w:rPr>
              <w:t>Immediate</w:t>
            </w:r>
          </w:p>
        </w:tc>
      </w:tr>
      <w:tr w:rsidR="007E48FD" w14:paraId="229095E9" w14:textId="77777777">
        <w:trPr>
          <w:jc w:val="center"/>
        </w:trPr>
        <w:tc>
          <w:tcPr>
            <w:tcW w:w="2664" w:type="dxa"/>
          </w:tcPr>
          <w:p w14:paraId="1463B148" w14:textId="77777777" w:rsidR="007E48FD" w:rsidRDefault="00AC1660">
            <w:r>
              <w:rPr>
                <w:sz w:val="14"/>
              </w:rPr>
              <w:t>2. Project Description + Site Development Narrative</w:t>
            </w:r>
          </w:p>
        </w:tc>
        <w:tc>
          <w:tcPr>
            <w:tcW w:w="2664" w:type="dxa"/>
          </w:tcPr>
          <w:p w14:paraId="4F94E42F" w14:textId="77777777" w:rsidR="007E48FD" w:rsidRDefault="00AC1660">
            <w:r>
              <w:rPr>
                <w:sz w:val="14"/>
              </w:rPr>
              <w:t>Clear description of upsized data center campus, onsite generation concept, fuel supply, turbines, emergency/black-start assets, cooling systems, battery/thermal assets, and operating philosophy.</w:t>
            </w:r>
          </w:p>
        </w:tc>
        <w:tc>
          <w:tcPr>
            <w:tcW w:w="2664" w:type="dxa"/>
          </w:tcPr>
          <w:p w14:paraId="1E02AE6D" w14:textId="77777777" w:rsidR="007E48FD" w:rsidRDefault="00AC1660">
            <w:r>
              <w:rPr>
                <w:sz w:val="14"/>
              </w:rPr>
              <w:t>Brick Site + Source Narrative: permitting-grade text, process flow diagrams, equipment hierarchy, emissions-unit IDs, stack IDs, operating scenarios, and site expansion logic.</w:t>
            </w:r>
          </w:p>
        </w:tc>
        <w:tc>
          <w:tcPr>
            <w:tcW w:w="2664" w:type="dxa"/>
          </w:tcPr>
          <w:p w14:paraId="67EA4CC8" w14:textId="77777777" w:rsidR="007E48FD" w:rsidRDefault="00AC1660">
            <w:r>
              <w:rPr>
                <w:sz w:val="14"/>
              </w:rPr>
              <w:t>Immediate</w:t>
            </w:r>
          </w:p>
        </w:tc>
      </w:tr>
      <w:tr w:rsidR="007E48FD" w14:paraId="09A6FD5F" w14:textId="77777777">
        <w:trPr>
          <w:jc w:val="center"/>
        </w:trPr>
        <w:tc>
          <w:tcPr>
            <w:tcW w:w="2664" w:type="dxa"/>
          </w:tcPr>
          <w:p w14:paraId="1FD3CBC9" w14:textId="77777777" w:rsidR="007E48FD" w:rsidRDefault="00AC1660">
            <w:r>
              <w:rPr>
                <w:sz w:val="14"/>
              </w:rPr>
              <w:t>3. Equipment Schedule / Source List</w:t>
            </w:r>
          </w:p>
        </w:tc>
        <w:tc>
          <w:tcPr>
            <w:tcW w:w="2664" w:type="dxa"/>
          </w:tcPr>
          <w:p w14:paraId="1B3DA414" w14:textId="77777777" w:rsidR="007E48FD" w:rsidRDefault="00AC1660">
            <w:r>
              <w:rPr>
                <w:sz w:val="14"/>
              </w:rPr>
              <w:t>Every emissions source must be listed: turbines, HRSG if any, duct burners, emergency engines, fire pumps, boilers, fuel heaters, tanks, fugitive sources, and construction equipment if required.</w:t>
            </w:r>
          </w:p>
        </w:tc>
        <w:tc>
          <w:tcPr>
            <w:tcW w:w="2664" w:type="dxa"/>
          </w:tcPr>
          <w:p w14:paraId="26CC66BD" w14:textId="77777777" w:rsidR="007E48FD" w:rsidRDefault="00AC1660">
            <w:r>
              <w:rPr>
                <w:sz w:val="14"/>
              </w:rPr>
              <w:t>Brick Emissions Unit Register: controlled source inventory with manufacturer, model, rating, heat input, fuel, stack parameters, control device, monitoring points, and permit limit linkage.</w:t>
            </w:r>
          </w:p>
        </w:tc>
        <w:tc>
          <w:tcPr>
            <w:tcW w:w="2664" w:type="dxa"/>
          </w:tcPr>
          <w:p w14:paraId="0A8E217A" w14:textId="77777777" w:rsidR="007E48FD" w:rsidRDefault="00AC1660">
            <w:r>
              <w:rPr>
                <w:sz w:val="14"/>
              </w:rPr>
              <w:t>Immediate</w:t>
            </w:r>
          </w:p>
        </w:tc>
      </w:tr>
      <w:tr w:rsidR="007E48FD" w14:paraId="12AC0B29" w14:textId="77777777">
        <w:trPr>
          <w:jc w:val="center"/>
        </w:trPr>
        <w:tc>
          <w:tcPr>
            <w:tcW w:w="2664" w:type="dxa"/>
          </w:tcPr>
          <w:p w14:paraId="6652D3E4" w14:textId="77777777" w:rsidR="007E48FD" w:rsidRDefault="00AC1660">
            <w:r>
              <w:rPr>
                <w:sz w:val="14"/>
              </w:rPr>
              <w:t>4. Regulatory Applicability Determination</w:t>
            </w:r>
          </w:p>
        </w:tc>
        <w:tc>
          <w:tcPr>
            <w:tcW w:w="2664" w:type="dxa"/>
          </w:tcPr>
          <w:p w14:paraId="1297BC61" w14:textId="77777777" w:rsidR="007E48FD" w:rsidRDefault="00AC1660">
            <w:r>
              <w:rPr>
                <w:sz w:val="14"/>
              </w:rPr>
              <w:t>Determination of PSD/NSR/NNSR, Title V, NSPS KKKK/KKKKa if relevant, NESHAP YYYY, RICE IIII/JJJJ/ZZZZ, state toxics, GHG, and local rules.</w:t>
            </w:r>
          </w:p>
        </w:tc>
        <w:tc>
          <w:tcPr>
            <w:tcW w:w="2664" w:type="dxa"/>
          </w:tcPr>
          <w:p w14:paraId="622293F4" w14:textId="77777777" w:rsidR="007E48FD" w:rsidRDefault="00AC1660">
            <w:r>
              <w:rPr>
                <w:sz w:val="14"/>
              </w:rPr>
              <w:t>Brick Applicability Memo: rule-by-rule applicability matrix and decision tree. Includes threshold calculations and source classification logic for the upsized site.</w:t>
            </w:r>
          </w:p>
        </w:tc>
        <w:tc>
          <w:tcPr>
            <w:tcW w:w="2664" w:type="dxa"/>
          </w:tcPr>
          <w:p w14:paraId="6392D2C0" w14:textId="77777777" w:rsidR="007E48FD" w:rsidRDefault="00AC1660">
            <w:r>
              <w:rPr>
                <w:sz w:val="14"/>
              </w:rPr>
              <w:t>Immediate</w:t>
            </w:r>
          </w:p>
        </w:tc>
      </w:tr>
      <w:tr w:rsidR="007E48FD" w14:paraId="22EB99C7" w14:textId="77777777">
        <w:trPr>
          <w:jc w:val="center"/>
        </w:trPr>
        <w:tc>
          <w:tcPr>
            <w:tcW w:w="2664" w:type="dxa"/>
          </w:tcPr>
          <w:p w14:paraId="6D34DD96" w14:textId="77777777" w:rsidR="007E48FD" w:rsidRDefault="00AC1660">
            <w:r>
              <w:rPr>
                <w:sz w:val="14"/>
              </w:rPr>
              <w:t>5. Potential to Emit (PTE) Analysis</w:t>
            </w:r>
          </w:p>
        </w:tc>
        <w:tc>
          <w:tcPr>
            <w:tcW w:w="2664" w:type="dxa"/>
          </w:tcPr>
          <w:p w14:paraId="2025BE74" w14:textId="77777777" w:rsidR="007E48FD" w:rsidRDefault="00AC1660">
            <w:r>
              <w:rPr>
                <w:sz w:val="14"/>
              </w:rPr>
              <w:t>Maximum emissions capability before enforceable limits. PTE determines whether site is major, PSD/NNSR applicability, Title V, HAP major status, and modeling burden.</w:t>
            </w:r>
          </w:p>
        </w:tc>
        <w:tc>
          <w:tcPr>
            <w:tcW w:w="2664" w:type="dxa"/>
          </w:tcPr>
          <w:p w14:paraId="63081E76" w14:textId="77777777" w:rsidR="007E48FD" w:rsidRDefault="00AC1660">
            <w:r>
              <w:rPr>
                <w:sz w:val="14"/>
              </w:rPr>
              <w:t>Brick PTE Workbook: uncontrolled, controlled, and proposed enforceable PTE by pollutant and emissions unit; scenario-based hourly, daily, monthly, annual calculations.</w:t>
            </w:r>
          </w:p>
        </w:tc>
        <w:tc>
          <w:tcPr>
            <w:tcW w:w="2664" w:type="dxa"/>
          </w:tcPr>
          <w:p w14:paraId="49858928" w14:textId="77777777" w:rsidR="007E48FD" w:rsidRDefault="00AC1660">
            <w:r>
              <w:rPr>
                <w:sz w:val="14"/>
              </w:rPr>
              <w:t>Immediate</w:t>
            </w:r>
          </w:p>
        </w:tc>
      </w:tr>
      <w:tr w:rsidR="007E48FD" w14:paraId="3B73DE72" w14:textId="77777777">
        <w:trPr>
          <w:jc w:val="center"/>
        </w:trPr>
        <w:tc>
          <w:tcPr>
            <w:tcW w:w="2664" w:type="dxa"/>
          </w:tcPr>
          <w:p w14:paraId="43771D64" w14:textId="77777777" w:rsidR="007E48FD" w:rsidRDefault="00AC1660">
            <w:r>
              <w:rPr>
                <w:sz w:val="14"/>
              </w:rPr>
              <w:t>6. Controlled Emissions Inventory</w:t>
            </w:r>
          </w:p>
        </w:tc>
        <w:tc>
          <w:tcPr>
            <w:tcW w:w="2664" w:type="dxa"/>
          </w:tcPr>
          <w:p w14:paraId="4BAF64B6" w14:textId="77777777" w:rsidR="007E48FD" w:rsidRDefault="00AC1660">
            <w:r>
              <w:rPr>
                <w:sz w:val="14"/>
              </w:rPr>
              <w:t>Annual and short-term emissions estimates for NOx, CO, VOC, PM/PM10/PM2.5, SO2, CO2e, HAPs, formaldehyde, and startup/shutdown events.</w:t>
            </w:r>
          </w:p>
        </w:tc>
        <w:tc>
          <w:tcPr>
            <w:tcW w:w="2664" w:type="dxa"/>
          </w:tcPr>
          <w:p w14:paraId="22B77CBA" w14:textId="77777777" w:rsidR="007E48FD" w:rsidRDefault="00AC1660">
            <w:r>
              <w:rPr>
                <w:sz w:val="14"/>
              </w:rPr>
              <w:t>Brick Controlled Emissions Workbook: OEM curves + EPA factors + fuel specs + load profiles + control efficiencies + startup/shutdown factors.</w:t>
            </w:r>
          </w:p>
        </w:tc>
        <w:tc>
          <w:tcPr>
            <w:tcW w:w="2664" w:type="dxa"/>
          </w:tcPr>
          <w:p w14:paraId="7438A08B" w14:textId="77777777" w:rsidR="007E48FD" w:rsidRDefault="00AC1660">
            <w:r>
              <w:rPr>
                <w:sz w:val="14"/>
              </w:rPr>
              <w:t>Immediate</w:t>
            </w:r>
          </w:p>
        </w:tc>
      </w:tr>
      <w:tr w:rsidR="007E48FD" w14:paraId="62B1023E" w14:textId="77777777">
        <w:trPr>
          <w:jc w:val="center"/>
        </w:trPr>
        <w:tc>
          <w:tcPr>
            <w:tcW w:w="2664" w:type="dxa"/>
          </w:tcPr>
          <w:p w14:paraId="67298F42" w14:textId="77777777" w:rsidR="007E48FD" w:rsidRDefault="00AC1660">
            <w:r>
              <w:rPr>
                <w:sz w:val="14"/>
              </w:rPr>
              <w:t>7. Operating Scenario Matrix</w:t>
            </w:r>
          </w:p>
        </w:tc>
        <w:tc>
          <w:tcPr>
            <w:tcW w:w="2664" w:type="dxa"/>
          </w:tcPr>
          <w:p w14:paraId="4069BAA2" w14:textId="77777777" w:rsidR="007E48FD" w:rsidRDefault="00AC1660">
            <w:r>
              <w:rPr>
                <w:sz w:val="14"/>
              </w:rPr>
              <w:t xml:space="preserve">Permitting body needs to understand </w:t>
            </w:r>
            <w:r>
              <w:rPr>
                <w:sz w:val="14"/>
              </w:rPr>
              <w:lastRenderedPageBreak/>
              <w:t>normal operation, peak ambient operation, startup/shutdown, commissioning, emergency operation, maintenance, and upset/malfunction assumptions.</w:t>
            </w:r>
          </w:p>
        </w:tc>
        <w:tc>
          <w:tcPr>
            <w:tcW w:w="2664" w:type="dxa"/>
          </w:tcPr>
          <w:p w14:paraId="3329A2A8" w14:textId="77777777" w:rsidR="007E48FD" w:rsidRDefault="00AC1660">
            <w:r>
              <w:rPr>
                <w:sz w:val="14"/>
              </w:rPr>
              <w:lastRenderedPageBreak/>
              <w:t xml:space="preserve">Brick Operating Scenario Matrix: </w:t>
            </w:r>
            <w:r>
              <w:rPr>
                <w:sz w:val="14"/>
              </w:rPr>
              <w:lastRenderedPageBreak/>
              <w:t>mode-by-mode dispatch profile with runtime hours, loads, turbine starts, battery use, thermal shifting, and emissions impact.</w:t>
            </w:r>
          </w:p>
        </w:tc>
        <w:tc>
          <w:tcPr>
            <w:tcW w:w="2664" w:type="dxa"/>
          </w:tcPr>
          <w:p w14:paraId="5F51DDA6" w14:textId="77777777" w:rsidR="007E48FD" w:rsidRDefault="00AC1660">
            <w:r>
              <w:rPr>
                <w:sz w:val="14"/>
              </w:rPr>
              <w:lastRenderedPageBreak/>
              <w:t>Immediate</w:t>
            </w:r>
          </w:p>
        </w:tc>
      </w:tr>
      <w:tr w:rsidR="007E48FD" w14:paraId="5CE5E761" w14:textId="77777777">
        <w:trPr>
          <w:jc w:val="center"/>
        </w:trPr>
        <w:tc>
          <w:tcPr>
            <w:tcW w:w="2664" w:type="dxa"/>
          </w:tcPr>
          <w:p w14:paraId="3BAFF5AA" w14:textId="77777777" w:rsidR="007E48FD" w:rsidRDefault="00AC1660">
            <w:r>
              <w:rPr>
                <w:sz w:val="14"/>
              </w:rPr>
              <w:t>8. BACT Analysis for PSD</w:t>
            </w:r>
          </w:p>
        </w:tc>
        <w:tc>
          <w:tcPr>
            <w:tcW w:w="2664" w:type="dxa"/>
          </w:tcPr>
          <w:p w14:paraId="68705F3C" w14:textId="77777777" w:rsidR="007E48FD" w:rsidRDefault="00AC1660">
            <w:r>
              <w:rPr>
                <w:sz w:val="14"/>
              </w:rPr>
              <w:t>If PSD major, applicant must show top-down Best Available Control Technology for each regulated pollutant and affected source.</w:t>
            </w:r>
          </w:p>
        </w:tc>
        <w:tc>
          <w:tcPr>
            <w:tcW w:w="2664" w:type="dxa"/>
          </w:tcPr>
          <w:p w14:paraId="3A0270E4" w14:textId="77777777" w:rsidR="007E48FD" w:rsidRDefault="00AC1660">
            <w:r>
              <w:rPr>
                <w:sz w:val="14"/>
              </w:rPr>
              <w:t>Brick BACT Report: SCR/oxidation catalyst/dry-low-NOx/combustion controls, vendor guarantees, feasibility, cost-effectiveness, collateral impacts, proposed limits.</w:t>
            </w:r>
          </w:p>
        </w:tc>
        <w:tc>
          <w:tcPr>
            <w:tcW w:w="2664" w:type="dxa"/>
          </w:tcPr>
          <w:p w14:paraId="0AB1AA7B" w14:textId="77777777" w:rsidR="007E48FD" w:rsidRDefault="00AC1660">
            <w:r>
              <w:rPr>
                <w:sz w:val="14"/>
              </w:rPr>
              <w:t>High</w:t>
            </w:r>
          </w:p>
        </w:tc>
      </w:tr>
      <w:tr w:rsidR="007E48FD" w14:paraId="57C987F0" w14:textId="77777777">
        <w:trPr>
          <w:jc w:val="center"/>
        </w:trPr>
        <w:tc>
          <w:tcPr>
            <w:tcW w:w="2664" w:type="dxa"/>
          </w:tcPr>
          <w:p w14:paraId="7AEA6501" w14:textId="77777777" w:rsidR="007E48FD" w:rsidRDefault="00AC1660">
            <w:r>
              <w:rPr>
                <w:sz w:val="14"/>
              </w:rPr>
              <w:t>9. LAER + Offsets if Nonattainment NSR</w:t>
            </w:r>
          </w:p>
        </w:tc>
        <w:tc>
          <w:tcPr>
            <w:tcW w:w="2664" w:type="dxa"/>
          </w:tcPr>
          <w:p w14:paraId="0D31BF5E" w14:textId="77777777" w:rsidR="007E48FD" w:rsidRDefault="00AC1660">
            <w:r>
              <w:rPr>
                <w:sz w:val="14"/>
              </w:rPr>
              <w:t>If located in nonattainment area and thresholds are exceeded, Lowest Achievable Emission Rate and emission reduction credits may be required.</w:t>
            </w:r>
          </w:p>
        </w:tc>
        <w:tc>
          <w:tcPr>
            <w:tcW w:w="2664" w:type="dxa"/>
          </w:tcPr>
          <w:p w14:paraId="4887311F" w14:textId="77777777" w:rsidR="007E48FD" w:rsidRDefault="00AC1660">
            <w:r>
              <w:rPr>
                <w:sz w:val="14"/>
              </w:rPr>
              <w:t>Brick LAER/Offset Strategy: LAER alternatives, offset requirement estimate, ERC strategy, and operating-limit alternatives to avoid NNSR where possible.</w:t>
            </w:r>
          </w:p>
        </w:tc>
        <w:tc>
          <w:tcPr>
            <w:tcW w:w="2664" w:type="dxa"/>
          </w:tcPr>
          <w:p w14:paraId="0574400B" w14:textId="77777777" w:rsidR="007E48FD" w:rsidRDefault="00AC1660">
            <w:r>
              <w:rPr>
                <w:sz w:val="14"/>
              </w:rPr>
              <w:t>High / site-specific</w:t>
            </w:r>
          </w:p>
        </w:tc>
      </w:tr>
      <w:tr w:rsidR="007E48FD" w14:paraId="0B78BDEC" w14:textId="77777777">
        <w:trPr>
          <w:jc w:val="center"/>
        </w:trPr>
        <w:tc>
          <w:tcPr>
            <w:tcW w:w="2664" w:type="dxa"/>
          </w:tcPr>
          <w:p w14:paraId="6970E6E4" w14:textId="77777777" w:rsidR="007E48FD" w:rsidRDefault="00AC1660">
            <w:r>
              <w:rPr>
                <w:sz w:val="14"/>
              </w:rPr>
              <w:t>10. Air Dispersion Modeling Protocol</w:t>
            </w:r>
          </w:p>
        </w:tc>
        <w:tc>
          <w:tcPr>
            <w:tcW w:w="2664" w:type="dxa"/>
          </w:tcPr>
          <w:p w14:paraId="2B569777" w14:textId="77777777" w:rsidR="007E48FD" w:rsidRDefault="00AC1660">
            <w:r>
              <w:rPr>
                <w:sz w:val="14"/>
              </w:rPr>
              <w:t>Regulator often requires modeling plan before final modeling: sources, stack parameters, terrain, met data, receptors, building downwash, pollutants, averaging periods.</w:t>
            </w:r>
          </w:p>
        </w:tc>
        <w:tc>
          <w:tcPr>
            <w:tcW w:w="2664" w:type="dxa"/>
          </w:tcPr>
          <w:p w14:paraId="33FD7384" w14:textId="77777777" w:rsidR="007E48FD" w:rsidRDefault="00AC1660">
            <w:r>
              <w:rPr>
                <w:sz w:val="14"/>
              </w:rPr>
              <w:t>Brick Modeling Protocol: AERMOD-ready source inventory, receptor grid, stack data, BPIP/downwash inputs, meteorological data selection, background concentration plan.</w:t>
            </w:r>
          </w:p>
        </w:tc>
        <w:tc>
          <w:tcPr>
            <w:tcW w:w="2664" w:type="dxa"/>
          </w:tcPr>
          <w:p w14:paraId="1D456D24" w14:textId="77777777" w:rsidR="007E48FD" w:rsidRDefault="00AC1660">
            <w:r>
              <w:rPr>
                <w:sz w:val="14"/>
              </w:rPr>
              <w:t>High</w:t>
            </w:r>
          </w:p>
        </w:tc>
      </w:tr>
      <w:tr w:rsidR="007E48FD" w14:paraId="04E9BD08" w14:textId="77777777">
        <w:trPr>
          <w:jc w:val="center"/>
        </w:trPr>
        <w:tc>
          <w:tcPr>
            <w:tcW w:w="2664" w:type="dxa"/>
          </w:tcPr>
          <w:p w14:paraId="321AB0EC" w14:textId="77777777" w:rsidR="007E48FD" w:rsidRDefault="00AC1660">
            <w:r>
              <w:rPr>
                <w:sz w:val="14"/>
              </w:rPr>
              <w:t>11. Air Dispersion Modeling Report</w:t>
            </w:r>
          </w:p>
        </w:tc>
        <w:tc>
          <w:tcPr>
            <w:tcW w:w="2664" w:type="dxa"/>
          </w:tcPr>
          <w:p w14:paraId="45020B53" w14:textId="77777777" w:rsidR="007E48FD" w:rsidRDefault="00AC1660">
            <w:r>
              <w:rPr>
                <w:sz w:val="14"/>
              </w:rPr>
              <w:t>Demonstrate modeled concentrations do not cause or contribute to NAAQS/PSD increment exceedances or unacceptable toxic impacts.</w:t>
            </w:r>
          </w:p>
        </w:tc>
        <w:tc>
          <w:tcPr>
            <w:tcW w:w="2664" w:type="dxa"/>
          </w:tcPr>
          <w:p w14:paraId="7A7954D4" w14:textId="77777777" w:rsidR="007E48FD" w:rsidRDefault="00AC1660">
            <w:r>
              <w:rPr>
                <w:sz w:val="14"/>
              </w:rPr>
              <w:t>Brick AERMOD Report Package: model files, inputs, results tables, exceedance analyses, maps, sensitive receptor analysis, and mitigation options.</w:t>
            </w:r>
          </w:p>
        </w:tc>
        <w:tc>
          <w:tcPr>
            <w:tcW w:w="2664" w:type="dxa"/>
          </w:tcPr>
          <w:p w14:paraId="1BB83584" w14:textId="77777777" w:rsidR="007E48FD" w:rsidRDefault="00AC1660">
            <w:r>
              <w:rPr>
                <w:sz w:val="14"/>
              </w:rPr>
              <w:t>High</w:t>
            </w:r>
          </w:p>
        </w:tc>
      </w:tr>
      <w:tr w:rsidR="007E48FD" w14:paraId="54164617" w14:textId="77777777">
        <w:trPr>
          <w:jc w:val="center"/>
        </w:trPr>
        <w:tc>
          <w:tcPr>
            <w:tcW w:w="2664" w:type="dxa"/>
          </w:tcPr>
          <w:p w14:paraId="1605989A" w14:textId="77777777" w:rsidR="007E48FD" w:rsidRDefault="00AC1660">
            <w:r>
              <w:rPr>
                <w:sz w:val="14"/>
              </w:rPr>
              <w:t>12. Preconstruction Ambient Air / Background Analysis</w:t>
            </w:r>
          </w:p>
        </w:tc>
        <w:tc>
          <w:tcPr>
            <w:tcW w:w="2664" w:type="dxa"/>
          </w:tcPr>
          <w:p w14:paraId="6FBC045D" w14:textId="77777777" w:rsidR="007E48FD" w:rsidRDefault="00AC1660">
            <w:r>
              <w:rPr>
                <w:sz w:val="14"/>
              </w:rPr>
              <w:t>Permitting body may require background concentration data, monitoring justification, or preconstruction monitoring waiver analysis.</w:t>
            </w:r>
          </w:p>
        </w:tc>
        <w:tc>
          <w:tcPr>
            <w:tcW w:w="2664" w:type="dxa"/>
          </w:tcPr>
          <w:p w14:paraId="1B005B60" w14:textId="77777777" w:rsidR="007E48FD" w:rsidRDefault="00AC1660">
            <w:r>
              <w:rPr>
                <w:sz w:val="14"/>
              </w:rPr>
              <w:t>Brick Ambient Data Memo: monitor selection, representativeness, background values, temporal pairing, and waiver/monitoring strategy.</w:t>
            </w:r>
          </w:p>
        </w:tc>
        <w:tc>
          <w:tcPr>
            <w:tcW w:w="2664" w:type="dxa"/>
          </w:tcPr>
          <w:p w14:paraId="77BE2174" w14:textId="77777777" w:rsidR="007E48FD" w:rsidRDefault="00AC1660">
            <w:r>
              <w:rPr>
                <w:sz w:val="14"/>
              </w:rPr>
              <w:t>High</w:t>
            </w:r>
          </w:p>
        </w:tc>
      </w:tr>
      <w:tr w:rsidR="007E48FD" w14:paraId="65174885" w14:textId="77777777">
        <w:trPr>
          <w:jc w:val="center"/>
        </w:trPr>
        <w:tc>
          <w:tcPr>
            <w:tcW w:w="2664" w:type="dxa"/>
          </w:tcPr>
          <w:p w14:paraId="758BD05F" w14:textId="77777777" w:rsidR="007E48FD" w:rsidRDefault="00AC1660">
            <w:r>
              <w:rPr>
                <w:sz w:val="14"/>
              </w:rPr>
              <w:t>13. Additional Impact Analysis</w:t>
            </w:r>
          </w:p>
        </w:tc>
        <w:tc>
          <w:tcPr>
            <w:tcW w:w="2664" w:type="dxa"/>
          </w:tcPr>
          <w:p w14:paraId="0FC5BB8F" w14:textId="77777777" w:rsidR="007E48FD" w:rsidRDefault="00AC1660">
            <w:r>
              <w:rPr>
                <w:sz w:val="14"/>
              </w:rPr>
              <w:t>PSD applications can require additional impacts: growth, soils, vegetation, visibility, Class I area screening if relevant.</w:t>
            </w:r>
          </w:p>
        </w:tc>
        <w:tc>
          <w:tcPr>
            <w:tcW w:w="2664" w:type="dxa"/>
          </w:tcPr>
          <w:p w14:paraId="2FB917EB" w14:textId="77777777" w:rsidR="007E48FD" w:rsidRDefault="00AC1660">
            <w:r>
              <w:rPr>
                <w:sz w:val="14"/>
              </w:rPr>
              <w:t>Brick Additional Impacts Report: growth/employment/load impacts, vegetation/soil screening, visibility/Class I applicability, community sensitivity map.</w:t>
            </w:r>
          </w:p>
        </w:tc>
        <w:tc>
          <w:tcPr>
            <w:tcW w:w="2664" w:type="dxa"/>
          </w:tcPr>
          <w:p w14:paraId="6AD76A56" w14:textId="77777777" w:rsidR="007E48FD" w:rsidRDefault="00AC1660">
            <w:r>
              <w:rPr>
                <w:sz w:val="14"/>
              </w:rPr>
              <w:t>Medium / PSD</w:t>
            </w:r>
          </w:p>
        </w:tc>
      </w:tr>
      <w:tr w:rsidR="007E48FD" w14:paraId="64708D07" w14:textId="77777777">
        <w:trPr>
          <w:jc w:val="center"/>
        </w:trPr>
        <w:tc>
          <w:tcPr>
            <w:tcW w:w="2664" w:type="dxa"/>
          </w:tcPr>
          <w:p w14:paraId="49460A15" w14:textId="77777777" w:rsidR="007E48FD" w:rsidRDefault="00AC1660">
            <w:r>
              <w:rPr>
                <w:sz w:val="14"/>
              </w:rPr>
              <w:t>14. GHG / Decarbonization Analysis</w:t>
            </w:r>
          </w:p>
        </w:tc>
        <w:tc>
          <w:tcPr>
            <w:tcW w:w="2664" w:type="dxa"/>
          </w:tcPr>
          <w:p w14:paraId="1EFD9375" w14:textId="77777777" w:rsidR="007E48FD" w:rsidRDefault="00AC1660">
            <w:r>
              <w:rPr>
                <w:sz w:val="14"/>
              </w:rPr>
              <w:t>Even when GHG alone does not trigger PSD, GHG analysis, energy efficiency, and carbon strategy are increasingly important for approval and stakeholder defense.</w:t>
            </w:r>
          </w:p>
        </w:tc>
        <w:tc>
          <w:tcPr>
            <w:tcW w:w="2664" w:type="dxa"/>
          </w:tcPr>
          <w:p w14:paraId="010EC274" w14:textId="77777777" w:rsidR="007E48FD" w:rsidRDefault="00AC1660">
            <w:r>
              <w:rPr>
                <w:sz w:val="14"/>
              </w:rPr>
              <w:t>Brick Decarbonization + GHG Report: CO2e inventory, heat-rate optimization, cooling-load reduction, battery/thermal dispatch, renewable/RNG/hydrogen optionality, avoided emissions.</w:t>
            </w:r>
          </w:p>
        </w:tc>
        <w:tc>
          <w:tcPr>
            <w:tcW w:w="2664" w:type="dxa"/>
          </w:tcPr>
          <w:p w14:paraId="2E46928A" w14:textId="77777777" w:rsidR="007E48FD" w:rsidRDefault="00AC1660">
            <w:r>
              <w:rPr>
                <w:sz w:val="14"/>
              </w:rPr>
              <w:t>High</w:t>
            </w:r>
          </w:p>
        </w:tc>
      </w:tr>
      <w:tr w:rsidR="007E48FD" w14:paraId="0271AFBE" w14:textId="77777777">
        <w:trPr>
          <w:jc w:val="center"/>
        </w:trPr>
        <w:tc>
          <w:tcPr>
            <w:tcW w:w="2664" w:type="dxa"/>
          </w:tcPr>
          <w:p w14:paraId="4CDF232A" w14:textId="77777777" w:rsidR="007E48FD" w:rsidRDefault="00AC1660">
            <w:r>
              <w:rPr>
                <w:sz w:val="14"/>
              </w:rPr>
              <w:t>15. Monitoring, Testing, and Compliance Plan</w:t>
            </w:r>
          </w:p>
        </w:tc>
        <w:tc>
          <w:tcPr>
            <w:tcW w:w="2664" w:type="dxa"/>
          </w:tcPr>
          <w:p w14:paraId="2754EDB5" w14:textId="77777777" w:rsidR="007E48FD" w:rsidRDefault="00AC1660">
            <w:r>
              <w:rPr>
                <w:sz w:val="14"/>
              </w:rPr>
              <w:t>Regulators require enforceable monitoring: CEMS/PEMS/CPMS, stack tests, fuel monitoring, turbine operating parameters, SCR ammonia slip if applicable.</w:t>
            </w:r>
          </w:p>
        </w:tc>
        <w:tc>
          <w:tcPr>
            <w:tcW w:w="2664" w:type="dxa"/>
          </w:tcPr>
          <w:p w14:paraId="002FFE5E" w14:textId="77777777" w:rsidR="007E48FD" w:rsidRDefault="00AC1660">
            <w:r>
              <w:rPr>
                <w:sz w:val="14"/>
              </w:rPr>
              <w:t>Brick Monitoring Plan: CEMS/PEMS architecture, data acquisition, sensor list, emissions proxy, data validation, QA/QC, stack test schedule, dashboard/reporting format.</w:t>
            </w:r>
          </w:p>
        </w:tc>
        <w:tc>
          <w:tcPr>
            <w:tcW w:w="2664" w:type="dxa"/>
          </w:tcPr>
          <w:p w14:paraId="4C3E05CF" w14:textId="77777777" w:rsidR="007E48FD" w:rsidRDefault="00AC1660">
            <w:r>
              <w:rPr>
                <w:sz w:val="14"/>
              </w:rPr>
              <w:t>High</w:t>
            </w:r>
          </w:p>
        </w:tc>
      </w:tr>
      <w:tr w:rsidR="007E48FD" w14:paraId="6428D4FE" w14:textId="77777777">
        <w:trPr>
          <w:jc w:val="center"/>
        </w:trPr>
        <w:tc>
          <w:tcPr>
            <w:tcW w:w="2664" w:type="dxa"/>
          </w:tcPr>
          <w:p w14:paraId="5E6FD035" w14:textId="77777777" w:rsidR="007E48FD" w:rsidRDefault="00AC1660">
            <w:r>
              <w:rPr>
                <w:sz w:val="14"/>
              </w:rPr>
              <w:t>16. Recordkeeping and Reporting Plan</w:t>
            </w:r>
          </w:p>
        </w:tc>
        <w:tc>
          <w:tcPr>
            <w:tcW w:w="2664" w:type="dxa"/>
          </w:tcPr>
          <w:p w14:paraId="02936657" w14:textId="77777777" w:rsidR="007E48FD" w:rsidRDefault="00AC1660">
            <w:r>
              <w:rPr>
                <w:sz w:val="14"/>
              </w:rPr>
              <w:t>Permit must define records retained and periodic reports submitted: runtime, fuel, emissions, deviations, maintenance, startups, shutdowns, tests.</w:t>
            </w:r>
          </w:p>
        </w:tc>
        <w:tc>
          <w:tcPr>
            <w:tcW w:w="2664" w:type="dxa"/>
          </w:tcPr>
          <w:p w14:paraId="6BC9BCFE" w14:textId="77777777" w:rsidR="007E48FD" w:rsidRDefault="00AC1660">
            <w:r>
              <w:rPr>
                <w:sz w:val="14"/>
              </w:rPr>
              <w:t>Brick Compliance Data Room: automated logs, permit-limit tracker, deviation workflow, monthly/quarterly/semiannual reports, Title V-ready certification package.</w:t>
            </w:r>
          </w:p>
        </w:tc>
        <w:tc>
          <w:tcPr>
            <w:tcW w:w="2664" w:type="dxa"/>
          </w:tcPr>
          <w:p w14:paraId="35644E9E" w14:textId="77777777" w:rsidR="007E48FD" w:rsidRDefault="00AC1660">
            <w:r>
              <w:rPr>
                <w:sz w:val="14"/>
              </w:rPr>
              <w:t>High</w:t>
            </w:r>
          </w:p>
        </w:tc>
      </w:tr>
      <w:tr w:rsidR="007E48FD" w14:paraId="5A2ED2C5" w14:textId="77777777">
        <w:trPr>
          <w:jc w:val="center"/>
        </w:trPr>
        <w:tc>
          <w:tcPr>
            <w:tcW w:w="2664" w:type="dxa"/>
          </w:tcPr>
          <w:p w14:paraId="0D800D10" w14:textId="77777777" w:rsidR="007E48FD" w:rsidRDefault="00AC1660">
            <w:r>
              <w:rPr>
                <w:sz w:val="14"/>
              </w:rPr>
              <w:t>17. Public Notice / Hearing Support Package</w:t>
            </w:r>
          </w:p>
        </w:tc>
        <w:tc>
          <w:tcPr>
            <w:tcW w:w="2664" w:type="dxa"/>
          </w:tcPr>
          <w:p w14:paraId="0481CACD" w14:textId="77777777" w:rsidR="007E48FD" w:rsidRDefault="00AC1660">
            <w:r>
              <w:rPr>
                <w:sz w:val="14"/>
              </w:rPr>
              <w:t>Large gas-powered data centers may face public scrutiny. Technical defensibility and decarb story matter.</w:t>
            </w:r>
          </w:p>
        </w:tc>
        <w:tc>
          <w:tcPr>
            <w:tcW w:w="2664" w:type="dxa"/>
          </w:tcPr>
          <w:p w14:paraId="024DBF7E" w14:textId="77777777" w:rsidR="007E48FD" w:rsidRDefault="00AC1660">
            <w:r>
              <w:rPr>
                <w:sz w:val="14"/>
              </w:rPr>
              <w:t>Brick Public Support Binder: plain-English emissions explanation, decarb plan, avoided emissions, water/energy narrative, Q&amp;A, response-to-comments technical appendix.</w:t>
            </w:r>
          </w:p>
        </w:tc>
        <w:tc>
          <w:tcPr>
            <w:tcW w:w="2664" w:type="dxa"/>
          </w:tcPr>
          <w:p w14:paraId="7BB7EDE8" w14:textId="77777777" w:rsidR="007E48FD" w:rsidRDefault="00AC1660">
            <w:r>
              <w:rPr>
                <w:sz w:val="14"/>
              </w:rPr>
              <w:t>Medium / High</w:t>
            </w:r>
          </w:p>
        </w:tc>
      </w:tr>
      <w:tr w:rsidR="007E48FD" w14:paraId="5411CED5" w14:textId="77777777">
        <w:trPr>
          <w:jc w:val="center"/>
        </w:trPr>
        <w:tc>
          <w:tcPr>
            <w:tcW w:w="2664" w:type="dxa"/>
          </w:tcPr>
          <w:p w14:paraId="5158B94A" w14:textId="77777777" w:rsidR="007E48FD" w:rsidRDefault="00AC1660">
            <w:r>
              <w:rPr>
                <w:sz w:val="14"/>
              </w:rPr>
              <w:t>18. Draft Permit Condition Matrix</w:t>
            </w:r>
          </w:p>
        </w:tc>
        <w:tc>
          <w:tcPr>
            <w:tcW w:w="2664" w:type="dxa"/>
          </w:tcPr>
          <w:p w14:paraId="53C93109" w14:textId="77777777" w:rsidR="007E48FD" w:rsidRDefault="00AC1660">
            <w:r>
              <w:rPr>
                <w:sz w:val="14"/>
              </w:rPr>
              <w:t>Applicant should propose practical limits and conditions to avoid unworkable permit language.</w:t>
            </w:r>
          </w:p>
        </w:tc>
        <w:tc>
          <w:tcPr>
            <w:tcW w:w="2664" w:type="dxa"/>
          </w:tcPr>
          <w:p w14:paraId="686B0859" w14:textId="77777777" w:rsidR="007E48FD" w:rsidRDefault="00AC1660">
            <w:r>
              <w:rPr>
                <w:sz w:val="14"/>
              </w:rPr>
              <w:t>Brick Permit Condition Matrix: proposed limits, measurement method, data source, responsible system, compliance demonstration, and operational feasibility check.</w:t>
            </w:r>
          </w:p>
        </w:tc>
        <w:tc>
          <w:tcPr>
            <w:tcW w:w="2664" w:type="dxa"/>
          </w:tcPr>
          <w:p w14:paraId="6D2C359E" w14:textId="77777777" w:rsidR="007E48FD" w:rsidRDefault="00AC1660">
            <w:r>
              <w:rPr>
                <w:sz w:val="14"/>
              </w:rPr>
              <w:t>Immediate</w:t>
            </w:r>
          </w:p>
        </w:tc>
      </w:tr>
      <w:tr w:rsidR="007E48FD" w14:paraId="411FD87C" w14:textId="77777777">
        <w:trPr>
          <w:jc w:val="center"/>
        </w:trPr>
        <w:tc>
          <w:tcPr>
            <w:tcW w:w="2664" w:type="dxa"/>
          </w:tcPr>
          <w:p w14:paraId="4A389287" w14:textId="77777777" w:rsidR="007E48FD" w:rsidRDefault="00AC1660">
            <w:r>
              <w:rPr>
                <w:sz w:val="14"/>
              </w:rPr>
              <w:t>19. Post-Issuance Compliance Implementation</w:t>
            </w:r>
          </w:p>
        </w:tc>
        <w:tc>
          <w:tcPr>
            <w:tcW w:w="2664" w:type="dxa"/>
          </w:tcPr>
          <w:p w14:paraId="775A1404" w14:textId="77777777" w:rsidR="007E48FD" w:rsidRDefault="00AC1660">
            <w:r>
              <w:rPr>
                <w:sz w:val="14"/>
              </w:rPr>
              <w:t>After permit grant, the facility must operate within conditions and produce records during inspections.</w:t>
            </w:r>
          </w:p>
        </w:tc>
        <w:tc>
          <w:tcPr>
            <w:tcW w:w="2664" w:type="dxa"/>
          </w:tcPr>
          <w:p w14:paraId="55BEC886" w14:textId="77777777" w:rsidR="007E48FD" w:rsidRDefault="00AC1660">
            <w:r>
              <w:rPr>
                <w:sz w:val="14"/>
              </w:rPr>
              <w:t>Brick Compliance OS: operational controls that enforce runtime, dispatch, emission-rate, fuel, startup/shutdown, and reporting constraints.</w:t>
            </w:r>
          </w:p>
        </w:tc>
        <w:tc>
          <w:tcPr>
            <w:tcW w:w="2664" w:type="dxa"/>
          </w:tcPr>
          <w:p w14:paraId="131FAC40" w14:textId="77777777" w:rsidR="007E48FD" w:rsidRDefault="00AC1660">
            <w:r>
              <w:rPr>
                <w:sz w:val="14"/>
              </w:rPr>
              <w:t>Post-permit but design now</w:t>
            </w:r>
          </w:p>
        </w:tc>
      </w:tr>
    </w:tbl>
    <w:p w14:paraId="7DC0E097" w14:textId="77777777" w:rsidR="007E48FD" w:rsidRDefault="00AC1660">
      <w:pPr>
        <w:pStyle w:val="Heading1"/>
      </w:pPr>
      <w:r>
        <w:rPr>
          <w:rFonts w:ascii="Arial" w:hAnsi="Arial"/>
        </w:rPr>
        <w:t>How Brick Covers the ASG-Style Scope End-to-End</w:t>
      </w:r>
    </w:p>
    <w:p w14:paraId="6B74EEFF" w14:textId="77777777" w:rsidR="007E48FD" w:rsidRDefault="00AC1660">
      <w:pPr>
        <w:pStyle w:val="BodyText"/>
      </w:pPr>
      <w:r>
        <w:t>For BigWatt, Brick can own the full package while still collaborating with ASG if BigWatt wants ASG involved. The messaging should be: Brick is not dependent on ASG to define the permit case; Brick can produce the technical artifacts, manage the consultant workflow, interface with permitting counsel, and convert approved permit limits into operational software controls.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7E48FD" w14:paraId="2D5F2BAE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0001AD71" w14:textId="77777777" w:rsidR="007E48FD" w:rsidRDefault="00AC1660">
            <w:r>
              <w:rPr>
                <w:b/>
                <w:color w:val="FFFFFF"/>
                <w:sz w:val="16"/>
              </w:rPr>
              <w:t>ASG-type workstream</w:t>
            </w:r>
          </w:p>
        </w:tc>
        <w:tc>
          <w:tcPr>
            <w:tcW w:w="5328" w:type="dxa"/>
            <w:shd w:val="clear" w:color="auto" w:fill="1F4E79"/>
          </w:tcPr>
          <w:p w14:paraId="5B6784D1" w14:textId="77777777" w:rsidR="007E48FD" w:rsidRDefault="00AC1660">
            <w:r>
              <w:rPr>
                <w:b/>
                <w:color w:val="FFFFFF"/>
                <w:sz w:val="16"/>
              </w:rPr>
              <w:t>Brick full-service coverage</w:t>
            </w:r>
          </w:p>
        </w:tc>
      </w:tr>
      <w:tr w:rsidR="007E48FD" w14:paraId="25AE5071" w14:textId="77777777">
        <w:trPr>
          <w:jc w:val="center"/>
        </w:trPr>
        <w:tc>
          <w:tcPr>
            <w:tcW w:w="5328" w:type="dxa"/>
          </w:tcPr>
          <w:p w14:paraId="371B8D2D" w14:textId="77777777" w:rsidR="007E48FD" w:rsidRDefault="00AC1660">
            <w:r>
              <w:rPr>
                <w:b/>
                <w:sz w:val="16"/>
              </w:rPr>
              <w:t>Site development / pad-ready strategy</w:t>
            </w:r>
          </w:p>
        </w:tc>
        <w:tc>
          <w:tcPr>
            <w:tcW w:w="5328" w:type="dxa"/>
          </w:tcPr>
          <w:p w14:paraId="3703BE75" w14:textId="77777777" w:rsidR="007E48FD" w:rsidRDefault="00AC1660">
            <w:r>
              <w:rPr>
                <w:sz w:val="16"/>
              </w:rPr>
              <w:t>Brick creates the air-permit-ready basis of design, siting constraints register, stack/source locations, load and generation assumptions, and VDR-ready permit artifacts.</w:t>
            </w:r>
          </w:p>
        </w:tc>
      </w:tr>
      <w:tr w:rsidR="007E48FD" w14:paraId="588A14A3" w14:textId="77777777">
        <w:trPr>
          <w:jc w:val="center"/>
        </w:trPr>
        <w:tc>
          <w:tcPr>
            <w:tcW w:w="5328" w:type="dxa"/>
          </w:tcPr>
          <w:p w14:paraId="2B50D2E6" w14:textId="77777777" w:rsidR="007E48FD" w:rsidRDefault="00AC1660">
            <w:r>
              <w:rPr>
                <w:b/>
                <w:sz w:val="16"/>
              </w:rPr>
              <w:t>Permitting strategy</w:t>
            </w:r>
          </w:p>
        </w:tc>
        <w:tc>
          <w:tcPr>
            <w:tcW w:w="5328" w:type="dxa"/>
          </w:tcPr>
          <w:p w14:paraId="56B77ED8" w14:textId="77777777" w:rsidR="007E48FD" w:rsidRDefault="00AC1660">
            <w:r>
              <w:rPr>
                <w:sz w:val="16"/>
              </w:rPr>
              <w:t>Brick prepares PSD/NNSR/Title V/synthetic-minor strategy, rule applicability memo, PTE scenarios, and pre-application meeting materials.</w:t>
            </w:r>
          </w:p>
        </w:tc>
      </w:tr>
      <w:tr w:rsidR="007E48FD" w14:paraId="057F4792" w14:textId="77777777">
        <w:trPr>
          <w:jc w:val="center"/>
        </w:trPr>
        <w:tc>
          <w:tcPr>
            <w:tcW w:w="5328" w:type="dxa"/>
          </w:tcPr>
          <w:p w14:paraId="444687D5" w14:textId="77777777" w:rsidR="007E48FD" w:rsidRDefault="00AC1660">
            <w:r>
              <w:rPr>
                <w:b/>
                <w:sz w:val="16"/>
              </w:rPr>
              <w:t>Technical filings</w:t>
            </w:r>
          </w:p>
        </w:tc>
        <w:tc>
          <w:tcPr>
            <w:tcW w:w="5328" w:type="dxa"/>
          </w:tcPr>
          <w:p w14:paraId="60D5CF51" w14:textId="77777777" w:rsidR="007E48FD" w:rsidRDefault="00AC1660">
            <w:r>
              <w:rPr>
                <w:sz w:val="16"/>
              </w:rPr>
              <w:t>Brick produces application forms, emissions calculations, BACT/LAER analyses, modeling protocol, AERMOD package, GHG/decarb report, monitoring plan, and public-comment package.</w:t>
            </w:r>
          </w:p>
        </w:tc>
      </w:tr>
      <w:tr w:rsidR="007E48FD" w14:paraId="491FBBFD" w14:textId="77777777">
        <w:trPr>
          <w:jc w:val="center"/>
        </w:trPr>
        <w:tc>
          <w:tcPr>
            <w:tcW w:w="5328" w:type="dxa"/>
          </w:tcPr>
          <w:p w14:paraId="7EE96A27" w14:textId="77777777" w:rsidR="007E48FD" w:rsidRDefault="00AC1660">
            <w:r>
              <w:rPr>
                <w:b/>
                <w:sz w:val="16"/>
              </w:rPr>
              <w:lastRenderedPageBreak/>
              <w:t>Transaction readiness / VDR</w:t>
            </w:r>
          </w:p>
        </w:tc>
        <w:tc>
          <w:tcPr>
            <w:tcW w:w="5328" w:type="dxa"/>
          </w:tcPr>
          <w:p w14:paraId="5B9A4A42" w14:textId="77777777" w:rsidR="007E48FD" w:rsidRDefault="00AC1660">
            <w:r>
              <w:rPr>
                <w:sz w:val="16"/>
              </w:rPr>
              <w:t>Brick creates lender/buyer diligence folders: permit status tracker, regulatory risk register, emissions model, permit condition matrix, capex/opex impacts, decarb roadmap.</w:t>
            </w:r>
          </w:p>
        </w:tc>
      </w:tr>
      <w:tr w:rsidR="007E48FD" w14:paraId="55FF6EEC" w14:textId="77777777">
        <w:trPr>
          <w:jc w:val="center"/>
        </w:trPr>
        <w:tc>
          <w:tcPr>
            <w:tcW w:w="5328" w:type="dxa"/>
          </w:tcPr>
          <w:p w14:paraId="617BB5F8" w14:textId="77777777" w:rsidR="007E48FD" w:rsidRDefault="00AC1660">
            <w:r>
              <w:rPr>
                <w:b/>
                <w:sz w:val="16"/>
              </w:rPr>
              <w:t>Post-permit compliance</w:t>
            </w:r>
          </w:p>
        </w:tc>
        <w:tc>
          <w:tcPr>
            <w:tcW w:w="5328" w:type="dxa"/>
          </w:tcPr>
          <w:p w14:paraId="6200DBDC" w14:textId="77777777" w:rsidR="007E48FD" w:rsidRDefault="00AC1660">
            <w:r>
              <w:rPr>
                <w:sz w:val="16"/>
              </w:rPr>
              <w:t>Brick implements runtime, fuel, startup/shutdown, turbine dispatch, battery dispatch, and cooling optimization controls that generate compliance records automatically.</w:t>
            </w:r>
          </w:p>
        </w:tc>
      </w:tr>
    </w:tbl>
    <w:p w14:paraId="434F3212" w14:textId="77777777" w:rsidR="007E48FD" w:rsidRDefault="00AC1660">
      <w:pPr>
        <w:pStyle w:val="Heading1"/>
      </w:pPr>
      <w:r>
        <w:rPr>
          <w:rFonts w:ascii="Arial" w:hAnsi="Arial"/>
        </w:rPr>
        <w:t>Brick Decarbonization Levers Tied Directly to Permit Submissions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7E48FD" w14:paraId="40E122D9" w14:textId="77777777">
        <w:trPr>
          <w:jc w:val="center"/>
        </w:trPr>
        <w:tc>
          <w:tcPr>
            <w:tcW w:w="3552" w:type="dxa"/>
            <w:shd w:val="clear" w:color="auto" w:fill="1F4E79"/>
          </w:tcPr>
          <w:p w14:paraId="5040AA50" w14:textId="77777777" w:rsidR="007E48FD" w:rsidRDefault="00AC1660">
            <w:r>
              <w:rPr>
                <w:b/>
                <w:color w:val="FFFFFF"/>
                <w:sz w:val="16"/>
              </w:rPr>
              <w:t>Permit objective</w:t>
            </w:r>
          </w:p>
        </w:tc>
        <w:tc>
          <w:tcPr>
            <w:tcW w:w="3552" w:type="dxa"/>
            <w:shd w:val="clear" w:color="auto" w:fill="1F4E79"/>
          </w:tcPr>
          <w:p w14:paraId="5BD2ADBB" w14:textId="77777777" w:rsidR="007E48FD" w:rsidRDefault="00AC1660">
            <w:r>
              <w:rPr>
                <w:b/>
                <w:color w:val="FFFFFF"/>
                <w:sz w:val="16"/>
              </w:rPr>
              <w:t>Brick technical method</w:t>
            </w:r>
          </w:p>
        </w:tc>
        <w:tc>
          <w:tcPr>
            <w:tcW w:w="3552" w:type="dxa"/>
            <w:shd w:val="clear" w:color="auto" w:fill="1F4E79"/>
          </w:tcPr>
          <w:p w14:paraId="3C5FC3A3" w14:textId="77777777" w:rsidR="007E48FD" w:rsidRDefault="00AC1660">
            <w:r>
              <w:rPr>
                <w:b/>
                <w:color w:val="FFFFFF"/>
                <w:sz w:val="16"/>
              </w:rPr>
              <w:t>Resulting submission</w:t>
            </w:r>
          </w:p>
        </w:tc>
      </w:tr>
      <w:tr w:rsidR="007E48FD" w14:paraId="6C2B51BE" w14:textId="77777777">
        <w:trPr>
          <w:jc w:val="center"/>
        </w:trPr>
        <w:tc>
          <w:tcPr>
            <w:tcW w:w="3552" w:type="dxa"/>
          </w:tcPr>
          <w:p w14:paraId="1802C87C" w14:textId="77777777" w:rsidR="007E48FD" w:rsidRDefault="00AC1660">
            <w:r>
              <w:rPr>
                <w:sz w:val="16"/>
              </w:rPr>
              <w:t>Reduce PTE or proposed enforceable PTE</w:t>
            </w:r>
          </w:p>
        </w:tc>
        <w:tc>
          <w:tcPr>
            <w:tcW w:w="3552" w:type="dxa"/>
          </w:tcPr>
          <w:p w14:paraId="3DD1F4DE" w14:textId="77777777" w:rsidR="007E48FD" w:rsidRDefault="00AC1660">
            <w:r>
              <w:rPr>
                <w:sz w:val="16"/>
              </w:rPr>
              <w:t>Use smaller guaranteed load envelope, lower cooling load, enforceable annual runtime caps, and dispatch constraints.</w:t>
            </w:r>
          </w:p>
        </w:tc>
        <w:tc>
          <w:tcPr>
            <w:tcW w:w="3552" w:type="dxa"/>
          </w:tcPr>
          <w:p w14:paraId="3AABCEDA" w14:textId="77777777" w:rsidR="007E48FD" w:rsidRDefault="00AC1660">
            <w:r>
              <w:rPr>
                <w:sz w:val="16"/>
              </w:rPr>
              <w:t>PTE workbook; operating limit proposal; permit condition matrix</w:t>
            </w:r>
          </w:p>
        </w:tc>
      </w:tr>
      <w:tr w:rsidR="007E48FD" w14:paraId="459EC239" w14:textId="77777777">
        <w:trPr>
          <w:jc w:val="center"/>
        </w:trPr>
        <w:tc>
          <w:tcPr>
            <w:tcW w:w="3552" w:type="dxa"/>
          </w:tcPr>
          <w:p w14:paraId="54EBC9FA" w14:textId="77777777" w:rsidR="007E48FD" w:rsidRDefault="00AC1660">
            <w:r>
              <w:rPr>
                <w:sz w:val="16"/>
              </w:rPr>
              <w:t>Reduce NOx and CO modeled emissions</w:t>
            </w:r>
          </w:p>
        </w:tc>
        <w:tc>
          <w:tcPr>
            <w:tcW w:w="3552" w:type="dxa"/>
          </w:tcPr>
          <w:p w14:paraId="74B061A5" w14:textId="77777777" w:rsidR="007E48FD" w:rsidRDefault="00AC1660">
            <w:r>
              <w:rPr>
                <w:sz w:val="16"/>
              </w:rPr>
              <w:t>Optimize turbine load bands, reduce starts, implement SCR/oxidation catalyst assumptions, reduce auxiliary cooling load.</w:t>
            </w:r>
          </w:p>
        </w:tc>
        <w:tc>
          <w:tcPr>
            <w:tcW w:w="3552" w:type="dxa"/>
          </w:tcPr>
          <w:p w14:paraId="2D9EF160" w14:textId="77777777" w:rsidR="007E48FD" w:rsidRDefault="00AC1660">
            <w:r>
              <w:rPr>
                <w:sz w:val="16"/>
              </w:rPr>
              <w:t>BACT report; controlled emissions workbook; startup/shutdown memo</w:t>
            </w:r>
          </w:p>
        </w:tc>
      </w:tr>
      <w:tr w:rsidR="007E48FD" w14:paraId="7DAE5D11" w14:textId="77777777">
        <w:trPr>
          <w:jc w:val="center"/>
        </w:trPr>
        <w:tc>
          <w:tcPr>
            <w:tcW w:w="3552" w:type="dxa"/>
          </w:tcPr>
          <w:p w14:paraId="768DD015" w14:textId="77777777" w:rsidR="007E48FD" w:rsidRDefault="00AC1660">
            <w:r>
              <w:rPr>
                <w:sz w:val="16"/>
              </w:rPr>
              <w:t>Improve AERMOD outcomes</w:t>
            </w:r>
          </w:p>
        </w:tc>
        <w:tc>
          <w:tcPr>
            <w:tcW w:w="3552" w:type="dxa"/>
          </w:tcPr>
          <w:p w14:paraId="3974AB7E" w14:textId="77777777" w:rsidR="007E48FD" w:rsidRDefault="00AC1660">
            <w:r>
              <w:rPr>
                <w:sz w:val="16"/>
              </w:rPr>
              <w:t>Lower hourly emission rates, optimize stack parameters, source locations, building downwash assumptions, and load scenarios.</w:t>
            </w:r>
          </w:p>
        </w:tc>
        <w:tc>
          <w:tcPr>
            <w:tcW w:w="3552" w:type="dxa"/>
          </w:tcPr>
          <w:p w14:paraId="4BE3CFF9" w14:textId="77777777" w:rsidR="007E48FD" w:rsidRDefault="00AC1660">
            <w:r>
              <w:rPr>
                <w:sz w:val="16"/>
              </w:rPr>
              <w:t>Modeling protocol; AERMOD report; mitigation memo</w:t>
            </w:r>
          </w:p>
        </w:tc>
      </w:tr>
      <w:tr w:rsidR="007E48FD" w14:paraId="2D1BF188" w14:textId="77777777">
        <w:trPr>
          <w:jc w:val="center"/>
        </w:trPr>
        <w:tc>
          <w:tcPr>
            <w:tcW w:w="3552" w:type="dxa"/>
          </w:tcPr>
          <w:p w14:paraId="25355EAC" w14:textId="77777777" w:rsidR="007E48FD" w:rsidRDefault="00AC1660">
            <w:r>
              <w:rPr>
                <w:sz w:val="16"/>
              </w:rPr>
              <w:t>Reduce public opposition</w:t>
            </w:r>
          </w:p>
        </w:tc>
        <w:tc>
          <w:tcPr>
            <w:tcW w:w="3552" w:type="dxa"/>
          </w:tcPr>
          <w:p w14:paraId="0B7DABF4" w14:textId="77777777" w:rsidR="007E48FD" w:rsidRDefault="00AC1660">
            <w:r>
              <w:rPr>
                <w:sz w:val="16"/>
              </w:rPr>
              <w:t>Quantify avoided fuel burn, avoided CO2e, lower PUE, lower water/energy waste, and transparent compliance monitoring.</w:t>
            </w:r>
          </w:p>
        </w:tc>
        <w:tc>
          <w:tcPr>
            <w:tcW w:w="3552" w:type="dxa"/>
          </w:tcPr>
          <w:p w14:paraId="6F3A5D58" w14:textId="77777777" w:rsidR="007E48FD" w:rsidRDefault="00AC1660">
            <w:r>
              <w:rPr>
                <w:sz w:val="16"/>
              </w:rPr>
              <w:t>Public support binder; GHG/decarbonization report</w:t>
            </w:r>
          </w:p>
        </w:tc>
      </w:tr>
      <w:tr w:rsidR="007E48FD" w14:paraId="7021F02F" w14:textId="77777777">
        <w:trPr>
          <w:jc w:val="center"/>
        </w:trPr>
        <w:tc>
          <w:tcPr>
            <w:tcW w:w="3552" w:type="dxa"/>
          </w:tcPr>
          <w:p w14:paraId="240DABED" w14:textId="77777777" w:rsidR="007E48FD" w:rsidRDefault="00AC1660">
            <w:r>
              <w:rPr>
                <w:sz w:val="16"/>
              </w:rPr>
              <w:t>Make permit limits enforceable</w:t>
            </w:r>
          </w:p>
        </w:tc>
        <w:tc>
          <w:tcPr>
            <w:tcW w:w="3552" w:type="dxa"/>
          </w:tcPr>
          <w:p w14:paraId="3B895B72" w14:textId="77777777" w:rsidR="007E48FD" w:rsidRDefault="00AC1660">
            <w:r>
              <w:rPr>
                <w:sz w:val="16"/>
              </w:rPr>
              <w:t>Translate permit constraints into live controls, alarms, automated logs, and reports.</w:t>
            </w:r>
          </w:p>
        </w:tc>
        <w:tc>
          <w:tcPr>
            <w:tcW w:w="3552" w:type="dxa"/>
          </w:tcPr>
          <w:p w14:paraId="1F85EEAC" w14:textId="77777777" w:rsidR="007E48FD" w:rsidRDefault="00AC1660">
            <w:r>
              <w:rPr>
                <w:sz w:val="16"/>
              </w:rPr>
              <w:t>Monitoring plan; Compliance OS; Title V-ready reporting package</w:t>
            </w:r>
          </w:p>
        </w:tc>
      </w:tr>
    </w:tbl>
    <w:p w14:paraId="610821A6" w14:textId="77777777" w:rsidR="007E48FD" w:rsidRDefault="00AC1660">
      <w:pPr>
        <w:pStyle w:val="Heading1"/>
      </w:pPr>
      <w:r>
        <w:rPr>
          <w:rFonts w:ascii="Arial" w:hAnsi="Arial"/>
        </w:rPr>
        <w:t>Immediate 30-Day Workplan for BigWatt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8"/>
        <w:gridCol w:w="3549"/>
        <w:gridCol w:w="3549"/>
      </w:tblGrid>
      <w:tr w:rsidR="007E48FD" w14:paraId="04B2DCAC" w14:textId="77777777">
        <w:trPr>
          <w:jc w:val="center"/>
        </w:trPr>
        <w:tc>
          <w:tcPr>
            <w:tcW w:w="3552" w:type="dxa"/>
            <w:shd w:val="clear" w:color="auto" w:fill="1F4E79"/>
          </w:tcPr>
          <w:p w14:paraId="0FFFD0C6" w14:textId="77777777" w:rsidR="007E48FD" w:rsidRDefault="00AC1660"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w="3552" w:type="dxa"/>
            <w:shd w:val="clear" w:color="auto" w:fill="1F4E79"/>
          </w:tcPr>
          <w:p w14:paraId="63F8EBE2" w14:textId="77777777" w:rsidR="007E48FD" w:rsidRDefault="00AC1660"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w="3552" w:type="dxa"/>
            <w:shd w:val="clear" w:color="auto" w:fill="1F4E79"/>
          </w:tcPr>
          <w:p w14:paraId="5F7E2088" w14:textId="77777777" w:rsidR="007E48FD" w:rsidRDefault="00AC1660">
            <w:r>
              <w:rPr>
                <w:b/>
                <w:color w:val="FFFFFF"/>
                <w:sz w:val="16"/>
              </w:rPr>
              <w:t>Concrete output</w:t>
            </w:r>
          </w:p>
        </w:tc>
      </w:tr>
      <w:tr w:rsidR="007E48FD" w14:paraId="59DFA224" w14:textId="77777777">
        <w:trPr>
          <w:jc w:val="center"/>
        </w:trPr>
        <w:tc>
          <w:tcPr>
            <w:tcW w:w="3552" w:type="dxa"/>
          </w:tcPr>
          <w:p w14:paraId="5CC86F1A" w14:textId="77777777" w:rsidR="007E48FD" w:rsidRDefault="00AC1660">
            <w:r>
              <w:rPr>
                <w:sz w:val="16"/>
              </w:rPr>
              <w:t>Days 1-3</w:t>
            </w:r>
          </w:p>
        </w:tc>
        <w:tc>
          <w:tcPr>
            <w:tcW w:w="3552" w:type="dxa"/>
          </w:tcPr>
          <w:p w14:paraId="105B1044" w14:textId="77777777" w:rsidR="007E48FD" w:rsidRDefault="00AC1660">
            <w:r>
              <w:rPr>
                <w:sz w:val="16"/>
              </w:rPr>
              <w:t>Kickoff + data request</w:t>
            </w:r>
          </w:p>
        </w:tc>
        <w:tc>
          <w:tcPr>
            <w:tcW w:w="3552" w:type="dxa"/>
          </w:tcPr>
          <w:p w14:paraId="108BAFB0" w14:textId="77777777" w:rsidR="007E48FD" w:rsidRDefault="00AC1660">
            <w:r>
              <w:rPr>
                <w:sz w:val="16"/>
              </w:rPr>
              <w:t>Collect turbine models, site layout, MW capacity, fuel specs, cooling design, battery/thermal assets, operating assumptions, ambient data, stack info, and upsizing scope.</w:t>
            </w:r>
          </w:p>
        </w:tc>
      </w:tr>
      <w:tr w:rsidR="007E48FD" w14:paraId="744FDD34" w14:textId="77777777">
        <w:trPr>
          <w:jc w:val="center"/>
        </w:trPr>
        <w:tc>
          <w:tcPr>
            <w:tcW w:w="3552" w:type="dxa"/>
          </w:tcPr>
          <w:p w14:paraId="735C298C" w14:textId="77777777" w:rsidR="007E48FD" w:rsidRDefault="00AC1660">
            <w:r>
              <w:rPr>
                <w:sz w:val="16"/>
              </w:rPr>
              <w:t>Days 4-7</w:t>
            </w:r>
          </w:p>
        </w:tc>
        <w:tc>
          <w:tcPr>
            <w:tcW w:w="3552" w:type="dxa"/>
          </w:tcPr>
          <w:p w14:paraId="31B2E455" w14:textId="77777777" w:rsidR="007E48FD" w:rsidRDefault="00AC1660">
            <w:r>
              <w:rPr>
                <w:sz w:val="16"/>
              </w:rPr>
              <w:t>Regulatory + PTE screen</w:t>
            </w:r>
          </w:p>
        </w:tc>
        <w:tc>
          <w:tcPr>
            <w:tcW w:w="3552" w:type="dxa"/>
          </w:tcPr>
          <w:p w14:paraId="36EE701D" w14:textId="77777777" w:rsidR="007E48FD" w:rsidRDefault="00AC1660">
            <w:r>
              <w:rPr>
                <w:sz w:val="16"/>
              </w:rPr>
              <w:t>Determine PSD/NNSR/Title V/HAP major triggers; identify whether synthetic-minor / enforceable limits can avoid major review.</w:t>
            </w:r>
          </w:p>
        </w:tc>
      </w:tr>
      <w:tr w:rsidR="007E48FD" w14:paraId="5A8D1C80" w14:textId="77777777">
        <w:trPr>
          <w:jc w:val="center"/>
        </w:trPr>
        <w:tc>
          <w:tcPr>
            <w:tcW w:w="3552" w:type="dxa"/>
          </w:tcPr>
          <w:p w14:paraId="36E5F779" w14:textId="77777777" w:rsidR="007E48FD" w:rsidRDefault="00AC1660">
            <w:r>
              <w:rPr>
                <w:sz w:val="16"/>
              </w:rPr>
              <w:t>Days 8-14</w:t>
            </w:r>
          </w:p>
        </w:tc>
        <w:tc>
          <w:tcPr>
            <w:tcW w:w="3552" w:type="dxa"/>
          </w:tcPr>
          <w:p w14:paraId="2F539FDF" w14:textId="77777777" w:rsidR="007E48FD" w:rsidRDefault="00AC1660">
            <w:r>
              <w:rPr>
                <w:sz w:val="16"/>
              </w:rPr>
              <w:t>Emissions model + permit strategy</w:t>
            </w:r>
          </w:p>
        </w:tc>
        <w:tc>
          <w:tcPr>
            <w:tcW w:w="3552" w:type="dxa"/>
          </w:tcPr>
          <w:p w14:paraId="3628E95B" w14:textId="77777777" w:rsidR="007E48FD" w:rsidRDefault="00AC1660">
            <w:r>
              <w:rPr>
                <w:sz w:val="16"/>
              </w:rPr>
              <w:t>Build PTE/controlled emissions workbook; draft operating scenario matrix; define minimum decarbonization and controls needed to reduce permit risk.</w:t>
            </w:r>
          </w:p>
        </w:tc>
      </w:tr>
      <w:tr w:rsidR="007E48FD" w14:paraId="38B6D2C6" w14:textId="77777777">
        <w:trPr>
          <w:jc w:val="center"/>
        </w:trPr>
        <w:tc>
          <w:tcPr>
            <w:tcW w:w="3552" w:type="dxa"/>
          </w:tcPr>
          <w:p w14:paraId="728B4F89" w14:textId="77777777" w:rsidR="007E48FD" w:rsidRDefault="00AC1660">
            <w:r>
              <w:rPr>
                <w:sz w:val="16"/>
              </w:rPr>
              <w:t>Days 15-21</w:t>
            </w:r>
          </w:p>
        </w:tc>
        <w:tc>
          <w:tcPr>
            <w:tcW w:w="3552" w:type="dxa"/>
          </w:tcPr>
          <w:p w14:paraId="65773054" w14:textId="77777777" w:rsidR="007E48FD" w:rsidRDefault="00AC1660">
            <w:r>
              <w:rPr>
                <w:sz w:val="16"/>
              </w:rPr>
              <w:t>BACT/LAER + modeling protocol</w:t>
            </w:r>
          </w:p>
        </w:tc>
        <w:tc>
          <w:tcPr>
            <w:tcW w:w="3552" w:type="dxa"/>
          </w:tcPr>
          <w:p w14:paraId="28860692" w14:textId="77777777" w:rsidR="007E48FD" w:rsidRDefault="00AC1660">
            <w:r>
              <w:rPr>
                <w:sz w:val="16"/>
              </w:rPr>
              <w:t>Prepare top-down control technology analysis; prepare AERMOD protocol and source/receptor setup; identify mitigations before formal filing.</w:t>
            </w:r>
          </w:p>
        </w:tc>
      </w:tr>
      <w:tr w:rsidR="007E48FD" w14:paraId="06A2C79D" w14:textId="77777777">
        <w:trPr>
          <w:jc w:val="center"/>
        </w:trPr>
        <w:tc>
          <w:tcPr>
            <w:tcW w:w="3552" w:type="dxa"/>
          </w:tcPr>
          <w:p w14:paraId="58C0D78F" w14:textId="77777777" w:rsidR="007E48FD" w:rsidRDefault="00AC1660">
            <w:r>
              <w:rPr>
                <w:sz w:val="16"/>
              </w:rPr>
              <w:t>Days 22-30</w:t>
            </w:r>
          </w:p>
        </w:tc>
        <w:tc>
          <w:tcPr>
            <w:tcW w:w="3552" w:type="dxa"/>
          </w:tcPr>
          <w:p w14:paraId="791A7CC9" w14:textId="77777777" w:rsidR="007E48FD" w:rsidRDefault="00AC1660">
            <w:r>
              <w:rPr>
                <w:sz w:val="16"/>
              </w:rPr>
              <w:t>Pre-application package</w:t>
            </w:r>
          </w:p>
        </w:tc>
        <w:tc>
          <w:tcPr>
            <w:tcW w:w="3552" w:type="dxa"/>
          </w:tcPr>
          <w:p w14:paraId="0832242F" w14:textId="77777777" w:rsidR="007E48FD" w:rsidRDefault="00AC1660">
            <w:r>
              <w:rPr>
                <w:sz w:val="16"/>
              </w:rPr>
              <w:t>Deliver pre-application meeting deck, permit application skeleton, source list, PTE workbook, draft permit limits, compliance plan, and regulator Q&amp;A.</w:t>
            </w:r>
          </w:p>
        </w:tc>
      </w:tr>
    </w:tbl>
    <w:p w14:paraId="2DD08FC7" w14:textId="77777777" w:rsidR="007E48FD" w:rsidRDefault="00AC1660">
      <w:pPr>
        <w:pStyle w:val="Heading1"/>
      </w:pPr>
      <w:r>
        <w:rPr>
          <w:rFonts w:ascii="Arial" w:hAnsi="Arial"/>
        </w:rPr>
        <w:t>Data Request BigWatt Should Send Brick Immediately</w:t>
      </w:r>
    </w:p>
    <w:p w14:paraId="3528928C" w14:textId="77777777" w:rsidR="007E48FD" w:rsidRDefault="00AC1660">
      <w:pPr>
        <w:pStyle w:val="ListBullet"/>
      </w:pPr>
      <w:r>
        <w:t>Turbine make/model, quantity, MW rating, heat input, heat rate curve, fuel type, guaranteed NOx/CO/VOC/PM/SO2/CO2e/HAP emission rates, startup/shutdown data, and control device specs.</w:t>
      </w:r>
    </w:p>
    <w:p w14:paraId="708AC2BF" w14:textId="77777777" w:rsidR="007E48FD" w:rsidRDefault="00AC1660">
      <w:pPr>
        <w:pStyle w:val="ListBullet"/>
      </w:pPr>
      <w:r>
        <w:t>Backup/black-start engine make/model, horsepower/kW, emergency vs non-emergency use, fuel, operating hours, stack data, and applicable certifications.</w:t>
      </w:r>
    </w:p>
    <w:p w14:paraId="165E1AF1" w14:textId="77777777" w:rsidR="007E48FD" w:rsidRDefault="00AC1660">
      <w:pPr>
        <w:pStyle w:val="ListBullet"/>
      </w:pPr>
      <w:r>
        <w:t>Site plan, plot plan, building dimensions, stack locations, stack heights/diameters, exhaust temperature/velocity, property boundary, nearby receptors, and terrain constraints.</w:t>
      </w:r>
    </w:p>
    <w:p w14:paraId="333C4547" w14:textId="77777777" w:rsidR="007E48FD" w:rsidRDefault="00AC1660">
      <w:pPr>
        <w:pStyle w:val="ListBullet"/>
      </w:pPr>
      <w:r>
        <w:t>Data center load profile: IT MW by phase, cooling design, PUE target, chiller/CDU/CRAH/CRAC equipment, pumps/fans/towers, thermal storage, battery systems, and operating modes.</w:t>
      </w:r>
    </w:p>
    <w:p w14:paraId="2A3A7156" w14:textId="77777777" w:rsidR="007E48FD" w:rsidRDefault="00AC1660">
      <w:pPr>
        <w:pStyle w:val="ListBullet"/>
      </w:pPr>
      <w:r>
        <w:t>Upsizing delta: original permitted or contemplated MW vs upsized MW; construction phasing; desired COD; targeted state/county/local jurisdiction.</w:t>
      </w:r>
    </w:p>
    <w:p w14:paraId="1F1AC118" w14:textId="77777777" w:rsidR="007E48FD" w:rsidRDefault="00AC1660">
      <w:pPr>
        <w:pStyle w:val="ListBullet"/>
      </w:pPr>
      <w:r>
        <w:t>Prior correspondence with permitting body, ASG work product, utility/gas constraints, public opposition risk, environmental justice screening, and local air-quality status if available.</w:t>
      </w:r>
    </w:p>
    <w:p w14:paraId="606E68D1" w14:textId="077AEB71" w:rsidR="007E48FD" w:rsidRDefault="00AC1660">
      <w:pPr>
        <w:pStyle w:val="Heading1"/>
      </w:pPr>
      <w:r>
        <w:rPr>
          <w:rFonts w:ascii="Arial" w:hAnsi="Arial"/>
        </w:rPr>
        <w:lastRenderedPageBreak/>
        <w:t>Recommend</w:t>
      </w:r>
      <w:r w:rsidR="008F3554">
        <w:rPr>
          <w:rFonts w:ascii="Arial" w:hAnsi="Arial"/>
        </w:rPr>
        <w:t>ations</w:t>
      </w:r>
    </w:p>
    <w:p w14:paraId="06B8157D" w14:textId="77777777" w:rsidR="007E48FD" w:rsidRDefault="00AC1660">
      <w:pPr>
        <w:pStyle w:val="BodyText"/>
      </w:pPr>
      <w:r>
        <w:t>Brick can cover the full air-permit technical package and the decarbonization operating plan for BigWatt upsized sites. We can prepare the emissions inventory, PTE analysis, BACT/LAER strategy, dispersion modeling package, compliance monitoring plan, public-response materials, and permit-condition matrix, then operationalize the permit through software controls that reduce turbine runtime, cooling load, fuel burn, startup/shutdown events, and emissions intensity.</w:t>
      </w:r>
    </w:p>
    <w:p w14:paraId="5F1CFDAD" w14:textId="77777777" w:rsidR="007E48FD" w:rsidRDefault="00AC1660">
      <w:pPr>
        <w:pStyle w:val="Heading1"/>
      </w:pPr>
      <w:r>
        <w:rPr>
          <w:rFonts w:ascii="Arial" w:hAnsi="Arial"/>
        </w:rPr>
        <w:t>Sources / Regulatory References</w:t>
      </w:r>
    </w:p>
    <w:p w14:paraId="763CC88F" w14:textId="77777777" w:rsidR="007E48FD" w:rsidRDefault="00AC1660">
      <w:pPr>
        <w:pStyle w:val="BodyText"/>
      </w:pPr>
      <w:r>
        <w:t>EPA NSR/PSD program overview: https://www.epa.gov/nsr</w:t>
      </w:r>
    </w:p>
    <w:p w14:paraId="14E719AD" w14:textId="77777777" w:rsidR="007E48FD" w:rsidRDefault="00AC1660">
      <w:pPr>
        <w:pStyle w:val="BodyText"/>
      </w:pPr>
      <w:r>
        <w:t>40 CFR Part 60 Subpart KKKK - stationary combustion turbines: https://www.ecfr.gov/current/title-40/chapter-I/subchapter-C/part-60/subpart-KKKK</w:t>
      </w:r>
    </w:p>
    <w:p w14:paraId="00D0C1EA" w14:textId="77777777" w:rsidR="007E48FD" w:rsidRDefault="00AC1660">
      <w:pPr>
        <w:pStyle w:val="BodyText"/>
      </w:pPr>
      <w:r>
        <w:t>40 CFR Part 63 Subpart YYYY - stationary combustion turbines NESHAP: https://www.ecfr.gov/current/title-40/chapter-I/subchapter-C/part-63/subpart-YYYY</w:t>
      </w:r>
    </w:p>
    <w:p w14:paraId="63ABED18" w14:textId="77777777" w:rsidR="007E48FD" w:rsidRDefault="00AC1660">
      <w:pPr>
        <w:pStyle w:val="BodyText"/>
      </w:pPr>
      <w:r>
        <w:t>40 CFR Part 60 Subpart IIII - stationary compression ignition engines: https://www.ecfr.gov/current/title-40/chapter-I/subchapter-C/part-60/subpart-IIII</w:t>
      </w:r>
    </w:p>
    <w:p w14:paraId="55B3AFAC" w14:textId="77777777" w:rsidR="007E48FD" w:rsidRDefault="00AC1660">
      <w:pPr>
        <w:pStyle w:val="BodyText"/>
      </w:pPr>
      <w:r>
        <w:t>40 CFR Part 60 Subpart JJJJ - stationary spark ignition engines: https://www.ecfr.gov/current/title-40/chapter-I/subchapter-C/part-60/subpart-JJJJ</w:t>
      </w:r>
    </w:p>
    <w:p w14:paraId="69674BBF" w14:textId="77777777" w:rsidR="007E48FD" w:rsidRDefault="00AC1660">
      <w:pPr>
        <w:pStyle w:val="BodyText"/>
      </w:pPr>
      <w:r>
        <w:t>EPA AERMOD / preferred dispersion models: https://www.epa.gov/scram/air-quality-dispersion-modeling-preferred-and-recommended-models</w:t>
      </w:r>
    </w:p>
    <w:p w14:paraId="3AD1DEAA" w14:textId="77777777" w:rsidR="007E48FD" w:rsidRDefault="00AC1660">
      <w:pPr>
        <w:pStyle w:val="BodyText"/>
      </w:pPr>
      <w:r>
        <w:t>ASG site development services: https://asg-team.com/</w:t>
      </w:r>
    </w:p>
    <w:sectPr w:rsidR="007E48FD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415245">
    <w:abstractNumId w:val="8"/>
  </w:num>
  <w:num w:numId="2" w16cid:durableId="2147156384">
    <w:abstractNumId w:val="6"/>
  </w:num>
  <w:num w:numId="3" w16cid:durableId="2142994139">
    <w:abstractNumId w:val="5"/>
  </w:num>
  <w:num w:numId="4" w16cid:durableId="516358888">
    <w:abstractNumId w:val="4"/>
  </w:num>
  <w:num w:numId="5" w16cid:durableId="1723406821">
    <w:abstractNumId w:val="7"/>
  </w:num>
  <w:num w:numId="6" w16cid:durableId="1036001613">
    <w:abstractNumId w:val="3"/>
  </w:num>
  <w:num w:numId="7" w16cid:durableId="145633569">
    <w:abstractNumId w:val="2"/>
  </w:num>
  <w:num w:numId="8" w16cid:durableId="1740054181">
    <w:abstractNumId w:val="1"/>
  </w:num>
  <w:num w:numId="9" w16cid:durableId="42369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107B"/>
    <w:rsid w:val="0029639D"/>
    <w:rsid w:val="00326F90"/>
    <w:rsid w:val="005C1CA6"/>
    <w:rsid w:val="007E48FD"/>
    <w:rsid w:val="008F3554"/>
    <w:rsid w:val="00AA1D8D"/>
    <w:rsid w:val="00AC1660"/>
    <w:rsid w:val="00B47730"/>
    <w:rsid w:val="00BD02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AA058"/>
  <w14:defaultImageDpi w14:val="300"/>
  <w15:docId w15:val="{EF4B26D7-A8B9-4AC3-A589-741A3256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2205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 Sheng</cp:lastModifiedBy>
  <cp:revision>2</cp:revision>
  <dcterms:created xsi:type="dcterms:W3CDTF">2026-05-28T22:36:00Z</dcterms:created>
  <dcterms:modified xsi:type="dcterms:W3CDTF">2026-05-28T22:36:00Z</dcterms:modified>
  <cp:category/>
</cp:coreProperties>
</file>