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泰兴市智慧市场监管平台（二期）建设方案</w:t>
      </w:r>
    </w:p>
    <w:p>
      <w:pPr>
        <w:jc w:val="center"/>
      </w:pPr>
      <w:r>
        <w:t>申报单位：泰兴市市场监督管理局    编制日期：2026 年 8 月</w:t>
      </w:r>
    </w:p>
    <w:p/>
    <w:p>
      <w:pPr>
        <w:pStyle w:val="Heading1"/>
      </w:pPr>
      <w:r>
        <w:t>一、项目背景和依据</w:t>
      </w:r>
    </w:p>
    <w:p>
      <w:r>
        <w:t>为深入贯彻《江苏省政务信息化项目建设管理办法》相关要求，进一步提升我市市场监管领域数字化治理能力，泰兴市市场监督管理局拟在已建成的一期智慧监管平台基础上，开展二期续建工作。</w:t>
      </w:r>
    </w:p>
    <w:p>
      <w:r>
        <w:t>一期平台于 2023 年建成投用，已实现企业信息查询、执法记录录入等基础功能。随着市场主体数量持续增长，现有系统在并发处理能力、数据分析能力等方面已无法满足日常监管需要，亟需开展功能扩展与性能提升。</w:t>
      </w:r>
    </w:p>
    <w:p>
      <w:r>
        <w:t>本项目依据《泰兴市政务信息化建设管理办法》《泰兴市公共数据管理暂行办法》等文件立项，已列入 2026 年度市级政务信息化项目建设计划。</w:t>
      </w:r>
    </w:p>
    <w:p>
      <w:pPr>
        <w:pStyle w:val="Heading1"/>
      </w:pPr>
      <w:r>
        <w:t>二、预期目标</w:t>
      </w:r>
    </w:p>
    <w:p>
      <w:r>
        <w:t>本项目拟实现以下建设目标：</w:t>
      </w:r>
    </w:p>
    <w:p>
      <w:pPr>
        <w:pStyle w:val="ListBullet"/>
      </w:pPr>
      <w:r>
        <w:t>建成覆盖全市 4.2 万户市场主体的统一监管数据中心，实现企业信用信息、执法检查记录、投诉举报数据的集中管理。</w:t>
      </w:r>
    </w:p>
    <w:p>
      <w:pPr>
        <w:pStyle w:val="ListBullet"/>
      </w:pPr>
      <w:r>
        <w:t>建设智能风险预警模块，运用大数据分析技术对市场主体经营异常行为进行自动识别与预警。</w:t>
      </w:r>
    </w:p>
    <w:p>
      <w:pPr>
        <w:pStyle w:val="ListBullet"/>
      </w:pPr>
      <w:r>
        <w:t>升级移动执法能力，实现现场检查、证据采集、文书生成的全流程移动化办理。</w:t>
      </w:r>
    </w:p>
    <w:p>
      <w:pPr>
        <w:pStyle w:val="ListBullet"/>
      </w:pPr>
      <w:r>
        <w:t>系统并发承载能力提升至 3000 TPS，页面平均响应时间控制在 2 秒以内。</w:t>
      </w:r>
    </w:p>
    <w:p>
      <w:pPr>
        <w:pStyle w:val="Heading1"/>
      </w:pPr>
      <w:r>
        <w:t>三、技术需求</w:t>
      </w:r>
    </w:p>
    <w:p>
      <w:pPr>
        <w:pStyle w:val="Heading2"/>
      </w:pPr>
      <w:r>
        <w:t>3.1 计算与存储资源需求</w:t>
      </w:r>
    </w:p>
    <w:p>
      <w:r>
        <w:t>考虑到现有政务云资源配额已接近饱和，本期项目拟在市政务中心三楼新建专用机房一处，面积约 80 平方米，配置标准机柜 12 个，配套 UPS 不间断电源与精密空调。同时采购戴尔 PowerEdge R750 机架式服务器 8 台，用于承载数据库及应用中间件；另采购华为 OceanStor 存储阵列 2 套，总可用容量 200TB。</w:t>
      </w:r>
    </w:p>
    <w:p>
      <w:pPr>
        <w:pStyle w:val="Heading2"/>
      </w:pPr>
      <w:r>
        <w:t>3.2 网络资源需求</w:t>
      </w:r>
    </w:p>
    <w:p>
      <w:r>
        <w:t>需新增互联网出口带宽 500Mbps，并申请独立公网 IP 地址 16 个，用于移动执法终端接入。</w:t>
      </w:r>
    </w:p>
    <w:p>
      <w:pPr>
        <w:pStyle w:val="Heading2"/>
      </w:pPr>
      <w:r>
        <w:t>3.3 基础软件需求</w:t>
      </w:r>
    </w:p>
    <w:p>
      <w:r>
        <w:t>数据库软件拟采用 Oracle Database 19c 企业版，应用中间件拟采用 Oracle WebLogic Server 14c。</w:t>
      </w:r>
    </w:p>
    <w:p>
      <w:pPr>
        <w:pStyle w:val="Heading1"/>
      </w:pPr>
      <w:r>
        <w:t>四、技术方案</w:t>
      </w:r>
    </w:p>
    <w:p>
      <w:pPr>
        <w:pStyle w:val="Heading2"/>
      </w:pPr>
      <w:r>
        <w:t>4.1 总体架构</w:t>
      </w:r>
    </w:p>
    <w:p>
      <w:r>
        <w:t>系统采用 B/S 架构，分为基础设施层、数据层、应用层、展示层四个层次，各层之间通过标准接口交互。</w:t>
      </w:r>
    </w:p>
    <w:p>
      <w:pPr>
        <w:pStyle w:val="Heading2"/>
      </w:pPr>
      <w:r>
        <w:t>4.2 技术路线</w:t>
      </w:r>
    </w:p>
    <w:p>
      <w:r>
        <w:t>后端采用 Java 语言开发，基于 Spring Boot 框架构建微服务集群；前端采用 Vue.js 框架；数据库采用 Oracle 19c 并通过 WebLogic 集群对外提供服务；引入 Redis 缓存集群提升查询性能，采用 Elasticsearch 实现全文检索，使用 Kafka 消息队列解耦各业务模块。</w:t>
      </w:r>
    </w:p>
    <w:p>
      <w:pPr>
        <w:pStyle w:val="Heading2"/>
      </w:pPr>
      <w:r>
        <w:t>4.3 移动端建设方案</w:t>
      </w:r>
    </w:p>
    <w:p>
      <w:r>
        <w:t>为方便执法人员现场办公，本期拟同步开发『泰兴市监』独立移动政务应用（App），支持 Android 与 iOS 双平台，执法人员可通过该 App 完成现场检查、拍照取证、电子签章等操作。该 App 独立部署于本期新建的自建机房，业务数据每日凌晨定时同步至主数据库。</w:t>
      </w:r>
    </w:p>
    <w:p>
      <w:pPr>
        <w:pStyle w:val="Heading2"/>
      </w:pPr>
      <w:r>
        <w:t>4.4 性能设计</w:t>
      </w:r>
    </w:p>
    <w:p>
      <w:r>
        <w:t>通过数据库读写分离、热点数据缓存、静态资源 CDN 加速等手段，保障系统在高并发场景下的响应性能。</w:t>
      </w:r>
    </w:p>
    <w:p>
      <w:pPr>
        <w:pStyle w:val="Heading1"/>
      </w:pPr>
      <w:r>
        <w:t>五、实施计划</w:t>
      </w:r>
    </w:p>
    <w:p>
      <w:r>
        <w:t>本项目建设周期 18 个月，分三个阶段推进：</w:t>
      </w:r>
    </w:p>
    <w:p>
      <w:pPr>
        <w:pStyle w:val="ListBullet"/>
      </w:pPr>
      <w:r>
        <w:t>第一阶段（第 1—6 个月）：完成需求调研、概要设计与详细设计，同步完成机房装修与硬件设备采购。</w:t>
      </w:r>
    </w:p>
    <w:p>
      <w:pPr>
        <w:pStyle w:val="ListBullet"/>
      </w:pPr>
      <w:r>
        <w:t>第二阶段（第 7—14 个月）：完成系统开发、单元测试、集成测试，完成历史数据迁移。</w:t>
      </w:r>
    </w:p>
    <w:p>
      <w:pPr>
        <w:pStyle w:val="ListBullet"/>
      </w:pPr>
      <w:r>
        <w:t>第三阶段（第 15—18 个月）：系统试运行、用户培训、项目竣工验收。</w:t>
      </w:r>
    </w:p>
    <w:p>
      <w:pPr>
        <w:pStyle w:val="Heading1"/>
      </w:pPr>
      <w:r>
        <w:t>六、项目概算</w:t>
      </w:r>
    </w:p>
    <w:p>
      <w:r>
        <w:t>本项目总投资估算 2680 万元，资金来源为市级财政专项资金。具体构成如下表：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费用科目</w:t>
            </w:r>
          </w:p>
        </w:tc>
        <w:tc>
          <w:tcPr>
            <w:tcW w:type="dxa" w:w="2160"/>
          </w:tcPr>
          <w:p>
            <w:r>
              <w:t>金额（万元）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硬件设备购置费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服务器、存储阵列、网络设备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商用软件购置费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数据库与中间件许可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定制软件开发费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应用系统定制开发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系统集成费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集成实施与联调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机房建设费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装修、UPS、精密空调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其他费用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监理、测评、培训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2680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