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CF716">
      <w:pPr>
        <w:pStyle w:val="10"/>
        <w:bidi w:val="0"/>
        <w:rPr>
          <w:rFonts w:hint="default"/>
          <w:lang w:val="en-US" w:eastAsia="zh-CN"/>
        </w:rPr>
      </w:pPr>
      <w:r>
        <w:rPr>
          <w:rFonts w:hint="eastAsia"/>
          <w:lang w:val="en-US" w:eastAsia="zh-CN"/>
        </w:rPr>
        <w:t>信息化项目评审智能体工作流--泰兴市数据局</w:t>
      </w:r>
    </w:p>
    <w:p w14:paraId="023E8BDE">
      <w:pPr>
        <w:bidi w:val="0"/>
        <w:rPr>
          <w:rFonts w:hint="eastAsia"/>
          <w:lang w:val="en-US" w:eastAsia="zh-CN"/>
        </w:rPr>
      </w:pPr>
      <w:bookmarkStart w:id="0" w:name="_GoBack"/>
      <w:bookmarkEnd w:id="0"/>
    </w:p>
    <w:p w14:paraId="6391EF3C">
      <w:pPr>
        <w:pStyle w:val="2"/>
        <w:numPr>
          <w:ilvl w:val="0"/>
          <w:numId w:val="2"/>
        </w:numPr>
        <w:bidi w:val="0"/>
        <w:ind w:left="0" w:leftChars="0" w:firstLine="420" w:firstLineChars="0"/>
        <w:rPr>
          <w:rFonts w:hint="eastAsia"/>
          <w:lang w:val="en-US" w:eastAsia="zh-CN"/>
        </w:rPr>
      </w:pPr>
      <w:r>
        <w:rPr>
          <w:rFonts w:hint="eastAsia"/>
          <w:lang w:val="en-US" w:eastAsia="zh-CN"/>
        </w:rPr>
        <w:t>背景和痛点分析</w:t>
      </w:r>
    </w:p>
    <w:p w14:paraId="7FFA745B">
      <w:pPr>
        <w:rPr>
          <w:rFonts w:hint="eastAsia"/>
          <w:lang w:val="en-US" w:eastAsia="zh-CN"/>
        </w:rPr>
      </w:pPr>
      <w:r>
        <w:rPr>
          <w:rFonts w:hint="eastAsia"/>
          <w:lang w:val="en-US" w:eastAsia="zh-CN"/>
        </w:rPr>
        <w:t>当前，随着数字政府建设深入推进，政务信息化项目数量快速增长、复杂度持续提升，项目评审作为信息化建设全生命周期管理的核心环节。然而，传统的人工评审模式已难以适应新形势下的工作要求，存在以下突出痛点：</w:t>
      </w:r>
    </w:p>
    <w:p w14:paraId="3357E2ED">
      <w:pPr>
        <w:rPr>
          <w:rFonts w:hint="eastAsia"/>
          <w:lang w:val="en-US" w:eastAsia="zh-CN"/>
        </w:rPr>
      </w:pPr>
      <w:r>
        <w:rPr>
          <w:rFonts w:hint="eastAsia"/>
          <w:lang w:val="en-US" w:eastAsia="zh-CN"/>
        </w:rPr>
        <w:t>（一）建设部门对政策规范理解存在偏差，项目方案质量参差不齐。项目建设单位在信息化项目建设、运维管理方面的专业知识和经验相对有限，对相关法规政策、技术标准、信创适配、概算编制、数据共享等建设管理要求难以全面掌握和准确理解，导致方案编制过程中容易出现标准偏离、要素缺失、流程不合规等问题，方案反复修改、反复报审，项目推进周期拉长。评审阶段的“发现问题—退回修改—重新申报—再次审核”的反复拉锯，消耗了评审人员和申报单位双方的大量精力，影响项目整体推进效率。</w:t>
      </w:r>
    </w:p>
    <w:p w14:paraId="0BFEB68D">
      <w:pPr>
        <w:rPr>
          <w:rFonts w:hint="eastAsia"/>
          <w:lang w:val="en-US" w:eastAsia="zh-CN"/>
        </w:rPr>
      </w:pPr>
      <w:r>
        <w:rPr>
          <w:rFonts w:hint="eastAsia"/>
          <w:lang w:val="en-US" w:eastAsia="zh-CN"/>
        </w:rPr>
        <w:t>（二）人工评审耗时费力，评估效率低下。信息化项目技术文件通常包含文字、图表、技术参数等，评审内容繁多、交叉关联复杂，专家需逐页逐项核对，易出现漏评、误评现象，整体评估效率偏低，难以满足日益增长的评审需求。</w:t>
      </w:r>
    </w:p>
    <w:p w14:paraId="1973A1C0">
      <w:pPr>
        <w:rPr>
          <w:rFonts w:hint="eastAsia"/>
          <w:lang w:val="en-US" w:eastAsia="zh-CN"/>
        </w:rPr>
      </w:pPr>
      <w:r>
        <w:rPr>
          <w:rFonts w:hint="eastAsia"/>
          <w:lang w:val="en-US" w:eastAsia="zh-CN"/>
        </w:rPr>
        <w:t>（三）主观裁量空间过大，评审标准不统一。合规性审核涉及项目属性识别、重复建设判断、信创产品认定、数据资源共享核查等多类判断节点，审核工作高度依赖技术专家的个人经验和专业判断，不同专家对标准规范的理解存在差异，导致同一项目在不同评审环节可能得出不同结论，自由裁量权较大，评审的客观性、公平性和一致性面临挑战。</w:t>
      </w:r>
    </w:p>
    <w:p w14:paraId="480A249D">
      <w:pPr>
        <w:rPr>
          <w:rFonts w:hint="eastAsia"/>
          <w:lang w:val="en-US" w:eastAsia="zh-CN"/>
        </w:rPr>
      </w:pPr>
      <w:r>
        <w:rPr>
          <w:rFonts w:hint="eastAsia"/>
          <w:lang w:val="en-US" w:eastAsia="zh-CN"/>
        </w:rPr>
        <w:t>（四）风险识别精准度不足，关键问题难以察觉。重复建设判断、数据共享落实情况等涉及跨项目、跨系统的全局性分析，单纯依靠人工经验难以实现精准识别和系统研判，项目是否占用政务云资源、是否涉及自建机房等隐性门槛问题也难以通过人工逐项筛查全面覆盖，项目建设中潜在的风险隐患难以及时发现和有效防控。</w:t>
      </w:r>
    </w:p>
    <w:p w14:paraId="1349DE99">
      <w:pPr>
        <w:rPr>
          <w:rFonts w:hint="eastAsia"/>
          <w:lang w:val="en-US" w:eastAsia="zh-CN"/>
        </w:rPr>
      </w:pPr>
      <w:r>
        <w:rPr>
          <w:rFonts w:hint="eastAsia"/>
          <w:lang w:val="en-US" w:eastAsia="zh-CN"/>
        </w:rPr>
        <w:t>综上，亟须引入智能化手段，构建标准化、自动化、可追溯的信息化项目评审智能体工作流，以AI技术赋能评审全流程，切实提升评审效率、统一评审尺度、增强风险识别能力，为政务信息化项目的高质量建设提供坚实保障。</w:t>
      </w:r>
    </w:p>
    <w:p w14:paraId="023CE5B7">
      <w:pPr>
        <w:pStyle w:val="2"/>
        <w:numPr>
          <w:ilvl w:val="0"/>
          <w:numId w:val="2"/>
        </w:numPr>
        <w:bidi w:val="0"/>
        <w:ind w:left="0" w:leftChars="0" w:firstLine="420" w:firstLineChars="0"/>
        <w:rPr>
          <w:rFonts w:hint="eastAsia"/>
          <w:lang w:val="en-US" w:eastAsia="zh-CN"/>
        </w:rPr>
      </w:pPr>
      <w:r>
        <w:rPr>
          <w:rFonts w:hint="eastAsia"/>
          <w:lang w:val="en-US" w:eastAsia="zh-CN"/>
        </w:rPr>
        <w:t>技术方案</w:t>
      </w:r>
    </w:p>
    <w:p w14:paraId="6C2C5C0A">
      <w:pPr>
        <w:rPr>
          <w:rFonts w:hint="eastAsia"/>
          <w:lang w:val="en-US" w:eastAsia="zh-CN"/>
        </w:rPr>
      </w:pPr>
      <w:r>
        <w:rPr>
          <w:rFonts w:hint="eastAsia"/>
          <w:lang w:val="en-US" w:eastAsia="zh-CN"/>
        </w:rPr>
        <w:t>本智能体系统采用分层架构设计，围绕“先判属性、再行审核、分类处置、全程留痕”的设计原则，构建了一套覆盖项目评审全链条的智能化审核体系。系统整体分为四层：用户层、应用层、能力层和数据层，各层之间通过标准化接口进行数据交互与能力调用。</w:t>
      </w:r>
    </w:p>
    <w:p w14:paraId="327B7B87">
      <w:pPr>
        <w:pStyle w:val="3"/>
        <w:numPr>
          <w:ilvl w:val="0"/>
          <w:numId w:val="3"/>
        </w:numPr>
        <w:bidi w:val="0"/>
        <w:rPr>
          <w:rFonts w:hint="eastAsia"/>
          <w:lang w:val="en-US" w:eastAsia="zh-CN"/>
        </w:rPr>
      </w:pPr>
      <w:r>
        <w:rPr>
          <w:rFonts w:hint="eastAsia"/>
          <w:lang w:val="en-US" w:eastAsia="zh-CN"/>
        </w:rPr>
        <w:t>系统总体架构图</w:t>
      </w:r>
    </w:p>
    <w:p w14:paraId="6B572BAC">
      <w:pPr>
        <w:keepNext w:val="0"/>
        <w:keepLines w:val="0"/>
        <w:widowControl/>
        <w:suppressLineNumbers w:val="0"/>
        <w:spacing w:line="240" w:lineRule="auto"/>
        <w:ind w:left="0" w:leftChars="0" w:firstLine="0" w:firstLineChars="0"/>
        <w:jc w:val="center"/>
        <w:rPr>
          <w:rFonts w:ascii="宋体" w:hAnsi="宋体" w:eastAsia="宋体" w:cs="宋体"/>
          <w:kern w:val="0"/>
          <w:sz w:val="24"/>
          <w:szCs w:val="24"/>
          <w:lang w:val="en-US" w:eastAsia="zh-CN" w:bidi="ar"/>
        </w:rPr>
      </w:pPr>
      <w:r>
        <w:drawing>
          <wp:inline distT="0" distB="0" distL="114300" distR="114300">
            <wp:extent cx="4700905" cy="3360420"/>
            <wp:effectExtent l="0" t="0" r="0" b="17780"/>
            <wp:docPr id="101" name="图片 100"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0" descr="11"/>
                    <pic:cNvPicPr>
                      <a:picLocks noChangeAspect="1"/>
                    </pic:cNvPicPr>
                  </pic:nvPicPr>
                  <pic:blipFill>
                    <a:blip r:embed="rId6"/>
                    <a:stretch>
                      <a:fillRect/>
                    </a:stretch>
                  </pic:blipFill>
                  <pic:spPr>
                    <a:xfrm>
                      <a:off x="0" y="0"/>
                      <a:ext cx="4700905" cy="3360420"/>
                    </a:xfrm>
                    <a:prstGeom prst="rect">
                      <a:avLst/>
                    </a:prstGeom>
                  </pic:spPr>
                </pic:pic>
              </a:graphicData>
            </a:graphic>
          </wp:inline>
        </w:drawing>
      </w:r>
    </w:p>
    <w:p w14:paraId="6CBC9356">
      <w:pPr>
        <w:keepNext w:val="0"/>
        <w:keepLines w:val="0"/>
        <w:widowControl/>
        <w:suppressLineNumbers w:val="0"/>
        <w:jc w:val="center"/>
      </w:pPr>
      <w:r>
        <w:rPr>
          <w:rFonts w:ascii="宋体" w:hAnsi="宋体" w:eastAsia="宋体" w:cs="宋体"/>
          <w:kern w:val="0"/>
          <w:sz w:val="24"/>
          <w:szCs w:val="24"/>
          <w:lang w:val="en-US" w:eastAsia="zh-CN" w:bidi="ar"/>
        </w:rPr>
        <w:t>图1 信息化项目评审智能体总体架构</w:t>
      </w:r>
    </w:p>
    <w:p w14:paraId="7A24C4F0">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eastAsia="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（1）</w:t>
      </w:r>
      <w:r>
        <w:rPr>
          <w:rFonts w:hint="eastAsia" w:ascii="仿宋_GB2312" w:hAnsi="仿宋_GB2312" w:eastAsia="仿宋_GB2312" w:cs="仿宋_GB2312"/>
          <w:kern w:val="0"/>
          <w:sz w:val="32"/>
          <w:szCs w:val="32"/>
          <w:lang w:val="en-US" w:eastAsia="zh-CN" w:bidi="ar"/>
        </w:rPr>
        <w:t>用户层：面向三类核心用户群体提供服务入口，包括项目申报单位、评审专家以及系统管理员。申报单位可在线提交项目方案并查看审核结果；评审专家可借助智能体辅助审查，提升评审效率；管理员负责系统配置、知识库维护和权限管理。</w:t>
      </w:r>
    </w:p>
    <w:p w14:paraId="72738650">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2）应用层：承载系统核心业务功能，是智能体工作流的具体实现层。主要包括：项目判重智能体、建设项目审查智能体、运维项目审查智能体。各智能体按照业务流程有序编排，实现从项目接入到审核输出的全流程自动化处理。</w:t>
      </w:r>
    </w:p>
    <w:p w14:paraId="263557F1">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3）能力层：为上层应用提供智能化技术支撑，是系统的核心引擎。包括大语言模型（负责语义理解、内容生成、逻辑推理）、语义理解模块（负责项目类型识别、关键信息提取）、知识库检索（负责历史项目比对、政策法规查询）、规则引擎（负责合规性校验、门槛判定）、OCR识别（负责文档解析与内容提取）。</w:t>
      </w:r>
    </w:p>
    <w:p w14:paraId="1ABB3477">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（4）数据层：为系统提供数据支撑，包括历史项目库、绩效数据库、政务云资源库、信创产品库、标准模板库等。各类数据资源通过统一的数据管理平台进行治理和维护，确保数据的准确性和时效性。</w:t>
      </w:r>
    </w:p>
    <w:p w14:paraId="348D0811">
      <w:pPr>
        <w:pStyle w:val="3"/>
        <w:numPr>
          <w:ilvl w:val="0"/>
          <w:numId w:val="3"/>
        </w:numPr>
        <w:bidi w:val="0"/>
        <w:rPr>
          <w:rFonts w:hint="eastAsia"/>
          <w:lang w:val="en-US" w:eastAsia="zh-CN"/>
        </w:rPr>
      </w:pPr>
      <w:r>
        <w:rPr>
          <w:rFonts w:hint="eastAsia"/>
          <w:lang w:val="en-US" w:eastAsia="zh-CN"/>
        </w:rPr>
        <w:t>评审工作主流程</w:t>
      </w:r>
    </w:p>
    <w:p w14:paraId="179926A7">
      <w:pPr>
        <w:rPr>
          <w:rFonts w:hint="eastAsia"/>
          <w:lang w:val="en-US" w:eastAsia="zh-CN"/>
        </w:rPr>
      </w:pPr>
      <w:r>
        <w:rPr>
          <w:rFonts w:hint="eastAsia"/>
          <w:lang w:val="en-US" w:eastAsia="zh-CN"/>
        </w:rPr>
        <w:t>系统整体工作流遵循“分类处置”原则，根据项目类型自动选择不同的审查路径，确保评审的针对性和高效性。</w:t>
      </w:r>
    </w:p>
    <w:p w14:paraId="2EAB1C19">
      <w:pPr>
        <w:spacing w:line="240" w:lineRule="auto"/>
        <w:ind w:left="0" w:leftChars="0" w:firstLine="0" w:firstLineChars="0"/>
        <w:jc w:val="center"/>
        <w:rPr>
          <w:rFonts w:hint="eastAsia"/>
          <w:lang w:val="en-US" w:eastAsia="zh-CN"/>
        </w:rPr>
      </w:pPr>
      <w:r>
        <w:drawing>
          <wp:inline distT="0" distB="0" distL="114300" distR="114300">
            <wp:extent cx="3752850" cy="4064000"/>
            <wp:effectExtent l="0" t="0" r="6350" b="0"/>
            <wp:docPr id="11" name="图片 10" descr="流程图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流程图2.drawio"/>
                    <pic:cNvPicPr>
                      <a:picLocks noChangeAspect="1"/>
                    </pic:cNvPicPr>
                  </pic:nvPicPr>
                  <pic:blipFill>
                    <a:blip r:embed="rId7"/>
                    <a:stretch>
                      <a:fillRect/>
                    </a:stretch>
                  </pic:blipFill>
                  <pic:spPr>
                    <a:xfrm>
                      <a:off x="0" y="0"/>
                      <a:ext cx="3752850" cy="4064000"/>
                    </a:xfrm>
                    <a:prstGeom prst="rect">
                      <a:avLst/>
                    </a:prstGeom>
                  </pic:spPr>
                </pic:pic>
              </a:graphicData>
            </a:graphic>
          </wp:inline>
        </w:drawing>
      </w:r>
    </w:p>
    <w:p w14:paraId="7DBDD7B7">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图2 信息化项目评审智能体工作主流程图</w:t>
      </w:r>
    </w:p>
    <w:p w14:paraId="2A182B8B">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主流程核心节点说明：</w:t>
      </w:r>
    </w:p>
    <w:p w14:paraId="7D97CD6B">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（1）文档输入与解析：系统接收项目方案文档后，通过文本插件自动读取并解析文档内容，提取项目名称、建设内容、技术方案等关键信息。</w:t>
      </w:r>
    </w:p>
    <w:p w14:paraId="08E6239C">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2）项目判重智能体：通过语义理解与关键词匹配，自动识别项目类型（建设类/运维类）及子类型（新建/续建/改建），同时进行重复性初步判断，与历史项目库进行全量比对，从项目业务内容、功能内容等维度深度研判，精准识别多头投资和同类系统重复建设风险，为后续分类审查提供依据。</w:t>
      </w:r>
    </w:p>
    <w:p w14:paraId="051442DC">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（3）代码参数转换模块：将判重智能体输出的参数进行格式转换，确保下游模块能够正确读取和处理判重结果。</w:t>
      </w:r>
    </w:p>
    <w:p w14:paraId="14A3C68F">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（4）项目判断选择器：根据判重结果自动路由至对应的审查路径，共分三条路径：</w:t>
      </w:r>
    </w:p>
    <w:p w14:paraId="26966903">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①重复建设类项目：判定为重复建设的项目直接结束流程，避免重复投资；</w:t>
      </w:r>
    </w:p>
    <w:p w14:paraId="64B9B870">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②运维类项目：进入运维项目审查路径；</w:t>
      </w:r>
    </w:p>
    <w:p w14:paraId="1DCAF452">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③建设类项目（不重复）：进入建设项目审查路径。</w:t>
      </w:r>
    </w:p>
    <w:p w14:paraId="54FE1295">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（5）绩效考核表读取：根据项目名称从绩效考核知识库中调取上一年度绩效评分，为风险提示提供数据支撑。</w:t>
      </w:r>
    </w:p>
    <w:p w14:paraId="11864C27">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（6）审查智能体调用：根据项目类型调用对应的审查智能体，建设类项目执行六项合规性审查，运维类项目执行四项合规性审查。</w:t>
      </w:r>
    </w:p>
    <w:p w14:paraId="30497410">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640" w:firstLineChars="200"/>
        <w:jc w:val="left"/>
        <w:textAlignment w:val="auto"/>
        <w:rPr>
          <w:rFonts w:hint="eastAsia" w:ascii="仿宋_GB2312" w:hAnsi="仿宋_GB2312" w:cs="仿宋_GB2312"/>
          <w:kern w:val="0"/>
          <w:sz w:val="32"/>
          <w:szCs w:val="32"/>
          <w:lang w:val="en-US" w:eastAsia="zh-CN" w:bidi="ar"/>
        </w:rPr>
      </w:pPr>
      <w:r>
        <w:rPr>
          <w:rFonts w:hint="eastAsia" w:ascii="仿宋_GB2312" w:hAnsi="仿宋_GB2312" w:cs="仿宋_GB2312"/>
          <w:kern w:val="0"/>
          <w:sz w:val="32"/>
          <w:szCs w:val="32"/>
          <w:lang w:val="en-US" w:eastAsia="zh-CN" w:bidi="ar"/>
        </w:rPr>
        <w:t>（7）报告生成：审查完成后，系统自动汇总审查结果，生成标准化审核报告和结构化修改建议书，实现“一次告知、精准指引”。</w:t>
      </w:r>
    </w:p>
    <w:p w14:paraId="1F27D116">
      <w:pPr>
        <w:pStyle w:val="3"/>
        <w:numPr>
          <w:ilvl w:val="0"/>
          <w:numId w:val="3"/>
        </w:numPr>
        <w:bidi w:val="0"/>
        <w:rPr>
          <w:rFonts w:hint="eastAsia"/>
          <w:lang w:val="en-US" w:eastAsia="zh-CN"/>
        </w:rPr>
      </w:pPr>
      <w:r>
        <w:rPr>
          <w:rFonts w:hint="eastAsia"/>
          <w:lang w:val="en-US" w:eastAsia="zh-CN"/>
        </w:rPr>
        <w:t>建设类项目审查流程</w:t>
      </w:r>
    </w:p>
    <w:p w14:paraId="234BB78D">
      <w:pPr>
        <w:keepNext w:val="0"/>
        <w:keepLines w:val="0"/>
        <w:widowControl/>
        <w:suppressLineNumbers w:val="0"/>
        <w:ind w:left="0" w:leftChars="0" w:firstLine="640" w:firstLineChars="200"/>
        <w:jc w:val="both"/>
        <w:rPr>
          <w:rFonts w:hint="eastAsia"/>
          <w:lang w:val="en-US" w:eastAsia="zh-CN"/>
        </w:rPr>
      </w:pPr>
      <w:r>
        <w:rPr>
          <w:rFonts w:hint="eastAsia"/>
          <w:lang w:val="en-US" w:eastAsia="zh-CN"/>
        </w:rPr>
        <w:t>建设类项目（含新建、续建、改建）需经过六项审查内容，全面覆盖项目合规性的各个维度。</w:t>
      </w:r>
    </w:p>
    <w:p w14:paraId="6C36235B">
      <w:pPr>
        <w:spacing w:line="240" w:lineRule="auto"/>
        <w:ind w:left="0" w:leftChars="0" w:firstLine="0" w:firstLineChars="0"/>
        <w:jc w:val="center"/>
        <w:rPr>
          <w:rFonts w:hint="eastAsia" w:eastAsia="仿宋_GB2312"/>
          <w:lang w:eastAsia="zh-CN"/>
        </w:rPr>
      </w:pPr>
      <w:r>
        <w:drawing>
          <wp:inline distT="0" distB="0" distL="114300" distR="114300">
            <wp:extent cx="2249805" cy="4539615"/>
            <wp:effectExtent l="0" t="0" r="10795" b="6985"/>
            <wp:docPr id="7" name="图片 6" descr="建设项目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建设项目222.drawio"/>
                    <pic:cNvPicPr>
                      <a:picLocks noChangeAspect="1"/>
                    </pic:cNvPicPr>
                  </pic:nvPicPr>
                  <pic:blipFill>
                    <a:blip r:embed="rId8"/>
                    <a:stretch>
                      <a:fillRect/>
                    </a:stretch>
                  </pic:blipFill>
                  <pic:spPr>
                    <a:xfrm>
                      <a:off x="0" y="0"/>
                      <a:ext cx="2249805" cy="4539615"/>
                    </a:xfrm>
                    <a:prstGeom prst="rect">
                      <a:avLst/>
                    </a:prstGeom>
                  </pic:spPr>
                </pic:pic>
              </a:graphicData>
            </a:graphic>
          </wp:inline>
        </w:drawing>
      </w:r>
    </w:p>
    <w:p w14:paraId="704E59FD">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图3 建设类项目审查智能体详细流程图</w:t>
      </w:r>
    </w:p>
    <w:p w14:paraId="20B3E22B">
      <w:pPr>
        <w:keepNext w:val="0"/>
        <w:keepLines w:val="0"/>
        <w:widowControl/>
        <w:suppressLineNumbers w:val="0"/>
        <w:ind w:left="0" w:leftChars="0" w:firstLine="640" w:firstLineChars="200"/>
        <w:jc w:val="both"/>
        <w:rPr>
          <w:rFonts w:hint="eastAsia"/>
          <w:lang w:val="en-US" w:eastAsia="zh-CN"/>
        </w:rPr>
      </w:pPr>
      <w:r>
        <w:rPr>
          <w:rFonts w:hint="eastAsia"/>
          <w:lang w:val="en-US" w:eastAsia="zh-CN"/>
        </w:rPr>
        <w:t>建设项目审查智能体六项审查内容：</w:t>
      </w:r>
    </w:p>
    <w:p w14:paraId="6BEE9545">
      <w:pPr>
        <w:keepNext w:val="0"/>
        <w:keepLines w:val="0"/>
        <w:widowControl/>
        <w:suppressLineNumbers w:val="0"/>
        <w:ind w:left="0" w:leftChars="0" w:firstLine="640" w:firstLineChars="200"/>
        <w:jc w:val="both"/>
        <w:rPr>
          <w:rFonts w:hint="eastAsia"/>
          <w:lang w:val="en-US" w:eastAsia="zh-CN"/>
        </w:rPr>
      </w:pPr>
      <w:r>
        <w:rPr>
          <w:rFonts w:hint="eastAsia"/>
          <w:lang w:val="en-US" w:eastAsia="zh-CN"/>
        </w:rPr>
        <w:t>（1）重复性核查结果：将当前项目功能描述与历史项目库进行全量比对，从项目业务内容、功能内容等维度深度研判，精准识别多头投资和同类系统重复建设风险。</w:t>
      </w:r>
    </w:p>
    <w:p w14:paraId="3AEBD779">
      <w:pPr>
        <w:keepNext w:val="0"/>
        <w:keepLines w:val="0"/>
        <w:widowControl/>
        <w:suppressLineNumbers w:val="0"/>
        <w:ind w:left="0" w:leftChars="0" w:firstLine="640" w:firstLineChars="200"/>
        <w:jc w:val="both"/>
        <w:rPr>
          <w:rFonts w:hint="eastAsia"/>
          <w:lang w:val="en-US" w:eastAsia="zh-CN"/>
        </w:rPr>
      </w:pPr>
      <w:r>
        <w:rPr>
          <w:rFonts w:hint="eastAsia"/>
          <w:lang w:val="en-US" w:eastAsia="zh-CN"/>
        </w:rPr>
        <w:t>（2）准入门槛审查：所有项目统一经过三重基础性审查：</w:t>
      </w:r>
    </w:p>
    <w:p w14:paraId="49E37BE4">
      <w:pPr>
        <w:keepNext w:val="0"/>
        <w:keepLines w:val="0"/>
        <w:widowControl/>
        <w:suppressLineNumbers w:val="0"/>
        <w:ind w:left="0" w:leftChars="0" w:firstLine="640" w:firstLineChars="200"/>
        <w:jc w:val="both"/>
        <w:rPr>
          <w:rFonts w:hint="eastAsia"/>
          <w:lang w:val="en-US" w:eastAsia="zh-CN"/>
        </w:rPr>
      </w:pPr>
      <w:r>
        <w:rPr>
          <w:rFonts w:hint="eastAsia"/>
          <w:lang w:val="en-US" w:eastAsia="zh-CN"/>
        </w:rPr>
        <w:t>①是否属于政务信息化建设范畴：判断项目是否符合政策定义；</w:t>
      </w:r>
    </w:p>
    <w:p w14:paraId="3AE56E7E">
      <w:pPr>
        <w:keepNext w:val="0"/>
        <w:keepLines w:val="0"/>
        <w:widowControl/>
        <w:suppressLineNumbers w:val="0"/>
        <w:ind w:left="0" w:leftChars="0" w:firstLine="640" w:firstLineChars="200"/>
        <w:jc w:val="both"/>
        <w:rPr>
          <w:rFonts w:hint="eastAsia"/>
          <w:lang w:val="en-US" w:eastAsia="zh-CN"/>
        </w:rPr>
      </w:pPr>
      <w:r>
        <w:rPr>
          <w:rFonts w:hint="eastAsia"/>
          <w:lang w:val="en-US" w:eastAsia="zh-CN"/>
        </w:rPr>
        <w:t>②资源使用合规性（禁止新建数据中心、自建机房、采购大型服务器、新建云平台等）；</w:t>
      </w:r>
    </w:p>
    <w:p w14:paraId="63191214">
      <w:pPr>
        <w:keepNext w:val="0"/>
        <w:keepLines w:val="0"/>
        <w:widowControl/>
        <w:suppressLineNumbers w:val="0"/>
        <w:ind w:left="0" w:leftChars="0" w:firstLine="640" w:firstLineChars="200"/>
        <w:jc w:val="both"/>
        <w:rPr>
          <w:rFonts w:hint="eastAsia"/>
          <w:lang w:val="en-US" w:eastAsia="zh-CN"/>
        </w:rPr>
      </w:pPr>
      <w:r>
        <w:rPr>
          <w:rFonts w:hint="eastAsia"/>
          <w:lang w:val="en-US" w:eastAsia="zh-CN"/>
        </w:rPr>
        <w:t>③小程序/APP整合至苏服办：政务信息化项目原则上不新建政务App，已建政务App应按要求整合至“苏服办”。</w:t>
      </w:r>
    </w:p>
    <w:p w14:paraId="29F8650C">
      <w:pPr>
        <w:keepNext w:val="0"/>
        <w:keepLines w:val="0"/>
        <w:widowControl/>
        <w:suppressLineNumbers w:val="0"/>
        <w:ind w:left="0" w:leftChars="0" w:firstLine="640" w:firstLineChars="200"/>
        <w:jc w:val="both"/>
        <w:rPr>
          <w:rFonts w:hint="eastAsia"/>
          <w:lang w:val="en-US" w:eastAsia="zh-CN"/>
        </w:rPr>
      </w:pPr>
      <w:r>
        <w:rPr>
          <w:rFonts w:hint="eastAsia"/>
          <w:lang w:val="en-US" w:eastAsia="zh-CN"/>
        </w:rPr>
        <w:t>（3）方案完整性检查：对照八章标准化模板（背景和依据、预期目标、技术需求、技术方案、数据资源设计、信息安全、实施计划、项目概算），自动检测方案章节完备性。</w:t>
      </w:r>
    </w:p>
    <w:p w14:paraId="63444FB8">
      <w:pPr>
        <w:keepNext w:val="0"/>
        <w:keepLines w:val="0"/>
        <w:widowControl/>
        <w:suppressLineNumbers w:val="0"/>
        <w:ind w:left="0" w:leftChars="0" w:firstLine="640" w:firstLineChars="200"/>
        <w:jc w:val="both"/>
        <w:rPr>
          <w:rFonts w:hint="eastAsia"/>
          <w:lang w:val="en-US" w:eastAsia="zh-CN"/>
        </w:rPr>
      </w:pPr>
      <w:r>
        <w:rPr>
          <w:rFonts w:hint="eastAsia"/>
          <w:lang w:val="en-US" w:eastAsia="zh-CN"/>
        </w:rPr>
        <w:t>（4）信创合规检查：对芯片、操作系统、数据库、中间件四类核心软硬件逐项核验，确保符合国产化要求。</w:t>
      </w:r>
    </w:p>
    <w:p w14:paraId="029E41B5">
      <w:pPr>
        <w:keepNext w:val="0"/>
        <w:keepLines w:val="0"/>
        <w:widowControl/>
        <w:suppressLineNumbers w:val="0"/>
        <w:ind w:left="0" w:leftChars="0" w:firstLine="640" w:firstLineChars="200"/>
        <w:jc w:val="both"/>
        <w:rPr>
          <w:rFonts w:hint="eastAsia"/>
          <w:lang w:val="en-US" w:eastAsia="zh-CN"/>
        </w:rPr>
      </w:pPr>
      <w:r>
        <w:rPr>
          <w:rFonts w:hint="eastAsia"/>
          <w:lang w:val="en-US" w:eastAsia="zh-CN"/>
        </w:rPr>
        <w:t>（5）绩效考核风险提示：对于续建、改建类项目，调取上一年度绩效评分，低于70分者进行风险提示。</w:t>
      </w:r>
    </w:p>
    <w:p w14:paraId="5D42ECFE">
      <w:pPr>
        <w:keepNext w:val="0"/>
        <w:keepLines w:val="0"/>
        <w:widowControl/>
        <w:suppressLineNumbers w:val="0"/>
        <w:ind w:left="0" w:leftChars="0" w:firstLine="640" w:firstLineChars="200"/>
        <w:jc w:val="both"/>
        <w:rPr>
          <w:rFonts w:hint="eastAsia"/>
          <w:lang w:val="en-US" w:eastAsia="zh-CN"/>
        </w:rPr>
      </w:pPr>
      <w:r>
        <w:rPr>
          <w:rFonts w:hint="eastAsia"/>
          <w:lang w:val="en-US" w:eastAsia="zh-CN"/>
        </w:rPr>
        <w:t>（6）政务云资源合规核查：</w:t>
      </w:r>
    </w:p>
    <w:p w14:paraId="3FAB4B4A">
      <w:pPr>
        <w:keepNext w:val="0"/>
        <w:keepLines w:val="0"/>
        <w:widowControl/>
        <w:suppressLineNumbers w:val="0"/>
        <w:ind w:left="0" w:leftChars="0" w:firstLine="640" w:firstLineChars="200"/>
        <w:jc w:val="both"/>
        <w:rPr>
          <w:rFonts w:hint="eastAsia"/>
          <w:lang w:val="en-US" w:eastAsia="zh-CN"/>
        </w:rPr>
      </w:pPr>
      <w:r>
        <w:rPr>
          <w:rFonts w:hint="eastAsia"/>
          <w:lang w:val="en-US" w:eastAsia="zh-CN"/>
        </w:rPr>
        <w:t>①新建类核查项目方案中技术需求章节是否明确申明在政务云上部署建设，引导项目单位遵循“能上云则上云、避免重复建设”的政务信息化建设原则，防止未经批准在政务云外自行部署系统。</w:t>
      </w:r>
    </w:p>
    <w:p w14:paraId="0B3A148E">
      <w:pPr>
        <w:keepNext w:val="0"/>
        <w:keepLines w:val="0"/>
        <w:widowControl/>
        <w:suppressLineNumbers w:val="0"/>
        <w:ind w:left="0" w:leftChars="0" w:firstLine="640" w:firstLineChars="200"/>
        <w:jc w:val="both"/>
        <w:rPr>
          <w:rFonts w:hint="eastAsia"/>
          <w:lang w:val="en-US" w:eastAsia="zh-CN"/>
        </w:rPr>
      </w:pPr>
      <w:r>
        <w:rPr>
          <w:rFonts w:hint="eastAsia"/>
          <w:lang w:val="en-US" w:eastAsia="zh-CN"/>
        </w:rPr>
        <w:t>②续建、改建类检索全市政务云资源清单（含已部署系统清单、已批准云资源清单），判断当前项目是否在政务云清单中。不在清单中→ 风险提示：“项目未纳入政务云资源清单，建议核实是否已履行政务云资源申请手续”。</w:t>
      </w:r>
    </w:p>
    <w:p w14:paraId="380465AE">
      <w:pPr>
        <w:pStyle w:val="3"/>
        <w:numPr>
          <w:ilvl w:val="0"/>
          <w:numId w:val="3"/>
        </w:numPr>
        <w:bidi w:val="0"/>
        <w:rPr>
          <w:rFonts w:hint="eastAsia"/>
          <w:lang w:val="en-US" w:eastAsia="zh-CN"/>
        </w:rPr>
      </w:pPr>
      <w:r>
        <w:rPr>
          <w:rFonts w:hint="eastAsia"/>
          <w:lang w:val="en-US" w:eastAsia="zh-CN"/>
        </w:rPr>
        <w:t>运维类项目审查流程</w:t>
      </w:r>
    </w:p>
    <w:p w14:paraId="34B4D4A4">
      <w:pPr>
        <w:rPr>
          <w:rFonts w:hint="eastAsia"/>
          <w:lang w:val="en-US" w:eastAsia="zh-CN"/>
        </w:rPr>
      </w:pPr>
      <w:r>
        <w:rPr>
          <w:rFonts w:hint="eastAsia"/>
          <w:lang w:val="en-US" w:eastAsia="zh-CN"/>
        </w:rPr>
        <w:t>运维类项目审查聚焦于运维服务的合规性与合理性，包含四项核心审查内容。</w:t>
      </w:r>
    </w:p>
    <w:p w14:paraId="03DEA011">
      <w:pPr>
        <w:spacing w:line="240" w:lineRule="auto"/>
        <w:ind w:left="0" w:leftChars="0" w:firstLine="0" w:firstLineChars="0"/>
        <w:jc w:val="center"/>
        <w:rPr>
          <w:rFonts w:hint="eastAsia"/>
          <w:lang w:val="en-US" w:eastAsia="zh-CN"/>
        </w:rPr>
      </w:pPr>
      <w:r>
        <w:drawing>
          <wp:inline distT="0" distB="0" distL="114300" distR="114300">
            <wp:extent cx="2214245" cy="4192905"/>
            <wp:effectExtent l="0" t="0" r="20955" b="23495"/>
            <wp:docPr id="75" name="图片 74" descr="运维智能体.drawio"/>
            <wp:cNvGraphicFramePr/>
            <a:graphic xmlns:a="http://schemas.openxmlformats.org/drawingml/2006/main">
              <a:graphicData uri="http://schemas.openxmlformats.org/drawingml/2006/picture">
                <pic:pic xmlns:pic="http://schemas.openxmlformats.org/drawingml/2006/picture">
                  <pic:nvPicPr>
                    <pic:cNvPr id="75" name="图片 74" descr="运维智能体.drawio"/>
                    <pic:cNvPicPr/>
                  </pic:nvPicPr>
                  <pic:blipFill>
                    <a:blip r:embed="rId9"/>
                    <a:stretch>
                      <a:fillRect/>
                    </a:stretch>
                  </pic:blipFill>
                  <pic:spPr>
                    <a:xfrm>
                      <a:off x="0" y="0"/>
                      <a:ext cx="2214245" cy="4192905"/>
                    </a:xfrm>
                    <a:prstGeom prst="rect">
                      <a:avLst/>
                    </a:prstGeom>
                  </pic:spPr>
                </pic:pic>
              </a:graphicData>
            </a:graphic>
          </wp:inline>
        </w:drawing>
      </w:r>
    </w:p>
    <w:p w14:paraId="4AB60DF7">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图4 运维类项目审查智能体详细流程图</w:t>
      </w:r>
    </w:p>
    <w:p w14:paraId="0245C497">
      <w:pPr>
        <w:rPr>
          <w:rFonts w:hint="eastAsia"/>
          <w:lang w:val="en-US" w:eastAsia="zh-CN"/>
        </w:rPr>
      </w:pPr>
      <w:r>
        <w:rPr>
          <w:rFonts w:hint="eastAsia"/>
          <w:lang w:val="en-US" w:eastAsia="zh-CN"/>
        </w:rPr>
        <w:t>运维项目审查智能体四项审查内容：</w:t>
      </w:r>
    </w:p>
    <w:p w14:paraId="67519CE7">
      <w:pPr>
        <w:rPr>
          <w:rFonts w:hint="eastAsia"/>
          <w:lang w:val="en-US" w:eastAsia="zh-CN"/>
        </w:rPr>
      </w:pPr>
      <w:r>
        <w:rPr>
          <w:rFonts w:hint="eastAsia"/>
          <w:lang w:val="en-US" w:eastAsia="zh-CN"/>
        </w:rPr>
        <w:t>（1）准入门槛审查：判断项目是否属于政务信息化范畴，确保项目纳入统一管理。</w:t>
      </w:r>
    </w:p>
    <w:p w14:paraId="454C58DC">
      <w:pPr>
        <w:rPr>
          <w:rFonts w:hint="eastAsia"/>
          <w:lang w:val="en-US" w:eastAsia="zh-CN"/>
        </w:rPr>
      </w:pPr>
      <w:r>
        <w:rPr>
          <w:rFonts w:hint="eastAsia"/>
          <w:lang w:val="en-US" w:eastAsia="zh-CN"/>
        </w:rPr>
        <w:t>（2）方案完整性检查：对照运维类标准化章节模板，自动检测方案是否涵盖项目背景及依据、总体架构、业务现状及需求、运维服务内容、实施计划等必要章节。</w:t>
      </w:r>
    </w:p>
    <w:p w14:paraId="74269824">
      <w:pPr>
        <w:rPr>
          <w:rFonts w:hint="eastAsia"/>
          <w:lang w:val="en-US" w:eastAsia="zh-CN"/>
        </w:rPr>
      </w:pPr>
      <w:r>
        <w:rPr>
          <w:rFonts w:hint="eastAsia"/>
          <w:lang w:val="en-US" w:eastAsia="zh-CN"/>
        </w:rPr>
        <w:t>（3）政务云资源合规核查：包含两个维度：</w:t>
      </w:r>
    </w:p>
    <w:p w14:paraId="1633121A">
      <w:pPr>
        <w:rPr>
          <w:rFonts w:hint="eastAsia"/>
          <w:lang w:val="en-US" w:eastAsia="zh-CN"/>
        </w:rPr>
      </w:pPr>
      <w:r>
        <w:rPr>
          <w:rFonts w:hint="eastAsia"/>
          <w:lang w:val="en-US" w:eastAsia="zh-CN"/>
        </w:rPr>
        <w:t>①政务云清单匹配核查：判断项目是否在政务云资源清单中；</w:t>
      </w:r>
    </w:p>
    <w:p w14:paraId="3308587D">
      <w:pPr>
        <w:rPr>
          <w:rFonts w:hint="eastAsia"/>
          <w:lang w:val="en-US" w:eastAsia="zh-CN"/>
        </w:rPr>
      </w:pPr>
      <w:r>
        <w:rPr>
          <w:rFonts w:hint="eastAsia"/>
          <w:lang w:val="en-US" w:eastAsia="zh-CN"/>
        </w:rPr>
        <w:t>②云资源租赁费用核查：检测方案预算中是否含有云资源租赁相关费用，提示确认是否已纳入市政务云统一服务目录，避免重复采购。</w:t>
      </w:r>
    </w:p>
    <w:p w14:paraId="4EFBBC08">
      <w:pPr>
        <w:rPr>
          <w:rFonts w:hint="eastAsia"/>
          <w:lang w:val="en-US" w:eastAsia="zh-CN"/>
        </w:rPr>
      </w:pPr>
      <w:r>
        <w:rPr>
          <w:rFonts w:hint="eastAsia"/>
          <w:lang w:val="en-US" w:eastAsia="zh-CN"/>
        </w:rPr>
        <w:t>（4）绩效考核风险提示：调取上一年度绩效评分，未作绩效考核或低于70分者进行风险提示。</w:t>
      </w:r>
    </w:p>
    <w:p w14:paraId="6EBE876F">
      <w:pPr>
        <w:pStyle w:val="2"/>
        <w:numPr>
          <w:ilvl w:val="0"/>
          <w:numId w:val="2"/>
        </w:numPr>
        <w:bidi w:val="0"/>
        <w:ind w:left="0" w:leftChars="0" w:firstLine="420" w:firstLineChars="0"/>
        <w:rPr>
          <w:rFonts w:hint="eastAsia"/>
          <w:lang w:val="en-US" w:eastAsia="zh-CN"/>
        </w:rPr>
      </w:pPr>
      <w:r>
        <w:rPr>
          <w:rFonts w:hint="eastAsia"/>
          <w:lang w:val="en-US" w:eastAsia="zh-CN"/>
        </w:rPr>
        <w:t>后续推广或者计划</w:t>
      </w:r>
    </w:p>
    <w:p w14:paraId="2E160ADA">
      <w:pPr>
        <w:rPr>
          <w:rFonts w:hint="default"/>
          <w:lang w:val="en-US" w:eastAsia="zh-CN"/>
        </w:rPr>
      </w:pPr>
      <w:r>
        <w:rPr>
          <w:rFonts w:hint="default"/>
          <w:lang w:val="en-US" w:eastAsia="zh-CN"/>
        </w:rPr>
        <w:t>在现有合规性审核功能基础上，持续推进智能体在项目概算评估领域的深化应用，依托国家标准《软件工程 软件开发成本度量规范》（GB/T 36964）及省、市相关概算编制规范，智能体自动解析方案文本中的功能模块清单、硬件配置参数、软件产品名录等关键信息，结合历史项目中标价格库和行业基准数据，对定制化软件开发费、系统集成费、成品软件购置费等各分项费用进行智能测算与合理性研判，提供“参考区间</w:t>
      </w:r>
      <w:r>
        <w:rPr>
          <w:rFonts w:hint="eastAsia"/>
          <w:lang w:val="en-US" w:eastAsia="zh-CN"/>
        </w:rPr>
        <w:t>－</w:t>
      </w:r>
      <w:r>
        <w:rPr>
          <w:rFonts w:hint="default"/>
          <w:lang w:val="en-US" w:eastAsia="zh-CN"/>
        </w:rPr>
        <w:t>申报金额</w:t>
      </w:r>
      <w:r>
        <w:rPr>
          <w:rFonts w:hint="eastAsia"/>
          <w:lang w:val="en-US" w:eastAsia="zh-CN"/>
        </w:rPr>
        <w:t>－</w:t>
      </w:r>
      <w:r>
        <w:rPr>
          <w:rFonts w:hint="default"/>
          <w:lang w:val="en-US" w:eastAsia="zh-CN"/>
        </w:rPr>
        <w:t>偏差幅度”三维对比视图，辅助评审专家快速定位预算编制中的异常偏差，切实提升概算审核的效率与精准度，推动智能体从“合规审查助手”向“全流程评审参谋”演进。</w:t>
      </w:r>
    </w:p>
    <w:p w14:paraId="60693978">
      <w:pPr>
        <w:rPr>
          <w:rFonts w:hint="default"/>
          <w:lang w:val="en-US" w:eastAsia="zh-CN"/>
        </w:rPr>
      </w:pPr>
      <w:r>
        <w:rPr>
          <w:rFonts w:hint="default"/>
          <w:lang w:val="en-US" w:eastAsia="zh-CN"/>
        </w:rPr>
        <w:t>下一步，将本项目智能体工作流全面嵌入泰兴市协同办公平台，打通“申报—审核—反馈—修改—复审”全链条：申报单位在线提交建设方案后，智能体自动完成合规性审核并生成标准化审核报告，配套推送结构化《修改建议书》，逐项列明问题描述、修改要求和参考范例，同步发送短信提醒，实现“一次告知、精准指引”；申报单位根据审核意见逐项对照修改后提交复审，系统自动关联初审问题清单进行针对性复核，快速判别是否落实到位，仅对存疑问题推送人工复核，实现“限时修改、自动复核”的高效闭环流转，大幅压缩评审周期。</w:t>
      </w:r>
    </w:p>
    <w:p w14:paraId="1A62AEA7">
      <w:pPr>
        <w:rPr>
          <w:rFonts w:hint="eastAsia"/>
          <w:lang w:val="en-US" w:eastAsia="zh-CN"/>
        </w:rPr>
      </w:pPr>
      <w:r>
        <w:rPr>
          <w:rFonts w:hint="default"/>
          <w:lang w:val="en-US" w:eastAsia="zh-CN"/>
        </w:rPr>
        <w:t>本智能体工作流将定位为泰兴市政务信息化项目评审的基础能力平台，逐步向全市各部门及乡镇板块开放复用，统一评审尺度、降低重复投资；后续围绕项目全生命周期管理，持续丰富智能体应用场景，逐步向项目验收评估、绩效评价、运维成效后评价等环节延伸拓展，总结形成可复制推广的智能评审标准和操作规范，为全市数字政府建设提供智能化基础设施，助力打造更加规范、高效、透明的政务信息化项目管理新格局。</w:t>
      </w:r>
    </w:p>
    <w:p w14:paraId="1FB9F0E3">
      <w:pPr>
        <w:rPr>
          <w:rFonts w:hint="eastAsia"/>
          <w:lang w:val="en-US" w:eastAsia="zh-CN"/>
        </w:rPr>
      </w:pPr>
    </w:p>
    <w:p w14:paraId="56A0800C">
      <w:pPr>
        <w:rPr>
          <w:rFonts w:hint="eastAsia"/>
          <w:lang w:val="en-US" w:eastAsia="zh-CN"/>
        </w:rPr>
      </w:pPr>
    </w:p>
    <w:sectPr>
      <w:pgSz w:w="11906" w:h="16838"/>
      <w:pgMar w:top="2098" w:right="1474" w:bottom="1984" w:left="1587" w:header="851" w:footer="992" w:gutter="0"/>
      <w:cols w:space="0" w:num="1"/>
      <w:rtlGutter w:val="0"/>
      <w:docGrid w:type="lines" w:linePitch="43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10609030101010101"/>
    <w:charset w:val="86"/>
    <w:family w:val="auto"/>
    <w:pitch w:val="default"/>
    <w:sig w:usb0="00000000" w:usb1="00000000" w:usb2="00000000" w:usb3="00000000" w:csb0="00040000" w:csb1="00000000"/>
  </w:font>
  <w:font w:name="方正小标宋简体">
    <w:altName w:val="汉仪书宋二KW"/>
    <w:panose1 w:val="03000509000000000000"/>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3CB530"/>
    <w:multiLevelType w:val="singleLevel"/>
    <w:tmpl w:val="9E3CB530"/>
    <w:lvl w:ilvl="0" w:tentative="0">
      <w:start w:val="1"/>
      <w:numFmt w:val="decimal"/>
      <w:pStyle w:val="4"/>
      <w:suff w:val="space"/>
      <w:lvlText w:val="%1."/>
      <w:lvlJc w:val="left"/>
      <w:pPr>
        <w:ind w:left="425" w:leftChars="0" w:hanging="425" w:firstLineChars="0"/>
      </w:pPr>
      <w:rPr>
        <w:rFonts w:hint="default"/>
      </w:rPr>
    </w:lvl>
  </w:abstractNum>
  <w:abstractNum w:abstractNumId="1">
    <w:nsid w:val="0932F487"/>
    <w:multiLevelType w:val="singleLevel"/>
    <w:tmpl w:val="0932F487"/>
    <w:lvl w:ilvl="0" w:tentative="0">
      <w:start w:val="1"/>
      <w:numFmt w:val="chineseCounting"/>
      <w:suff w:val="nothing"/>
      <w:lvlText w:val="（%1）"/>
      <w:lvlJc w:val="left"/>
      <w:pPr>
        <w:ind w:left="-420" w:firstLine="420"/>
      </w:pPr>
      <w:rPr>
        <w:rFonts w:hint="eastAsia"/>
      </w:rPr>
    </w:lvl>
  </w:abstractNum>
  <w:abstractNum w:abstractNumId="2">
    <w:nsid w:val="3E160B53"/>
    <w:multiLevelType w:val="singleLevel"/>
    <w:tmpl w:val="3E160B53"/>
    <w:lvl w:ilvl="0" w:tentative="0">
      <w:start w:val="1"/>
      <w:numFmt w:val="chineseCounting"/>
      <w:suff w:val="nothing"/>
      <w:lvlText w:val="%1、"/>
      <w:lvlJc w:val="left"/>
      <w:pPr>
        <w:ind w:left="0" w:firstLine="420"/>
      </w:pPr>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831FEC"/>
    <w:rsid w:val="001A029C"/>
    <w:rsid w:val="00524F9C"/>
    <w:rsid w:val="01723A51"/>
    <w:rsid w:val="06090711"/>
    <w:rsid w:val="0AAD3F14"/>
    <w:rsid w:val="0B985065"/>
    <w:rsid w:val="13BB1914"/>
    <w:rsid w:val="14036DAA"/>
    <w:rsid w:val="1F767D6F"/>
    <w:rsid w:val="237A41C3"/>
    <w:rsid w:val="245B49D0"/>
    <w:rsid w:val="27DE0B74"/>
    <w:rsid w:val="28E31DFA"/>
    <w:rsid w:val="29067C21"/>
    <w:rsid w:val="2AE642BA"/>
    <w:rsid w:val="2CB25B79"/>
    <w:rsid w:val="2D5922EF"/>
    <w:rsid w:val="2F750741"/>
    <w:rsid w:val="32CE0BF6"/>
    <w:rsid w:val="36F34C75"/>
    <w:rsid w:val="3ACD7CF8"/>
    <w:rsid w:val="3AF76313"/>
    <w:rsid w:val="3B200188"/>
    <w:rsid w:val="3C8E7647"/>
    <w:rsid w:val="3D5D1F7F"/>
    <w:rsid w:val="599000FD"/>
    <w:rsid w:val="5AFFC8F8"/>
    <w:rsid w:val="5D831FEC"/>
    <w:rsid w:val="68AA5747"/>
    <w:rsid w:val="6A6D336D"/>
    <w:rsid w:val="6D373801"/>
    <w:rsid w:val="77FF0363"/>
    <w:rsid w:val="780C3400"/>
    <w:rsid w:val="78176E7B"/>
    <w:rsid w:val="7D924055"/>
    <w:rsid w:val="FFBFB93D"/>
    <w:rsid w:val="FFC3D6A9"/>
    <w:rsid w:val="FFF35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420" w:firstLineChars="200"/>
      <w:jc w:val="both"/>
    </w:pPr>
    <w:rPr>
      <w:rFonts w:ascii="Times New Roman" w:hAnsi="Times New Roman" w:eastAsia="仿宋_GB2312" w:cstheme="minorBidi"/>
      <w:kern w:val="2"/>
      <w:sz w:val="32"/>
      <w:szCs w:val="24"/>
      <w:lang w:val="en-US" w:eastAsia="zh-CN" w:bidi="ar-SA"/>
    </w:rPr>
  </w:style>
  <w:style w:type="paragraph" w:styleId="2">
    <w:name w:val="heading 1"/>
    <w:basedOn w:val="1"/>
    <w:next w:val="1"/>
    <w:qFormat/>
    <w:uiPriority w:val="0"/>
    <w:pPr>
      <w:keepNext/>
      <w:keepLines/>
      <w:spacing w:beforeLines="0" w:beforeAutospacing="0" w:afterLines="0" w:afterAutospacing="0" w:line="560" w:lineRule="exact"/>
      <w:jc w:val="both"/>
      <w:outlineLvl w:val="0"/>
    </w:pPr>
    <w:rPr>
      <w:rFonts w:eastAsia="黑体"/>
      <w:kern w:val="44"/>
    </w:rPr>
  </w:style>
  <w:style w:type="paragraph" w:styleId="3">
    <w:name w:val="heading 2"/>
    <w:basedOn w:val="1"/>
    <w:next w:val="1"/>
    <w:unhideWhenUsed/>
    <w:qFormat/>
    <w:uiPriority w:val="0"/>
    <w:pPr>
      <w:keepNext/>
      <w:keepLines/>
      <w:spacing w:beforeLines="0" w:beforeAutospacing="0" w:afterLines="0" w:afterAutospacing="0" w:line="560" w:lineRule="exact"/>
      <w:outlineLvl w:val="1"/>
    </w:pPr>
    <w:rPr>
      <w:rFonts w:eastAsia="楷体_GB2312"/>
    </w:rPr>
  </w:style>
  <w:style w:type="paragraph" w:styleId="4">
    <w:name w:val="heading 3"/>
    <w:basedOn w:val="1"/>
    <w:next w:val="1"/>
    <w:unhideWhenUsed/>
    <w:qFormat/>
    <w:uiPriority w:val="0"/>
    <w:pPr>
      <w:keepNext/>
      <w:keepLines/>
      <w:numPr>
        <w:ilvl w:val="0"/>
        <w:numId w:val="1"/>
      </w:numPr>
      <w:tabs>
        <w:tab w:val="left" w:pos="0"/>
      </w:tabs>
      <w:spacing w:beforeLines="0" w:beforeAutospacing="0" w:afterLines="0" w:afterAutospacing="0" w:line="560" w:lineRule="exact"/>
      <w:outlineLvl w:val="2"/>
    </w:pPr>
    <w:rPr>
      <w:rFonts w:ascii="Times New Roman" w:hAnsi="Times New Roman"/>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Normal (Web)"/>
    <w:basedOn w:val="1"/>
    <w:qFormat/>
    <w:uiPriority w:val="0"/>
    <w:rPr>
      <w:sz w:val="24"/>
    </w:rPr>
  </w:style>
  <w:style w:type="paragraph" w:customStyle="1" w:styleId="10">
    <w:name w:val="方正小标"/>
    <w:basedOn w:val="1"/>
    <w:next w:val="2"/>
    <w:qFormat/>
    <w:uiPriority w:val="0"/>
    <w:pPr>
      <w:ind w:firstLine="0" w:firstLineChars="0"/>
      <w:jc w:val="center"/>
      <w:outlineLvl w:val="0"/>
    </w:pPr>
    <w:rPr>
      <w:rFonts w:ascii="Times New Roman" w:hAnsi="Times New Roman" w:eastAsia="方正小标宋简体"/>
      <w:sz w:val="44"/>
    </w:rPr>
  </w:style>
  <w:style w:type="paragraph" w:customStyle="1" w:styleId="11">
    <w:name w:val="发文标题"/>
    <w:basedOn w:val="1"/>
    <w:next w:val="1"/>
    <w:qFormat/>
    <w:uiPriority w:val="0"/>
    <w:pPr>
      <w:ind w:firstLine="0" w:firstLineChars="0"/>
      <w:jc w:val="center"/>
      <w:outlineLvl w:val="0"/>
    </w:pPr>
    <w:rPr>
      <w:rFonts w:ascii="Times New Roman" w:hAnsi="Times New Roman" w:eastAsia="方正小标宋简体"/>
      <w:b/>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28300652-7a3c-4dbe-89e7-3ab0484ede9e</errorID>
      <errorWord>亟需</errorWord>
      <group>L1_Word</group>
      <groupName>字词问题</groupName>
      <ability>L2_Typo</ability>
      <abilityName>字词错误</abilityName>
      <candidateList>
        <item>亟须</item>
      </candidateList>
      <explain/>
      <paraID>1349DE99</paraID>
      <start>3</start>
      <end>5</end>
      <status>modified</status>
      <modifiedWord>亟须</modifiedWord>
      <trackRevisions>false</trackRevisions>
    </reviewItem>
    <reviewItem>
      <errorID>8dac355f-e879-48ea-927d-5b295bfb09d6</errorID>
      <errorWord>"</errorWord>
      <group>L1_Format</group>
      <groupName>格式问题</groupName>
      <ability>L2_HalfPunc</ability>
      <abilityName>全半角检查</abilityName>
      <candidateList>
        <item>“</item>
      </candidateList>
      <explain>文本全半角错误。</explain>
      <paraID>6C2C5C0A</paraID>
      <start>17</start>
      <end>18</end>
      <status>modified</status>
      <modifiedWord>“</modifiedWord>
      <trackRevisions>false</trackRevisions>
    </reviewItem>
    <reviewItem>
      <errorID>b8f51495-f1ef-4d7b-ae3f-80902234aac9</errorID>
      <errorWord>"</errorWord>
      <group>L1_Format</group>
      <groupName>格式问题</groupName>
      <ability>L2_HalfPunc</ability>
      <abilityName>全半角检查</abilityName>
      <candidateList>
        <item>”</item>
      </candidateList>
      <explain>文本全半角错误。</explain>
      <paraID>6C2C5C0A</paraID>
      <start>37</start>
      <end>38</end>
      <status>modified</status>
      <modifiedWord>”</modifiedWord>
      <trackRevisions>false</trackRevisions>
    </reviewItem>
    <reviewItem>
      <errorID>12bf05e2-43ad-4e0d-94f1-2492d6ad4db4</errorID>
      <errorWord>"</errorWord>
      <group>L1_Format</group>
      <groupName>格式问题</groupName>
      <ability>L2_HalfPunc</ability>
      <abilityName>全半角检查</abilityName>
      <candidateList>
        <item>“</item>
      </candidateList>
      <explain>文本全半角错误。</explain>
      <paraID>179926A7</paraID>
      <start>9</start>
      <end>10</end>
      <status>modified</status>
      <modifiedWord>“</modifiedWord>
      <trackRevisions>false</trackRevisions>
    </reviewItem>
    <reviewItem>
      <errorID>373130e3-4bed-44d9-aac8-485dba8ab6f2</errorID>
      <errorWord>"</errorWord>
      <group>L1_Format</group>
      <groupName>格式问题</groupName>
      <ability>L2_HalfPunc</ability>
      <abilityName>全半角检查</abilityName>
      <candidateList>
        <item>”</item>
      </candidateList>
      <explain>文本全半角错误。</explain>
      <paraID>179926A7</paraID>
      <start>14</start>
      <end>15</end>
      <status>modified</status>
      <modifiedWord>”</modifiedWord>
      <trackRevisions>false</trackRevisions>
    </reviewItem>
    <reviewItem>
      <errorID>ae9e1103-4668-47fb-b8b0-8fdc30350dcf</errorID>
      <errorWord>"</errorWord>
      <group>L1_Format</group>
      <groupName>格式问题</groupName>
      <ability>L2_HalfPunc</ability>
      <abilityName>全半角检查</abilityName>
      <candidateList>
        <item>“</item>
      </candidateList>
      <explain>文本全半角错误。</explain>
      <paraID>30497410</paraID>
      <start>46</start>
      <end>47</end>
      <status>modified</status>
      <modifiedWord>“</modifiedWord>
      <trackRevisions>false</trackRevisions>
    </reviewItem>
    <reviewItem>
      <errorID>44769747-e4ab-45be-a02f-22d51be0dda8</errorID>
      <errorWord>"</errorWord>
      <group>L1_Format</group>
      <groupName>格式问题</groupName>
      <ability>L2_HalfPunc</ability>
      <abilityName>全半角检查</abilityName>
      <candidateList>
        <item>”</item>
      </candidateList>
      <explain>文本全半角错误。</explain>
      <paraID>30497410</paraID>
      <start>56</start>
      <end>57</end>
      <status>modified</status>
      <modifiedWord>”</modifiedWord>
      <trackRevisions>false</trackRevisions>
    </reviewItem>
    <reviewItem>
      <errorID>5cf25fc9-ac72-4636-bce5-6b20a513dd8c</errorID>
      <errorWord>-</errorWord>
      <group>L1_Format</group>
      <groupName>格式问题</groupName>
      <ability>L2_HalfPunc</ability>
      <abilityName>全半角检查</abilityName>
      <candidateList>
        <item>－</item>
      </candidateList>
      <explain>文本全半角错误。</explain>
      <paraID>2E160ADA</paraID>
      <start>191</start>
      <end>192</end>
      <status>modified</status>
      <modifiedWord>－</modifiedWord>
      <trackRevisions>false</trackRevisions>
    </reviewItem>
    <reviewItem>
      <errorID>5a6c4b95-c918-4ba1-b8bf-bcdc7fdf3299</errorID>
      <errorWord>-</errorWord>
      <group>L1_Format</group>
      <groupName>格式问题</groupName>
      <ability>L2_HalfPunc</ability>
      <abilityName>全半角检查</abilityName>
      <candidateList>
        <item>－</item>
      </candidateList>
      <explain>文本全半角错误。</explain>
      <paraID>2E160ADA</paraID>
      <start>196</start>
      <end>197</end>
      <status>modified</status>
      <modifiedWord>－</modifiedWord>
      <trackRevisions>false</trackRevisions>
    </reviewItem>
  </reviewItems>
  <config/>
</contractReview>
</file>

<file path=customXml/itemProps1.xml><?xml version="1.0" encoding="utf-8"?>
<ds:datastoreItem xmlns:ds="http://schemas.openxmlformats.org/officeDocument/2006/customXml" ds:itemID="{493815d7-1264-4f48-929d-dfdbc647648b}">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3507</Words>
  <Characters>3526</Characters>
  <Lines>0</Lines>
  <Paragraphs>0</Paragraphs>
  <TotalTime>72</TotalTime>
  <ScaleCrop>false</ScaleCrop>
  <LinksUpToDate>false</LinksUpToDate>
  <CharactersWithSpaces>3533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2026-06-16T22:17:00Z</dcterms:created>
  <dc:creator>张毅</dc:creator>
  <cp:lastModifiedBy>WPS_1756649093</cp:lastModifiedBy>
  <dcterms:modified xsi:type="dcterms:W3CDTF">2026-06-25T17:08:27Z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86DF06816756110A13493B6A9CD6C264_43</vt:lpwstr>
  </property>
  <property fmtid="{D5CDD505-2E9C-101B-9397-08002B2CF9AE}" pid="4" name="KSOTemplateDocerSaveRecord">
    <vt:lpwstr>eyJoZGlkIjoiZjdmZDAxMzJhMmY1ZWU1NzRlMzA3MDhjNzdhY2Q2MDYiLCJ1c2VySWQiOiIyNDMyMTE1NTEifQ==</vt:lpwstr>
  </property>
</Properties>
</file>