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8925" w14:textId="2B41E5D2" w:rsidR="005D163F" w:rsidRDefault="00625234" w:rsidP="00D678A1">
      <w:r>
        <w:rPr>
          <w:rFonts w:hint="eastAsia"/>
        </w:rPr>
        <w:t>#</w:t>
      </w:r>
      <w:r>
        <w:t>KTH</w:t>
      </w:r>
      <w:r>
        <w:rPr>
          <w:rFonts w:hint="eastAsia"/>
        </w:rPr>
        <w:t>研究#</w:t>
      </w:r>
      <w:r>
        <w:t xml:space="preserve"> </w:t>
      </w:r>
      <w:r w:rsidR="005D163F">
        <w:t>KTH</w:t>
      </w:r>
      <w:r w:rsidR="005D163F">
        <w:rPr>
          <w:rFonts w:hint="eastAsia"/>
        </w:rPr>
        <w:t>研究人员研发出家用</w:t>
      </w:r>
      <w:r w:rsidR="005D163F">
        <w:rPr>
          <w:rFonts w:hint="eastAsia"/>
        </w:rPr>
        <w:t>尿路感染自检</w:t>
      </w:r>
      <w:r w:rsidR="005D163F">
        <w:t>测定试纸</w:t>
      </w:r>
      <w:r w:rsidR="005D163F">
        <w:rPr>
          <w:rFonts w:hint="eastAsia"/>
        </w:rPr>
        <w:t>，可达到临床水平的精确度</w:t>
      </w:r>
    </w:p>
    <w:p w14:paraId="1FE1E21F" w14:textId="77777777" w:rsidR="005D163F" w:rsidRDefault="005D163F" w:rsidP="00D678A1"/>
    <w:p w14:paraId="198E9403" w14:textId="70276386" w:rsidR="00D678A1" w:rsidRDefault="005D163F" w:rsidP="00D678A1">
      <w:r>
        <w:rPr>
          <w:rFonts w:hint="eastAsia"/>
        </w:rPr>
        <w:t>不久之后</w:t>
      </w:r>
      <w:r w:rsidR="00D678A1">
        <w:rPr>
          <w:rFonts w:hint="eastAsia"/>
        </w:rPr>
        <w:t>，</w:t>
      </w:r>
      <w:r>
        <w:rPr>
          <w:rFonts w:hint="eastAsia"/>
        </w:rPr>
        <w:t>患者</w:t>
      </w:r>
      <w:r w:rsidR="00D678A1">
        <w:rPr>
          <w:rFonts w:hint="eastAsia"/>
        </w:rPr>
        <w:t>将能够在家中进行细菌培养，以检测尿路感染（</w:t>
      </w:r>
      <w:r w:rsidR="00D678A1">
        <w:t>UTI），并获得临床水平的结果。</w:t>
      </w:r>
      <w:r>
        <w:rPr>
          <w:rFonts w:hint="eastAsia"/>
        </w:rPr>
        <w:t>而这一便利性的技术突破，是</w:t>
      </w:r>
      <w:r w:rsidR="00D678A1">
        <w:rPr>
          <w:rFonts w:hint="eastAsia"/>
        </w:rPr>
        <w:t>在最近发表的一项研究中，</w:t>
      </w:r>
      <w:r>
        <w:rPr>
          <w:rFonts w:hint="eastAsia"/>
        </w:rPr>
        <w:t>由</w:t>
      </w:r>
      <w:r w:rsidR="00D678A1">
        <w:t>KTH研究人员开发的“数字量尺”比目前可用的非处方</w:t>
      </w:r>
      <w:r w:rsidR="000D21FE">
        <w:rPr>
          <w:rFonts w:hint="eastAsia"/>
        </w:rPr>
        <w:t>尿路感染</w:t>
      </w:r>
      <w:r w:rsidR="00D678A1">
        <w:t>测试更准确。</w:t>
      </w:r>
    </w:p>
    <w:p w14:paraId="0DD1052B" w14:textId="77777777" w:rsidR="00D678A1" w:rsidRDefault="00D678A1" w:rsidP="00D678A1"/>
    <w:p w14:paraId="26C00070" w14:textId="4D4684C2" w:rsidR="00D678A1" w:rsidRDefault="00D678A1" w:rsidP="00D678A1">
      <w:r>
        <w:rPr>
          <w:rFonts w:hint="eastAsia"/>
        </w:rPr>
        <w:t>研究人员在</w:t>
      </w:r>
      <w:r w:rsidR="000D21FE">
        <w:rPr>
          <w:rFonts w:hint="eastAsia"/>
        </w:rPr>
        <w:t>Lab</w:t>
      </w:r>
      <w:r w:rsidR="000D21FE">
        <w:t xml:space="preserve"> on a Chip</w:t>
      </w:r>
      <w:r>
        <w:rPr>
          <w:rFonts w:hint="eastAsia"/>
        </w:rPr>
        <w:t>杂志上报道，数字化量尺是临床实验室使用的一种小型化和数字化版本的培养皿，其检测感染的敏感度为</w:t>
      </w:r>
      <w:r>
        <w:t>89％。</w:t>
      </w:r>
    </w:p>
    <w:p w14:paraId="2EDD9CE9" w14:textId="77777777" w:rsidR="00D678A1" w:rsidRDefault="00D678A1" w:rsidP="00D678A1">
      <w:pPr>
        <w:rPr>
          <w:rFonts w:hint="eastAsia"/>
        </w:rPr>
      </w:pPr>
    </w:p>
    <w:p w14:paraId="06D9506B" w14:textId="255FD9CC" w:rsidR="00D678A1" w:rsidRDefault="00D678A1" w:rsidP="00D678A1">
      <w:r>
        <w:t>KTH的</w:t>
      </w:r>
      <w:proofErr w:type="gramStart"/>
      <w:r>
        <w:t>微米和</w:t>
      </w:r>
      <w:proofErr w:type="gramEnd"/>
      <w:r>
        <w:t xml:space="preserve">纳米系统研究人员Emre </w:t>
      </w:r>
      <w:proofErr w:type="spellStart"/>
      <w:r>
        <w:t>Iseri</w:t>
      </w:r>
      <w:proofErr w:type="spellEnd"/>
      <w:r>
        <w:t>说，与现有家庭测试的主要区别在于，数字量尺使</w:t>
      </w:r>
      <w:r>
        <w:rPr>
          <w:rFonts w:ascii="MS Gothic" w:eastAsia="MS Gothic" w:hAnsi="MS Gothic" w:cs="MS Gothic" w:hint="eastAsia"/>
        </w:rPr>
        <w:t>​​</w:t>
      </w:r>
      <w:r>
        <w:t>用数字生物测定法来检测</w:t>
      </w:r>
      <w:r w:rsidRPr="000D21FE">
        <w:rPr>
          <w:b/>
          <w:bCs/>
        </w:rPr>
        <w:t>实际的传染性细菌</w:t>
      </w:r>
      <w:r>
        <w:t>，而不是与尿路感染相关的生物标志物。</w:t>
      </w:r>
    </w:p>
    <w:p w14:paraId="59EECE12" w14:textId="77777777" w:rsidR="00D678A1" w:rsidRDefault="00D678A1" w:rsidP="00D678A1"/>
    <w:p w14:paraId="39646108" w14:textId="40D1D6CD" w:rsidR="00D678A1" w:rsidRDefault="00D678A1" w:rsidP="00D678A1">
      <w:r>
        <w:rPr>
          <w:rFonts w:hint="eastAsia"/>
        </w:rPr>
        <w:t>“在药房找到的试纸不能为您提供临床上相关的结果，”</w:t>
      </w:r>
      <w:r>
        <w:t xml:space="preserve"> </w:t>
      </w:r>
      <w:proofErr w:type="spellStart"/>
      <w:r>
        <w:t>Iseri</w:t>
      </w:r>
      <w:proofErr w:type="spellEnd"/>
      <w:r>
        <w:t>说</w:t>
      </w:r>
      <w:r w:rsidR="000D21FE">
        <w:rPr>
          <w:rFonts w:hint="eastAsia"/>
        </w:rPr>
        <w:t>，</w:t>
      </w:r>
      <w:r>
        <w:t>“他们测量生物标志物，例如尿液中的氮化物和白细胞水平，并根据这些值得出结论。</w:t>
      </w:r>
    </w:p>
    <w:p w14:paraId="5AEB373D" w14:textId="77777777" w:rsidR="00D678A1" w:rsidRDefault="00D678A1" w:rsidP="00D678A1"/>
    <w:p w14:paraId="0CB2F601" w14:textId="77777777" w:rsidR="00D678A1" w:rsidRDefault="00D678A1" w:rsidP="00D678A1">
      <w:r>
        <w:rPr>
          <w:rFonts w:hint="eastAsia"/>
        </w:rPr>
        <w:t>“但是各种研究表明，它们的敏感性太低，无法作为诊断工具来依靠。”</w:t>
      </w:r>
    </w:p>
    <w:p w14:paraId="48944BD8" w14:textId="77777777" w:rsidR="00D678A1" w:rsidRDefault="00D678A1" w:rsidP="00D678A1"/>
    <w:p w14:paraId="177EF0F1" w14:textId="6E7CD845" w:rsidR="00D678A1" w:rsidRDefault="00D678A1" w:rsidP="00D678A1">
      <w:r>
        <w:rPr>
          <w:rFonts w:hint="eastAsia"/>
        </w:rPr>
        <w:t>合著者</w:t>
      </w:r>
      <w:proofErr w:type="spellStart"/>
      <w:r w:rsidR="000D21FE" w:rsidRPr="000D21FE">
        <w:t>Wouter</w:t>
      </w:r>
      <w:proofErr w:type="spellEnd"/>
      <w:r w:rsidR="000D21FE" w:rsidRPr="000D21FE">
        <w:t xml:space="preserve"> </w:t>
      </w:r>
      <w:proofErr w:type="spellStart"/>
      <w:r w:rsidR="000D21FE" w:rsidRPr="000D21FE">
        <w:t>Metsola</w:t>
      </w:r>
      <w:proofErr w:type="spellEnd"/>
      <w:r w:rsidR="000D21FE" w:rsidRPr="000D21FE">
        <w:t xml:space="preserve"> van der </w:t>
      </w:r>
      <w:proofErr w:type="spellStart"/>
      <w:r w:rsidR="000D21FE" w:rsidRPr="000D21FE">
        <w:t>Wijngaart</w:t>
      </w:r>
      <w:proofErr w:type="spellEnd"/>
      <w:r>
        <w:t>说：“患者的尿液样本中的细菌浓度可能足以指示感染，但生物标志物的水平却低于检测条的检测极限，从而导致假阴性读数。”</w:t>
      </w:r>
    </w:p>
    <w:p w14:paraId="7BEE05BE" w14:textId="77777777" w:rsidR="00D678A1" w:rsidRDefault="00D678A1" w:rsidP="00D678A1"/>
    <w:p w14:paraId="755F5310" w14:textId="5FDB0E96" w:rsidR="00D678A1" w:rsidRDefault="00D678A1" w:rsidP="00D678A1">
      <w:proofErr w:type="spellStart"/>
      <w:r>
        <w:t>Iseri</w:t>
      </w:r>
      <w:proofErr w:type="spellEnd"/>
      <w:r>
        <w:t>说，数字量尺不仅可以提供比家庭测试更大的优势，而且还可以提供优于临床测试的优势。由于临床测试需要两到三天的等待结果，因此在此间隔内，患者经常不必要地开具抗生素。相比之下，数字量尺可在大约10到12个小时内产生结果，从而避免了不必要的治疗</w:t>
      </w:r>
      <w:r w:rsidR="000D21FE">
        <w:rPr>
          <w:rFonts w:hint="eastAsia"/>
        </w:rPr>
        <w:t>。而那</w:t>
      </w:r>
      <w:r>
        <w:t>些治疗可能导致进一步的疾病，并在更大范围</w:t>
      </w:r>
      <w:proofErr w:type="gramStart"/>
      <w:r>
        <w:t>内导致</w:t>
      </w:r>
      <w:proofErr w:type="gramEnd"/>
      <w:r>
        <w:t>抗生素耐药性。</w:t>
      </w:r>
    </w:p>
    <w:p w14:paraId="6502958E" w14:textId="77777777" w:rsidR="00D678A1" w:rsidRDefault="00D678A1" w:rsidP="00D678A1"/>
    <w:p w14:paraId="299A8F22" w14:textId="015CB5FD" w:rsidR="005B592B" w:rsidRDefault="00D678A1" w:rsidP="00D678A1">
      <w:r>
        <w:rPr>
          <w:rFonts w:hint="eastAsia"/>
        </w:rPr>
        <w:t>除了</w:t>
      </w:r>
      <w:proofErr w:type="spellStart"/>
      <w:r>
        <w:t>Iseri</w:t>
      </w:r>
      <w:proofErr w:type="spellEnd"/>
      <w:r>
        <w:t>和</w:t>
      </w:r>
      <w:proofErr w:type="spellStart"/>
      <w:r w:rsidR="000D21FE" w:rsidRPr="000D21FE">
        <w:t>Wouter</w:t>
      </w:r>
      <w:proofErr w:type="spellEnd"/>
      <w:r w:rsidR="000D21FE" w:rsidRPr="000D21FE">
        <w:t xml:space="preserve"> </w:t>
      </w:r>
      <w:proofErr w:type="spellStart"/>
      <w:r w:rsidR="000D21FE" w:rsidRPr="000D21FE">
        <w:t>Metsola</w:t>
      </w:r>
      <w:proofErr w:type="spellEnd"/>
      <w:r w:rsidR="000D21FE" w:rsidRPr="000D21FE">
        <w:t xml:space="preserve"> van der </w:t>
      </w:r>
      <w:proofErr w:type="spellStart"/>
      <w:r w:rsidR="000D21FE" w:rsidRPr="000D21FE">
        <w:t>Wijngaart</w:t>
      </w:r>
      <w:proofErr w:type="spellEnd"/>
      <w:r>
        <w:t xml:space="preserve">之外，比利时安特卫普大学的研究人员Herman </w:t>
      </w:r>
      <w:proofErr w:type="spellStart"/>
      <w:r>
        <w:t>Goossens</w:t>
      </w:r>
      <w:proofErr w:type="spellEnd"/>
      <w:r>
        <w:t xml:space="preserve">，Pieter Moons和Michael </w:t>
      </w:r>
      <w:proofErr w:type="spellStart"/>
      <w:r>
        <w:t>Biggel</w:t>
      </w:r>
      <w:proofErr w:type="spellEnd"/>
      <w:r>
        <w:t>也为这项工作做出了贡献。</w:t>
      </w:r>
    </w:p>
    <w:p w14:paraId="177A57D5" w14:textId="4B8844A5" w:rsidR="000D21FE" w:rsidRDefault="000D21FE" w:rsidP="00D678A1"/>
    <w:p w14:paraId="2F813914" w14:textId="77777777" w:rsidR="000D21FE" w:rsidRDefault="000D21FE" w:rsidP="000D21FE">
      <w:pPr>
        <w:rPr>
          <w:rFonts w:hint="eastAsia"/>
        </w:rPr>
      </w:pPr>
      <w:r>
        <w:rPr>
          <w:rFonts w:hint="eastAsia"/>
        </w:rPr>
        <w:t>论文链接：</w:t>
      </w:r>
    </w:p>
    <w:p w14:paraId="45BE459C" w14:textId="0BEDE123" w:rsidR="000D21FE" w:rsidRDefault="000D21FE" w:rsidP="00D678A1">
      <w:hyperlink r:id="rId6" w:history="1">
        <w:r w:rsidRPr="008E1DA4">
          <w:rPr>
            <w:rStyle w:val="a7"/>
          </w:rPr>
          <w:t>https://pubs.rsc.org/en/content/articlelanding/2020/lc/d0lc00793e#!divAbstract</w:t>
        </w:r>
      </w:hyperlink>
    </w:p>
    <w:p w14:paraId="35EF11EA" w14:textId="77777777" w:rsidR="000D21FE" w:rsidRDefault="000D21FE" w:rsidP="00D678A1">
      <w:pPr>
        <w:rPr>
          <w:rFonts w:hint="eastAsia"/>
        </w:rPr>
      </w:pPr>
    </w:p>
    <w:sectPr w:rsidR="000D2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CF038" w14:textId="77777777" w:rsidR="005F2530" w:rsidRDefault="005F2530" w:rsidP="00D678A1">
      <w:r>
        <w:separator/>
      </w:r>
    </w:p>
  </w:endnote>
  <w:endnote w:type="continuationSeparator" w:id="0">
    <w:p w14:paraId="7C0C5DAA" w14:textId="77777777" w:rsidR="005F2530" w:rsidRDefault="005F2530" w:rsidP="00D6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140A4" w14:textId="77777777" w:rsidR="005F2530" w:rsidRDefault="005F2530" w:rsidP="00D678A1">
      <w:r>
        <w:separator/>
      </w:r>
    </w:p>
  </w:footnote>
  <w:footnote w:type="continuationSeparator" w:id="0">
    <w:p w14:paraId="2EB5CD77" w14:textId="77777777" w:rsidR="005F2530" w:rsidRDefault="005F2530" w:rsidP="00D67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F4"/>
    <w:rsid w:val="000D21FE"/>
    <w:rsid w:val="000E1DEA"/>
    <w:rsid w:val="00133A76"/>
    <w:rsid w:val="00555FB0"/>
    <w:rsid w:val="005B592B"/>
    <w:rsid w:val="005D163F"/>
    <w:rsid w:val="005F2530"/>
    <w:rsid w:val="00625234"/>
    <w:rsid w:val="006D1F3B"/>
    <w:rsid w:val="00710CF4"/>
    <w:rsid w:val="00D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5C59"/>
  <w15:chartTrackingRefBased/>
  <w15:docId w15:val="{C8CEB3B4-F416-48DF-B882-A6EADEA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8A1"/>
    <w:rPr>
      <w:sz w:val="18"/>
      <w:szCs w:val="18"/>
    </w:rPr>
  </w:style>
  <w:style w:type="character" w:styleId="a7">
    <w:name w:val="Hyperlink"/>
    <w:basedOn w:val="a0"/>
    <w:uiPriority w:val="99"/>
    <w:unhideWhenUsed/>
    <w:rsid w:val="000D21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09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8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s.rsc.org/en/content/articlelanding/2020/lc/d0lc00793e#!divAbstra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5</cp:revision>
  <dcterms:created xsi:type="dcterms:W3CDTF">2020-12-17T15:51:00Z</dcterms:created>
  <dcterms:modified xsi:type="dcterms:W3CDTF">2020-12-17T18:17:00Z</dcterms:modified>
</cp:coreProperties>
</file>