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CF6A9" w14:textId="6A245F37" w:rsidR="005B592B" w:rsidRDefault="00F4738E" w:rsidP="00F4738E">
      <w:r>
        <w:rPr>
          <w:rFonts w:hint="eastAsia"/>
        </w:rPr>
        <w:t>@</w:t>
      </w:r>
      <w:r>
        <w:rPr>
          <w:rFonts w:hint="eastAsia"/>
        </w:rPr>
        <w:t>瑞典卡罗林斯卡医学院</w:t>
      </w:r>
    </w:p>
    <w:p w14:paraId="2057FA27" w14:textId="1065B1E7" w:rsidR="00F4738E" w:rsidRDefault="00F4738E" w:rsidP="00F4738E"/>
    <w:p w14:paraId="171C041D" w14:textId="2BB13427" w:rsidR="00F4738E" w:rsidRDefault="00F4738E" w:rsidP="00F4738E">
      <w:r>
        <w:t>KTH-</w:t>
      </w:r>
      <w:r>
        <w:t>KI</w:t>
      </w:r>
      <w:r>
        <w:t>联合研究团队</w:t>
      </w:r>
      <w:r>
        <w:rPr>
          <w:rFonts w:hint="eastAsia"/>
        </w:rPr>
        <w:t>发现更多可能在银屑病和湿疹后面的基因</w:t>
      </w:r>
    </w:p>
    <w:p w14:paraId="28D680C3" w14:textId="77777777" w:rsidR="00F4738E" w:rsidRPr="00F4738E" w:rsidRDefault="00F4738E" w:rsidP="00F4738E"/>
    <w:p w14:paraId="48168378" w14:textId="31DA2A07" w:rsidR="00F4738E" w:rsidRDefault="00F4738E" w:rsidP="00F4738E">
      <w:r>
        <w:rPr>
          <w:rFonts w:hint="eastAsia"/>
        </w:rPr>
        <w:t>由</w:t>
      </w:r>
      <w:r>
        <w:t xml:space="preserve">KTH-Karolinska </w:t>
      </w:r>
      <w:proofErr w:type="spellStart"/>
      <w:r>
        <w:t>Institutet</w:t>
      </w:r>
      <w:proofErr w:type="spellEnd"/>
      <w:r>
        <w:rPr>
          <w:rFonts w:hint="eastAsia"/>
        </w:rPr>
        <w:t>（</w:t>
      </w:r>
      <w:r>
        <w:rPr>
          <w:rFonts w:hint="eastAsia"/>
        </w:rPr>
        <w:t>瑞典卡罗林斯卡医学院</w:t>
      </w:r>
      <w:r>
        <w:rPr>
          <w:rFonts w:hint="eastAsia"/>
        </w:rPr>
        <w:t>）</w:t>
      </w:r>
      <w:r>
        <w:t>联合研究团队</w:t>
      </w:r>
      <w:r>
        <w:rPr>
          <w:rFonts w:hint="eastAsia"/>
        </w:rPr>
        <w:t>开展的</w:t>
      </w:r>
      <w:r>
        <w:rPr>
          <w:rFonts w:hint="eastAsia"/>
        </w:rPr>
        <w:t>一项</w:t>
      </w:r>
      <w:r>
        <w:rPr>
          <w:rFonts w:hint="eastAsia"/>
        </w:rPr>
        <w:t>最</w:t>
      </w:r>
      <w:r>
        <w:rPr>
          <w:rFonts w:hint="eastAsia"/>
        </w:rPr>
        <w:t>新研究确定了</w:t>
      </w:r>
      <w:r>
        <w:t>17种新基因，这些新基因可用于治疗牛皮癣和湿疹，这是两种无法治愈的常见遗传性皮肤病。</w:t>
      </w:r>
    </w:p>
    <w:p w14:paraId="22BE6923" w14:textId="77777777" w:rsidR="00F4738E" w:rsidRPr="00F4738E" w:rsidRDefault="00F4738E" w:rsidP="00F4738E"/>
    <w:p w14:paraId="7DD435AF" w14:textId="161252CB" w:rsidR="00F4738E" w:rsidRDefault="00F4738E" w:rsidP="00F4738E">
      <w:proofErr w:type="spellStart"/>
      <w:r>
        <w:t>SciLifeLab</w:t>
      </w:r>
      <w:proofErr w:type="spellEnd"/>
      <w:r>
        <w:t>研究人员和KTH高级讲师</w:t>
      </w:r>
      <w:proofErr w:type="spellStart"/>
      <w:r>
        <w:t>Pelin</w:t>
      </w:r>
      <w:proofErr w:type="spellEnd"/>
      <w:r>
        <w:t xml:space="preserve"> </w:t>
      </w:r>
      <w:proofErr w:type="spellStart"/>
      <w:r>
        <w:t>Sahlén</w:t>
      </w:r>
      <w:proofErr w:type="spellEnd"/>
      <w:r>
        <w:t>说，</w:t>
      </w:r>
      <w:r>
        <w:rPr>
          <w:rFonts w:hint="eastAsia"/>
        </w:rPr>
        <w:t>该</w:t>
      </w:r>
      <w:r>
        <w:t>团队使用研究人员10年前开发的方法绘制了118种与皮肤状况，牛皮癣和特应性皮炎有关的基因靶标。绘制人体不同部位的遗传信息之间的相互作用。</w:t>
      </w:r>
    </w:p>
    <w:p w14:paraId="511C6FD6" w14:textId="77777777" w:rsidR="00F4738E" w:rsidRDefault="00F4738E" w:rsidP="00F4738E"/>
    <w:p w14:paraId="3E6CC5C6" w14:textId="77777777" w:rsidR="00F4738E" w:rsidRDefault="00F4738E" w:rsidP="00F4738E">
      <w:r>
        <w:rPr>
          <w:rFonts w:hint="eastAsia"/>
        </w:rPr>
        <w:t>这项研究的重点是非编码遗传变异体（即不提供任何蛋白质生成说明的</w:t>
      </w:r>
      <w:r>
        <w:t>DNA）所起的作用。约2％的DNA包含在蛋白质编码基因中，其余98％是非编码的。</w:t>
      </w:r>
    </w:p>
    <w:p w14:paraId="6DEC187D" w14:textId="77777777" w:rsidR="00F4738E" w:rsidRDefault="00F4738E" w:rsidP="00F4738E"/>
    <w:p w14:paraId="15747244" w14:textId="77777777" w:rsidR="00F4738E" w:rsidRDefault="00F4738E" w:rsidP="00F4738E">
      <w:proofErr w:type="spellStart"/>
      <w:r>
        <w:t>Sahlén</w:t>
      </w:r>
      <w:proofErr w:type="spellEnd"/>
      <w:r>
        <w:t>说，大多数与复杂疾病有关的变异（97％）是非编码的。 “确定它们调控的基因并不是一项简单的任务。”</w:t>
      </w:r>
    </w:p>
    <w:p w14:paraId="2F50621C" w14:textId="77777777" w:rsidR="00F4738E" w:rsidRDefault="00F4738E" w:rsidP="00F4738E"/>
    <w:p w14:paraId="39D0A9FC" w14:textId="77777777" w:rsidR="00F4738E" w:rsidRDefault="00F4738E" w:rsidP="00F4738E">
      <w:r>
        <w:rPr>
          <w:rFonts w:hint="eastAsia"/>
        </w:rPr>
        <w:t>他们在三维基因组中寻找基因调控序列（称为启动子和增强子）之间的相互作用，这些序列决定了各种组织中活跃的基因。</w:t>
      </w:r>
    </w:p>
    <w:p w14:paraId="1515EBE9" w14:textId="77777777" w:rsidR="00F4738E" w:rsidRDefault="00F4738E" w:rsidP="00F4738E"/>
    <w:p w14:paraId="05080870" w14:textId="77777777" w:rsidR="00F4738E" w:rsidRDefault="00F4738E" w:rsidP="00F4738E">
      <w:r>
        <w:rPr>
          <w:rFonts w:hint="eastAsia"/>
        </w:rPr>
        <w:t>这些序列可以在它们调控的基因之前或之后的</w:t>
      </w:r>
      <w:r>
        <w:t>DNA链上找到。</w:t>
      </w:r>
      <w:proofErr w:type="gramStart"/>
      <w:r>
        <w:t>萨</w:t>
      </w:r>
      <w:proofErr w:type="gramEnd"/>
      <w:r>
        <w:t>伦说：“它们通常与它们调控的基因相去甚远。”通过使用Capture Hi-C（</w:t>
      </w:r>
      <w:proofErr w:type="spellStart"/>
      <w:r>
        <w:t>HiCap</w:t>
      </w:r>
      <w:proofErr w:type="spellEnd"/>
      <w:r>
        <w:t>）方法，我们可以通过检查皮肤基因组的三维结构，将远端基因调控序列与基因连接起来。</w:t>
      </w:r>
    </w:p>
    <w:p w14:paraId="20386C68" w14:textId="77777777" w:rsidR="00F4738E" w:rsidRDefault="00F4738E" w:rsidP="00F4738E"/>
    <w:p w14:paraId="2FA3A2B5" w14:textId="77777777" w:rsidR="00F4738E" w:rsidRDefault="00F4738E" w:rsidP="00F4738E">
      <w:r>
        <w:rPr>
          <w:rFonts w:hint="eastAsia"/>
        </w:rPr>
        <w:t>“这意味着我们对调节基因网络进行定位，以寻找与疾病和生物过程相关的新基因。”</w:t>
      </w:r>
    </w:p>
    <w:p w14:paraId="33A5B3D3" w14:textId="77777777" w:rsidR="00F4738E" w:rsidRDefault="00F4738E" w:rsidP="00F4738E"/>
    <w:p w14:paraId="76F076B9" w14:textId="57FF0339" w:rsidR="00F4738E" w:rsidRDefault="00F4738E" w:rsidP="00F4738E">
      <w:r>
        <w:rPr>
          <w:rFonts w:hint="eastAsia"/>
        </w:rPr>
        <w:t>萨伦（</w:t>
      </w:r>
      <w:proofErr w:type="spellStart"/>
      <w:r>
        <w:t>Sahlén</w:t>
      </w:r>
      <w:proofErr w:type="spellEnd"/>
      <w:r>
        <w:t>）于2015年首次发布了（</w:t>
      </w:r>
      <w:proofErr w:type="spellStart"/>
      <w:r>
        <w:t>HiCap</w:t>
      </w:r>
      <w:proofErr w:type="spellEnd"/>
      <w:r>
        <w:t>）方法。该方法旨在</w:t>
      </w:r>
      <w:proofErr w:type="gramStart"/>
      <w:r>
        <w:t>了解</w:t>
      </w:r>
      <w:r w:rsidRPr="00F4738E">
        <w:rPr>
          <w:b/>
          <w:bCs/>
        </w:rPr>
        <w:t>非</w:t>
      </w:r>
      <w:proofErr w:type="gramEnd"/>
      <w:r w:rsidRPr="00F4738E">
        <w:rPr>
          <w:b/>
          <w:bCs/>
        </w:rPr>
        <w:t>编码基因组</w:t>
      </w:r>
      <w:r>
        <w:t>对生物体生存和健康的贡献。</w:t>
      </w:r>
    </w:p>
    <w:p w14:paraId="02078595" w14:textId="74042CAE" w:rsidR="00F4738E" w:rsidRDefault="00F4738E" w:rsidP="00F4738E"/>
    <w:p w14:paraId="759C47AB" w14:textId="7F0BD54C" w:rsidR="00F4738E" w:rsidRDefault="00F4738E" w:rsidP="00F4738E">
      <w:r>
        <w:rPr>
          <w:rFonts w:hint="eastAsia"/>
        </w:rPr>
        <w:t>这项工作由瑞典研究委员会，瑞典皮肤基金会和</w:t>
      </w:r>
      <w:r w:rsidR="002165A8" w:rsidRPr="002165A8">
        <w:t>Sanofi Genzyme</w:t>
      </w:r>
      <w:r>
        <w:rPr>
          <w:rFonts w:hint="eastAsia"/>
        </w:rPr>
        <w:t>公司提供的</w:t>
      </w:r>
      <w:r>
        <w:t>2型创新资助。</w:t>
      </w:r>
    </w:p>
    <w:p w14:paraId="4838472C" w14:textId="320F3E19" w:rsidR="00F4738E" w:rsidRDefault="00F4738E" w:rsidP="00F4738E"/>
    <w:p w14:paraId="0DCE1A21" w14:textId="0F5CF077" w:rsidR="00F4738E" w:rsidRDefault="00F4738E" w:rsidP="00F4738E">
      <w:r>
        <w:rPr>
          <w:rFonts w:hint="eastAsia"/>
        </w:rPr>
        <w:t>Reference</w:t>
      </w:r>
      <w:r>
        <w:t>:</w:t>
      </w:r>
    </w:p>
    <w:p w14:paraId="7B81C524" w14:textId="6D5A3E04" w:rsidR="00F4738E" w:rsidRDefault="00F4738E" w:rsidP="00F4738E">
      <w:r>
        <w:rPr>
          <w:rFonts w:hint="eastAsia"/>
        </w:rPr>
        <w:t>[</w:t>
      </w:r>
      <w:r>
        <w:t xml:space="preserve">1] </w:t>
      </w:r>
      <w:hyperlink r:id="rId4" w:history="1">
        <w:r w:rsidRPr="00F23063">
          <w:rPr>
            <w:rStyle w:val="a3"/>
          </w:rPr>
          <w:t>https://www.kth.se/en/aktuellt/nyheter/framsteg-i-kampen-mot-psoriasis-och-eksem-1.1023350</w:t>
        </w:r>
      </w:hyperlink>
    </w:p>
    <w:p w14:paraId="309F3652" w14:textId="6C1CA0CD" w:rsidR="00F4738E" w:rsidRDefault="00F4738E" w:rsidP="00F4738E">
      <w:r>
        <w:rPr>
          <w:rFonts w:hint="eastAsia"/>
        </w:rPr>
        <w:t>[</w:t>
      </w:r>
      <w:r>
        <w:t xml:space="preserve">2] </w:t>
      </w:r>
      <w:hyperlink r:id="rId5" w:history="1">
        <w:r w:rsidRPr="00F23063">
          <w:rPr>
            <w:rStyle w:val="a3"/>
          </w:rPr>
          <w:t>https://www.kth.se/gte/research/regulatory-genomics-1.955494</w:t>
        </w:r>
      </w:hyperlink>
    </w:p>
    <w:p w14:paraId="08959E14" w14:textId="019B72C0" w:rsidR="00F4738E" w:rsidRDefault="00F4738E" w:rsidP="00F4738E"/>
    <w:p w14:paraId="438DCE19" w14:textId="54BB269B" w:rsidR="00F4738E" w:rsidRDefault="002165A8" w:rsidP="00F4738E">
      <w:pPr>
        <w:rPr>
          <w:rFonts w:hint="eastAsia"/>
        </w:rPr>
      </w:pPr>
      <w:r>
        <w:rPr>
          <w:rFonts w:hint="eastAsia"/>
        </w:rPr>
        <w:t>与该项最新研究相关的</w:t>
      </w:r>
      <w:r w:rsidR="00F4738E">
        <w:t>KTH</w:t>
      </w:r>
      <w:r w:rsidR="00F4738E">
        <w:rPr>
          <w:rFonts w:hint="eastAsia"/>
        </w:rPr>
        <w:t>硕士项目</w:t>
      </w:r>
      <w:r>
        <w:rPr>
          <w:rFonts w:hint="eastAsia"/>
        </w:rPr>
        <w:t>包括隶属于</w:t>
      </w:r>
      <w:r w:rsidRPr="002165A8">
        <w:rPr>
          <w:rFonts w:hint="eastAsia"/>
        </w:rPr>
        <w:t>化学，生物技术与卫生工程科学学院</w:t>
      </w:r>
      <w:r>
        <w:rPr>
          <w:rFonts w:hint="eastAsia"/>
        </w:rPr>
        <w:t>的以下项目：</w:t>
      </w:r>
    </w:p>
    <w:p w14:paraId="1A99EB66" w14:textId="77777777" w:rsidR="002165A8" w:rsidRDefault="00F4738E" w:rsidP="002165A8">
      <w:r>
        <w:t>Medical Biotechnology</w:t>
      </w:r>
      <w:r w:rsidR="002165A8">
        <w:t xml:space="preserve"> </w:t>
      </w:r>
      <w:r w:rsidR="002165A8">
        <w:rPr>
          <w:rFonts w:hint="eastAsia"/>
        </w:rPr>
        <w:t>医学生物技术</w:t>
      </w:r>
    </w:p>
    <w:p w14:paraId="3A81489D" w14:textId="5B9ED0E9" w:rsidR="00F4738E" w:rsidRPr="002165A8" w:rsidRDefault="00F4738E" w:rsidP="00F4738E">
      <w:pPr>
        <w:rPr>
          <w:rFonts w:hint="eastAsia"/>
        </w:rPr>
      </w:pPr>
      <w:r>
        <w:t>Medical Engineering</w:t>
      </w:r>
      <w:r w:rsidR="002165A8">
        <w:t xml:space="preserve"> </w:t>
      </w:r>
      <w:r w:rsidR="002165A8">
        <w:rPr>
          <w:rFonts w:hint="eastAsia"/>
        </w:rPr>
        <w:t>医学工程</w:t>
      </w:r>
    </w:p>
    <w:p w14:paraId="0CCB7F49" w14:textId="7323C135" w:rsidR="00F4738E" w:rsidRDefault="00F4738E" w:rsidP="00F4738E">
      <w:pPr>
        <w:rPr>
          <w:rFonts w:hint="eastAsia"/>
        </w:rPr>
      </w:pPr>
      <w:r>
        <w:t>Molecular Science and Engineering</w:t>
      </w:r>
      <w:r w:rsidR="002165A8">
        <w:t xml:space="preserve"> </w:t>
      </w:r>
      <w:r w:rsidR="002165A8">
        <w:rPr>
          <w:rFonts w:hint="eastAsia"/>
        </w:rPr>
        <w:t>分子科学与工程</w:t>
      </w:r>
    </w:p>
    <w:p w14:paraId="413171E1" w14:textId="69B83A3B" w:rsidR="00F4738E" w:rsidRPr="002165A8" w:rsidRDefault="00F4738E" w:rsidP="00F4738E">
      <w:pPr>
        <w:rPr>
          <w:rFonts w:hint="eastAsia"/>
        </w:rPr>
      </w:pPr>
      <w:r>
        <w:t>Molecular Techniques in Life Science (Joint)</w:t>
      </w:r>
      <w:r w:rsidR="002165A8">
        <w:t xml:space="preserve"> </w:t>
      </w:r>
      <w:r w:rsidR="002165A8">
        <w:rPr>
          <w:rFonts w:hint="eastAsia"/>
        </w:rPr>
        <w:t>生命科学中的分子技术（联合）</w:t>
      </w:r>
    </w:p>
    <w:p w14:paraId="15979F52" w14:textId="4E8B78A9" w:rsidR="002165A8" w:rsidRDefault="002165A8" w:rsidP="00F4738E">
      <w:r>
        <w:rPr>
          <w:rFonts w:hint="eastAsia"/>
        </w:rPr>
        <w:t>申请详情请戳：</w:t>
      </w:r>
      <w:hyperlink r:id="rId6" w:history="1">
        <w:r w:rsidRPr="00F23063">
          <w:rPr>
            <w:rStyle w:val="a3"/>
          </w:rPr>
          <w:t>https://www.kth.se/en/studies/master/master-s-programmes-1.8311</w:t>
        </w:r>
      </w:hyperlink>
    </w:p>
    <w:p w14:paraId="4A89E6E2" w14:textId="77777777" w:rsidR="002165A8" w:rsidRPr="002165A8" w:rsidRDefault="002165A8" w:rsidP="00F4738E">
      <w:pPr>
        <w:rPr>
          <w:rFonts w:hint="eastAsia"/>
        </w:rPr>
      </w:pPr>
    </w:p>
    <w:sectPr w:rsidR="002165A8" w:rsidRPr="00216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88"/>
    <w:rsid w:val="00133A76"/>
    <w:rsid w:val="001E7188"/>
    <w:rsid w:val="002165A8"/>
    <w:rsid w:val="005B592B"/>
    <w:rsid w:val="006D1F3B"/>
    <w:rsid w:val="00F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7820"/>
  <w15:chartTrackingRefBased/>
  <w15:docId w15:val="{E251932B-6943-40C4-8C91-EEA16FEB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3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th.se/en/studies/master/master-s-programmes-1.8311" TargetMode="External"/><Relationship Id="rId5" Type="http://schemas.openxmlformats.org/officeDocument/2006/relationships/hyperlink" Target="https://www.kth.se/gte/research/regulatory-genomics-1.955494" TargetMode="External"/><Relationship Id="rId4" Type="http://schemas.openxmlformats.org/officeDocument/2006/relationships/hyperlink" Target="https://www.kth.se/en/aktuellt/nyheter/framsteg-i-kampen-mot-psoriasis-och-eksem-1.10233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2020-10-29T18:38:00Z</dcterms:created>
  <dcterms:modified xsi:type="dcterms:W3CDTF">2020-10-29T19:04:00Z</dcterms:modified>
</cp:coreProperties>
</file>