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p>
    <w:p>
      <w:pPr>
        <w:spacing w:after="40"/>
        <w:jc w:val="center"/>
      </w:pPr>
      <w:r>
        <w:rPr>
          <w:rFonts w:ascii="Calibri" w:hAnsi="Calibri"/>
          <w:b/>
          <w:i w:val="0"/>
          <w:color w:val="1F3864"/>
          <w:sz w:val="32"/>
        </w:rPr>
        <w:t>BRIDGE TECHNOLOGIES SOLUTIONS (BTS)</w:t>
      </w:r>
    </w:p>
    <w:p>
      <w:pPr>
        <w:spacing w:after="600"/>
        <w:jc w:val="center"/>
      </w:pPr>
      <w:r>
        <w:rPr>
          <w:rFonts w:ascii="Calibri" w:hAnsi="Calibri"/>
          <w:b w:val="0"/>
          <w:i w:val="0"/>
          <w:color w:val="2E75B6"/>
          <w:sz w:val="22"/>
        </w:rPr>
        <w:t>Douala, Cameroun  ·  Département Informatique</w:t>
      </w:r>
    </w:p>
    <w:p>
      <w:pPr>
        <w:pBdr>
          <w:bottom w:val="single" w:sz="6" w:space="1" w:color="2E75B6"/>
        </w:pBdr>
        <w:spacing w:after="120"/>
      </w:pPr>
    </w:p>
    <w:p>
      <w:pPr>
        <w:spacing w:after="200"/>
      </w:pPr>
    </w:p>
    <w:p>
      <w:pPr>
        <w:spacing w:after="160"/>
        <w:jc w:val="center"/>
      </w:pPr>
      <w:r>
        <w:rPr>
          <w:rFonts w:ascii="Calibri" w:hAnsi="Calibri"/>
          <w:b/>
          <w:i w:val="0"/>
          <w:color w:val="1F3864"/>
          <w:sz w:val="40"/>
        </w:rPr>
        <w:t>NOTE TECHNIQUE</w:t>
      </w:r>
    </w:p>
    <w:p>
      <w:pPr>
        <w:spacing w:after="600"/>
        <w:jc w:val="center"/>
      </w:pPr>
      <w:r>
        <w:rPr>
          <w:rFonts w:ascii="Calibri" w:hAnsi="Calibri"/>
          <w:b/>
          <w:i w:val="0"/>
          <w:color w:val="2E75B6"/>
          <w:sz w:val="28"/>
        </w:rPr>
        <w:t>Choix de la solution de stockage des sauvegardes</w:t>
        <w:br/>
        <w:t>de la base de données InvoiceHub v2.0</w:t>
      </w:r>
    </w:p>
    <w:p>
      <w:pPr>
        <w:pBdr>
          <w:bottom w:val="single" w:sz="6" w:space="1" w:color="2E75B6"/>
        </w:pBdr>
        <w:spacing w:after="120"/>
      </w:pPr>
    </w:p>
    <w:p>
      <w:pPr>
        <w:spacing w:after="200"/>
      </w:pPr>
    </w:p>
    <w:tbl>
      <w:tblPr>
        <w:tblW w:type="auto" w:w="0"/>
        <w:jc w:val="center"/>
        <w:tblLook w:firstColumn="1" w:firstRow="1" w:lastColumn="0" w:lastRow="0" w:noHBand="0" w:noVBand="1" w:val="04A0"/>
      </w:tblPr>
      <w:tblGrid>
        <w:gridCol w:w="4419"/>
        <w:gridCol w:w="4419"/>
      </w:tblGrid>
      <w:tr>
        <w:tc>
          <w:tcPr>
            <w:tcW w:type="dxa" w:w="2268"/>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DEEAF1"/>
          </w:tcPr>
          <w:p>
            <w:pPr>
              <w:spacing w:before="60" w:after="60"/>
            </w:pPr>
            <w:r>
              <w:rPr>
                <w:rFonts w:ascii="Calibri" w:hAnsi="Calibri"/>
                <w:b/>
                <w:i w:val="0"/>
                <w:color w:val="1F3864"/>
                <w:sz w:val="20"/>
              </w:rPr>
              <w:t>Projet</w:t>
            </w:r>
          </w:p>
        </w:tc>
        <w:tc>
          <w:tcPr>
            <w:tcW w:type="dxa" w:w="6803"/>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before="60" w:after="60"/>
            </w:pPr>
            <w:r>
              <w:rPr>
                <w:rFonts w:ascii="Calibri" w:hAnsi="Calibri"/>
                <w:b w:val="0"/>
                <w:i w:val="0"/>
                <w:color w:val="000000"/>
                <w:sz w:val="20"/>
              </w:rPr>
              <w:t>InvoiceHub v2.0 — Plateforme de facturation d'entreprise</w:t>
            </w:r>
          </w:p>
        </w:tc>
      </w:tr>
      <w:tr>
        <w:tc>
          <w:tcPr>
            <w:tcW w:type="dxa" w:w="2268"/>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DEEAF1"/>
          </w:tcPr>
          <w:p>
            <w:pPr>
              <w:spacing w:before="60" w:after="60"/>
            </w:pPr>
            <w:r>
              <w:rPr>
                <w:rFonts w:ascii="Calibri" w:hAnsi="Calibri"/>
                <w:b/>
                <w:i w:val="0"/>
                <w:color w:val="1F3864"/>
                <w:sz w:val="20"/>
              </w:rPr>
              <w:t>Objet</w:t>
            </w:r>
          </w:p>
        </w:tc>
        <w:tc>
          <w:tcPr>
            <w:tcW w:type="dxa" w:w="6803"/>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before="60" w:after="60"/>
            </w:pPr>
            <w:r>
              <w:rPr>
                <w:rFonts w:ascii="Calibri" w:hAnsi="Calibri"/>
                <w:b w:val="0"/>
                <w:i w:val="0"/>
                <w:color w:val="000000"/>
                <w:sz w:val="20"/>
              </w:rPr>
              <w:t>Note d'argumentation : Microsoft Azure Blob Storage vs Microsoft OneDrive</w:t>
            </w:r>
          </w:p>
        </w:tc>
      </w:tr>
      <w:tr>
        <w:tc>
          <w:tcPr>
            <w:tcW w:type="dxa" w:w="2268"/>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DEEAF1"/>
          </w:tcPr>
          <w:p>
            <w:pPr>
              <w:spacing w:before="60" w:after="60"/>
            </w:pPr>
            <w:r>
              <w:rPr>
                <w:rFonts w:ascii="Calibri" w:hAnsi="Calibri"/>
                <w:b/>
                <w:i w:val="0"/>
                <w:color w:val="1F3864"/>
                <w:sz w:val="20"/>
              </w:rPr>
              <w:t>Destinataire</w:t>
            </w:r>
          </w:p>
        </w:tc>
        <w:tc>
          <w:tcPr>
            <w:tcW w:type="dxa" w:w="6803"/>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before="60" w:after="60"/>
            </w:pPr>
            <w:r>
              <w:rPr>
                <w:rFonts w:ascii="Calibri" w:hAnsi="Calibri"/>
                <w:b w:val="0"/>
                <w:i w:val="0"/>
                <w:color w:val="000000"/>
                <w:sz w:val="20"/>
              </w:rPr>
              <w:t>Encadreur académique</w:t>
            </w:r>
          </w:p>
        </w:tc>
      </w:tr>
      <w:tr>
        <w:tc>
          <w:tcPr>
            <w:tcW w:type="dxa" w:w="2268"/>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DEEAF1"/>
          </w:tcPr>
          <w:p>
            <w:pPr>
              <w:spacing w:before="60" w:after="60"/>
            </w:pPr>
            <w:r>
              <w:rPr>
                <w:rFonts w:ascii="Calibri" w:hAnsi="Calibri"/>
                <w:b/>
                <w:i w:val="0"/>
                <w:color w:val="1F3864"/>
                <w:sz w:val="20"/>
              </w:rPr>
              <w:t>Rédigé par</w:t>
            </w:r>
          </w:p>
        </w:tc>
        <w:tc>
          <w:tcPr>
            <w:tcW w:type="dxa" w:w="6803"/>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before="60" w:after="60"/>
            </w:pPr>
            <w:r>
              <w:rPr>
                <w:rFonts w:ascii="Calibri" w:hAnsi="Calibri"/>
                <w:b w:val="0"/>
                <w:i w:val="0"/>
                <w:color w:val="000000"/>
                <w:sz w:val="20"/>
              </w:rPr>
              <w:t>Équipe de développement — Bridge Technologies Solutions</w:t>
            </w:r>
          </w:p>
        </w:tc>
      </w:tr>
      <w:tr>
        <w:tc>
          <w:tcPr>
            <w:tcW w:type="dxa" w:w="2268"/>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DEEAF1"/>
          </w:tcPr>
          <w:p>
            <w:pPr>
              <w:spacing w:before="60" w:after="60"/>
            </w:pPr>
            <w:r>
              <w:rPr>
                <w:rFonts w:ascii="Calibri" w:hAnsi="Calibri"/>
                <w:b/>
                <w:i w:val="0"/>
                <w:color w:val="1F3864"/>
                <w:sz w:val="20"/>
              </w:rPr>
              <w:t>Date</w:t>
            </w:r>
          </w:p>
        </w:tc>
        <w:tc>
          <w:tcPr>
            <w:tcW w:type="dxa" w:w="6803"/>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before="60" w:after="60"/>
            </w:pPr>
            <w:r>
              <w:rPr>
                <w:rFonts w:ascii="Calibri" w:hAnsi="Calibri"/>
                <w:b w:val="0"/>
                <w:i w:val="0"/>
                <w:color w:val="000000"/>
                <w:sz w:val="20"/>
              </w:rPr>
              <w:t>Mars 2026</w:t>
            </w:r>
          </w:p>
        </w:tc>
      </w:tr>
      <w:tr>
        <w:tc>
          <w:tcPr>
            <w:tcW w:type="dxa" w:w="2268"/>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DEEAF1"/>
          </w:tcPr>
          <w:p>
            <w:pPr>
              <w:spacing w:before="60" w:after="60"/>
            </w:pPr>
            <w:r>
              <w:rPr>
                <w:rFonts w:ascii="Calibri" w:hAnsi="Calibri"/>
                <w:b/>
                <w:i w:val="0"/>
                <w:color w:val="1F3864"/>
                <w:sz w:val="20"/>
              </w:rPr>
              <w:t>Version</w:t>
            </w:r>
          </w:p>
        </w:tc>
        <w:tc>
          <w:tcPr>
            <w:tcW w:type="dxa" w:w="6803"/>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spacing w:before="60" w:after="60"/>
            </w:pPr>
            <w:r>
              <w:rPr>
                <w:rFonts w:ascii="Calibri" w:hAnsi="Calibri"/>
                <w:b w:val="0"/>
                <w:i w:val="0"/>
                <w:color w:val="000000"/>
                <w:sz w:val="20"/>
              </w:rPr>
              <w:t>1.0</w:t>
            </w:r>
          </w:p>
        </w:tc>
      </w:tr>
    </w:tbl>
    <w:p/>
    <w:p>
      <w:pPr>
        <w:spacing w:before="320" w:after="120"/>
        <w:ind w:left="227"/>
        <w:jc w:val="left"/>
        <w:pBdr>
          <w:left w:val="single" w:sz="18" w:space="4" w:color="2E75B6"/>
        </w:pBdr>
      </w:pPr>
      <w:r>
        <w:rPr>
          <w:rFonts w:ascii="Calibri" w:hAnsi="Calibri"/>
          <w:b/>
          <w:i w:val="0"/>
          <w:color w:val="1F3864"/>
          <w:sz w:val="28"/>
        </w:rPr>
        <w:t>1.  Contexte et problématique</w:t>
      </w:r>
    </w:p>
    <w:p>
      <w:pPr>
        <w:spacing w:before="0" w:after="160"/>
        <w:jc w:val="both"/>
      </w:pPr>
      <w:r>
        <w:rPr>
          <w:rFonts w:ascii="Calibri" w:hAnsi="Calibri"/>
          <w:b w:val="0"/>
          <w:i w:val="0"/>
          <w:sz w:val="22"/>
        </w:rPr>
        <w:t>Dans le cadre du développement de la plateforme InvoiceHub v2.0 pour Bridge Technologies Solutions (BTS), nous avons conçu et implémenté un module de sauvegarde automatique de la base de données PostgreSQL. Ce module est un composant critique du système, car il garantit la continuité d'activité en cas de défaillance matérielle, d'erreur humaine ou de cyberattaque.</w:t>
      </w:r>
    </w:p>
    <w:p>
      <w:pPr>
        <w:spacing w:before="0" w:after="160"/>
        <w:jc w:val="both"/>
      </w:pPr>
      <w:r>
        <w:rPr>
          <w:rFonts w:ascii="Calibri" w:hAnsi="Calibri"/>
          <w:b w:val="0"/>
          <w:i w:val="0"/>
          <w:sz w:val="22"/>
        </w:rPr>
        <w:t>Le module génère quotidiennement, via un job planifié (cron BullMQ à 00h00 UTC), un export complet de la base de données au format SQL compressé (.sql.gz). Ce fichier est ensuite transmis vers un support de stockage distant sécurisé, indépendant du serveur d'application.</w:t>
      </w:r>
    </w:p>
    <w:tbl>
      <w:tblPr>
        <w:tblW w:type="auto" w:w="0"/>
        <w:jc w:val="left"/>
        <w:tblLook w:firstColumn="1" w:firstRow="1" w:lastColumn="0" w:lastRow="0" w:noHBand="0" w:noVBand="1" w:val="04A0"/>
      </w:tblPr>
      <w:tblGrid>
        <w:gridCol w:w="8838"/>
      </w:tblGrid>
      <w:tr>
        <w:tc>
          <w:tcPr>
            <w:tcW w:type="dxa" w:w="8838"/>
            <w:shd w:val="clear" w:color="auto" w:fill="DEEAF1"/>
            <w:tcBorders>
              <w:top w:val="single" w:sz="18" w:space="0" w:color="2E75B6"/>
              <w:left w:val="single" w:sz="18" w:space="0" w:color="2E75B6"/>
              <w:bottom w:val="single" w:sz="18" w:space="0" w:color="2E75B6"/>
              <w:right w:val="single" w:sz="18" w:space="0" w:color="2E75B6"/>
            </w:tcBorders>
          </w:tcPr>
          <w:p>
            <w:pPr>
              <w:spacing w:before="80" w:after="80"/>
              <w:ind w:left="113" w:right="113"/>
            </w:pPr>
            <w:r>
              <w:rPr>
                <w:rFonts w:ascii="Calibri" w:hAnsi="Calibri"/>
                <w:b/>
                <w:i w:val="0"/>
                <w:color w:val="1F3864"/>
                <w:sz w:val="22"/>
              </w:rPr>
              <w:t xml:space="preserve">Problématique :  </w:t>
            </w:r>
            <w:r>
              <w:rPr>
                <w:rFonts w:ascii="Calibri" w:hAnsi="Calibri"/>
                <w:b w:val="0"/>
                <w:i w:val="0"/>
                <w:color w:val="000000"/>
                <w:sz w:val="22"/>
              </w:rPr>
              <w:t>L'entreprise BTS utilisant déjà Microsoft 365 dans son infrastructure, peut-on utiliser Microsoft OneDrive — déjà inclus dans l'abonnement — comme destination de stockage des sauvegardes, plutôt que de recourir à Microsoft Azure Blob Storage, qui représente un coût supplémentaire ?</w:t>
            </w:r>
          </w:p>
        </w:tc>
      </w:tr>
    </w:tbl>
    <w:p>
      <w:pPr>
        <w:spacing w:after="40"/>
      </w:pPr>
    </w:p>
    <w:p>
      <w:pPr>
        <w:spacing w:before="0" w:after="160"/>
        <w:jc w:val="both"/>
      </w:pPr>
      <w:r>
        <w:rPr>
          <w:rFonts w:ascii="Calibri" w:hAnsi="Calibri"/>
          <w:b w:val="0"/>
          <w:i w:val="0"/>
          <w:sz w:val="22"/>
        </w:rPr>
        <w:t>Cette note présente une analyse technique et économique des deux options et argumente en faveur d'Azure Blob Storage comme solution de stockage des sauvegardes.</w:t>
      </w:r>
    </w:p>
    <w:p>
      <w:pPr>
        <w:spacing w:before="320" w:after="120"/>
        <w:ind w:left="227"/>
        <w:jc w:val="left"/>
        <w:pBdr>
          <w:left w:val="single" w:sz="18" w:space="4" w:color="2E75B6"/>
        </w:pBdr>
      </w:pPr>
      <w:r>
        <w:rPr>
          <w:rFonts w:ascii="Calibri" w:hAnsi="Calibri"/>
          <w:b/>
          <w:i w:val="0"/>
          <w:color w:val="1F3864"/>
          <w:sz w:val="28"/>
        </w:rPr>
        <w:t>2.  Présentation des deux solutions</w:t>
      </w:r>
    </w:p>
    <w:p>
      <w:pPr>
        <w:spacing w:before="200" w:after="80"/>
        <w:jc w:val="left"/>
      </w:pPr>
      <w:r>
        <w:rPr>
          <w:rFonts w:ascii="Calibri" w:hAnsi="Calibri"/>
          <w:b/>
          <w:i w:val="0"/>
          <w:color w:val="2E75B6"/>
          <w:sz w:val="24"/>
        </w:rPr>
        <w:t>2.1  Microsoft OneDrive</w:t>
      </w:r>
    </w:p>
    <w:p>
      <w:pPr>
        <w:spacing w:before="0" w:after="160"/>
        <w:jc w:val="both"/>
      </w:pPr>
      <w:r>
        <w:rPr>
          <w:rFonts w:ascii="Calibri" w:hAnsi="Calibri"/>
          <w:b w:val="0"/>
          <w:i w:val="0"/>
          <w:sz w:val="22"/>
        </w:rPr>
        <w:t>OneDrive est le service de stockage et de synchronisation de fichiers intégré à l'abonnement Microsoft 365. Il est conçu pour permettre aux utilisateurs humains de stocker, partager et consulter leurs documents de travail (fichiers Word, Excel, PDF, images...) depuis n'importe quel appareil connecté à Internet. OneDrive est un service orienté productivité utilisateur.</w:t>
      </w:r>
    </w:p>
    <w:p>
      <w:pPr>
        <w:spacing w:before="0" w:after="160"/>
        <w:jc w:val="both"/>
      </w:pPr>
      <w:r>
        <w:rPr>
          <w:rFonts w:ascii="Calibri" w:hAnsi="Calibri"/>
          <w:b w:val="0"/>
          <w:i w:val="0"/>
          <w:sz w:val="22"/>
        </w:rPr>
        <w:t>Son accès programmatique (depuis une application backend) passe exclusivement par la Microsoft Graph API, qui repose sur le protocole d'authentification OAuth 2.0 — un protocole conçu pour des scénarios impliquant un utilisateur humain et non un serveur autonome.</w:t>
      </w:r>
    </w:p>
    <w:p>
      <w:pPr>
        <w:spacing w:before="200" w:after="80"/>
        <w:jc w:val="left"/>
      </w:pPr>
      <w:r>
        <w:rPr>
          <w:rFonts w:ascii="Calibri" w:hAnsi="Calibri"/>
          <w:b/>
          <w:i w:val="0"/>
          <w:color w:val="2E75B6"/>
          <w:sz w:val="24"/>
        </w:rPr>
        <w:t>2.2  Microsoft Azure Blob Storage</w:t>
      </w:r>
    </w:p>
    <w:p>
      <w:pPr>
        <w:spacing w:before="0" w:after="160"/>
        <w:jc w:val="both"/>
      </w:pPr>
      <w:r>
        <w:rPr>
          <w:rFonts w:ascii="Calibri" w:hAnsi="Calibri"/>
          <w:b w:val="0"/>
          <w:i w:val="0"/>
          <w:sz w:val="22"/>
        </w:rPr>
        <w:t>Azure Blob Storage est le service de stockage d'objets de la plateforme cloud Microsoft Azure. Il est conçu pour le stockage massif et programmatique de données non structurées : fichiers binaires, archives, journaux applicatifs, sauvegardes de bases de données, etc. Il est accessible via une API REST simple, un SDK officiel disponible pour Node.js, Python et d'autres langages, ainsi qu'une chaîne de connexion fixe — sans token OAuth expirant.</w:t>
      </w:r>
    </w:p>
    <w:p>
      <w:pPr>
        <w:spacing w:before="0" w:after="160"/>
        <w:jc w:val="both"/>
      </w:pPr>
      <w:r>
        <w:rPr>
          <w:rFonts w:ascii="Calibri" w:hAnsi="Calibri"/>
          <w:b w:val="0"/>
          <w:i w:val="0"/>
          <w:sz w:val="22"/>
        </w:rPr>
        <w:t>Azure Blob Storage est un service orienté infrastructure et applications, distinct des outils de productivité comme OneDrive ou SharePoint, mais faisant partie du même écosystème Microsoft.</w:t>
      </w:r>
    </w:p>
    <w:p>
      <w:pPr>
        <w:spacing w:before="320" w:after="120"/>
        <w:ind w:left="227"/>
        <w:jc w:val="left"/>
        <w:pBdr>
          <w:left w:val="single" w:sz="18" w:space="4" w:color="2E75B6"/>
        </w:pBdr>
      </w:pPr>
      <w:r>
        <w:rPr>
          <w:rFonts w:ascii="Calibri" w:hAnsi="Calibri"/>
          <w:b/>
          <w:i w:val="0"/>
          <w:color w:val="1F3864"/>
          <w:sz w:val="28"/>
        </w:rPr>
        <w:t>3.  Analyse comparative détaillée</w:t>
      </w:r>
    </w:p>
    <w:p>
      <w:pPr>
        <w:spacing w:before="0" w:after="160"/>
        <w:jc w:val="both"/>
      </w:pPr>
      <w:r>
        <w:rPr>
          <w:rFonts w:ascii="Calibri" w:hAnsi="Calibri"/>
          <w:b w:val="0"/>
          <w:i w:val="0"/>
          <w:sz w:val="22"/>
        </w:rPr>
        <w:t>Le tableau suivant compare les deux solutions sur les critères techniques et opérationnels pertinents pour un module de sauvegarde automatique.</w:t>
      </w:r>
    </w:p>
    <w:tbl>
      <w:tblPr>
        <w:tblW w:type="auto" w:w="0"/>
        <w:jc w:val="left"/>
        <w:tblLook w:firstColumn="1" w:firstRow="1" w:lastColumn="0" w:lastRow="0" w:noHBand="0" w:noVBand="1" w:val="04A0"/>
      </w:tblPr>
      <w:tblGrid>
        <w:gridCol w:w="2946"/>
        <w:gridCol w:w="2946"/>
        <w:gridCol w:w="2946"/>
      </w:tblGrid>
      <w:tr>
        <w:tc>
          <w:tcPr>
            <w:tcW w:type="dxa" w:w="2551"/>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1F3864"/>
          </w:tcPr>
          <w:p>
            <w:pPr>
              <w:spacing w:before="80" w:after="80"/>
              <w:jc w:val="center"/>
            </w:pPr>
            <w:r>
              <w:rPr>
                <w:rFonts w:ascii="Calibri" w:hAnsi="Calibri"/>
                <w:b/>
                <w:i w:val="0"/>
                <w:color w:val="FFFFFF"/>
                <w:sz w:val="20"/>
              </w:rPr>
              <w:t>Critère</w:t>
            </w:r>
          </w:p>
        </w:tc>
        <w:tc>
          <w:tcPr>
            <w:tcW w:type="dxa" w:w="3685"/>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1F3864"/>
          </w:tcPr>
          <w:p>
            <w:pPr>
              <w:spacing w:before="80" w:after="80"/>
              <w:jc w:val="center"/>
            </w:pPr>
            <w:r>
              <w:rPr>
                <w:rFonts w:ascii="Calibri" w:hAnsi="Calibri"/>
                <w:b/>
                <w:i w:val="0"/>
                <w:color w:val="FFFFFF"/>
                <w:sz w:val="20"/>
              </w:rPr>
              <w:t>Microsoft OneDrive</w:t>
            </w:r>
          </w:p>
        </w:tc>
        <w:tc>
          <w:tcPr>
            <w:tcW w:type="dxa" w:w="3685"/>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1F3864"/>
          </w:tcPr>
          <w:p>
            <w:pPr>
              <w:spacing w:before="80" w:after="80"/>
              <w:jc w:val="center"/>
            </w:pPr>
            <w:r>
              <w:rPr>
                <w:rFonts w:ascii="Calibri" w:hAnsi="Calibri"/>
                <w:b/>
                <w:i w:val="0"/>
                <w:color w:val="FFFFFF"/>
                <w:sz w:val="20"/>
              </w:rPr>
              <w:t>Microsoft Azure Blob Storage</w:t>
            </w:r>
          </w:p>
        </w:tc>
      </w:tr>
      <w:tr>
        <w:tc>
          <w:tcPr>
            <w:tcW w:type="dxa" w:w="2551"/>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DEEAF1"/>
          </w:tcPr>
          <w:p>
            <w:pPr>
              <w:spacing w:before="60" w:after="60"/>
            </w:pPr>
            <w:r>
              <w:rPr>
                <w:rFonts w:ascii="Calibri" w:hAnsi="Calibri"/>
                <w:b/>
                <w:i w:val="0"/>
                <w:color w:val="1F3864"/>
                <w:sz w:val="19"/>
              </w:rPr>
              <w:t>Usage principal</w:t>
            </w:r>
          </w:p>
        </w:tc>
        <w:tc>
          <w:tcPr>
            <w:tcW w:type="dxa" w:w="3685"/>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DEEAF1"/>
          </w:tcPr>
          <w:p>
            <w:pPr>
              <w:spacing w:before="60" w:after="60"/>
            </w:pPr>
            <w:r>
              <w:rPr>
                <w:rFonts w:ascii="Calibri" w:hAnsi="Calibri"/>
                <w:b w:val="0"/>
                <w:i w:val="0"/>
                <w:color w:val="000000"/>
                <w:sz w:val="19"/>
              </w:rPr>
              <w:t>Documents et fichiers des utilisateurs (Word, Excel, PDF…)</w:t>
            </w:r>
          </w:p>
        </w:tc>
        <w:tc>
          <w:tcPr>
            <w:tcW w:type="dxa" w:w="3685"/>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DEEAF1"/>
          </w:tcPr>
          <w:p>
            <w:pPr>
              <w:spacing w:before="60" w:after="60"/>
            </w:pPr>
            <w:r>
              <w:rPr>
                <w:rFonts w:ascii="Calibri" w:hAnsi="Calibri"/>
                <w:b w:val="0"/>
                <w:i w:val="0"/>
                <w:color w:val="000000"/>
                <w:sz w:val="19"/>
              </w:rPr>
              <w:t>Stockage technique programmatique (archives, backups, logs…)</w:t>
            </w:r>
          </w:p>
        </w:tc>
      </w:tr>
      <w:tr>
        <w:tc>
          <w:tcPr>
            <w:tcW w:type="dxa" w:w="2551"/>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DEEAF1"/>
          </w:tcPr>
          <w:p>
            <w:pPr>
              <w:spacing w:before="60" w:after="60"/>
            </w:pPr>
            <w:r>
              <w:rPr>
                <w:rFonts w:ascii="Calibri" w:hAnsi="Calibri"/>
                <w:b/>
                <w:i w:val="0"/>
                <w:color w:val="1F3864"/>
                <w:sz w:val="19"/>
              </w:rPr>
              <w:t>Accès depuis une application serveur</w:t>
            </w:r>
          </w:p>
        </w:tc>
        <w:tc>
          <w:tcPr>
            <w:tcW w:type="dxa" w:w="3685"/>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F5FAFF"/>
          </w:tcPr>
          <w:p>
            <w:pPr>
              <w:spacing w:before="60" w:after="60"/>
            </w:pPr>
            <w:r>
              <w:rPr>
                <w:rFonts w:ascii="Calibri" w:hAnsi="Calibri"/>
                <w:b w:val="0"/>
                <w:i w:val="0"/>
                <w:color w:val="000000"/>
                <w:sz w:val="19"/>
              </w:rPr>
              <w:t>⚠  Complexe — nécessite Microsoft Graph API et OAuth 2.0</w:t>
            </w:r>
          </w:p>
        </w:tc>
        <w:tc>
          <w:tcPr>
            <w:tcW w:type="dxa" w:w="3685"/>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F5FAFF"/>
          </w:tcPr>
          <w:p>
            <w:pPr>
              <w:spacing w:before="60" w:after="60"/>
            </w:pPr>
            <w:r>
              <w:rPr>
                <w:rFonts w:ascii="Calibri" w:hAnsi="Calibri"/>
                <w:b w:val="0"/>
                <w:i w:val="0"/>
                <w:color w:val="000000"/>
                <w:sz w:val="19"/>
              </w:rPr>
              <w:t>✔  Simple — chaîne de connexion fixe, SDK officiel Node.js</w:t>
            </w:r>
          </w:p>
        </w:tc>
      </w:tr>
      <w:tr>
        <w:tc>
          <w:tcPr>
            <w:tcW w:type="dxa" w:w="2551"/>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DEEAF1"/>
          </w:tcPr>
          <w:p>
            <w:pPr>
              <w:spacing w:before="60" w:after="60"/>
            </w:pPr>
            <w:r>
              <w:rPr>
                <w:rFonts w:ascii="Calibri" w:hAnsi="Calibri"/>
                <w:b/>
                <w:i w:val="0"/>
                <w:color w:val="1F3864"/>
                <w:sz w:val="19"/>
              </w:rPr>
              <w:t>Authentification automatique</w:t>
            </w:r>
          </w:p>
        </w:tc>
        <w:tc>
          <w:tcPr>
            <w:tcW w:type="dxa" w:w="3685"/>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DEEAF1"/>
          </w:tcPr>
          <w:p>
            <w:pPr>
              <w:spacing w:before="60" w:after="60"/>
            </w:pPr>
            <w:r>
              <w:rPr>
                <w:rFonts w:ascii="Calibri" w:hAnsi="Calibri"/>
                <w:b w:val="0"/>
                <w:i w:val="0"/>
                <w:color w:val="000000"/>
                <w:sz w:val="19"/>
              </w:rPr>
              <w:t>✘  Token OAuth2 expire toutes les heures, renouvellement requis</w:t>
            </w:r>
          </w:p>
        </w:tc>
        <w:tc>
          <w:tcPr>
            <w:tcW w:type="dxa" w:w="3685"/>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DEEAF1"/>
          </w:tcPr>
          <w:p>
            <w:pPr>
              <w:spacing w:before="60" w:after="60"/>
            </w:pPr>
            <w:r>
              <w:rPr>
                <w:rFonts w:ascii="Calibri" w:hAnsi="Calibri"/>
                <w:b w:val="0"/>
                <w:i w:val="0"/>
                <w:color w:val="000000"/>
                <w:sz w:val="19"/>
              </w:rPr>
              <w:t>✔  Clé d'accès permanente, aucune gestion de token</w:t>
            </w:r>
          </w:p>
        </w:tc>
      </w:tr>
      <w:tr>
        <w:tc>
          <w:tcPr>
            <w:tcW w:type="dxa" w:w="2551"/>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DEEAF1"/>
          </w:tcPr>
          <w:p>
            <w:pPr>
              <w:spacing w:before="60" w:after="60"/>
            </w:pPr>
            <w:r>
              <w:rPr>
                <w:rFonts w:ascii="Calibri" w:hAnsi="Calibri"/>
                <w:b/>
                <w:i w:val="0"/>
                <w:color w:val="1F3864"/>
                <w:sz w:val="19"/>
              </w:rPr>
              <w:t>URL de téléchargement sécurisée</w:t>
            </w:r>
          </w:p>
        </w:tc>
        <w:tc>
          <w:tcPr>
            <w:tcW w:type="dxa" w:w="3685"/>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F5FAFF"/>
          </w:tcPr>
          <w:p>
            <w:pPr>
              <w:spacing w:before="60" w:after="60"/>
            </w:pPr>
            <w:r>
              <w:rPr>
                <w:rFonts w:ascii="Calibri" w:hAnsi="Calibri"/>
                <w:b w:val="0"/>
                <w:i w:val="0"/>
                <w:color w:val="000000"/>
                <w:sz w:val="19"/>
              </w:rPr>
              <w:t>✘  Impossible sans authentification Microsoft complète</w:t>
            </w:r>
          </w:p>
        </w:tc>
        <w:tc>
          <w:tcPr>
            <w:tcW w:type="dxa" w:w="3685"/>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F5FAFF"/>
          </w:tcPr>
          <w:p>
            <w:pPr>
              <w:spacing w:before="60" w:after="60"/>
            </w:pPr>
            <w:r>
              <w:rPr>
                <w:rFonts w:ascii="Calibri" w:hAnsi="Calibri"/>
                <w:b w:val="0"/>
                <w:i w:val="0"/>
                <w:color w:val="000000"/>
                <w:sz w:val="19"/>
              </w:rPr>
              <w:t>✔  URL SAS (Shared Access Signature) — durée configurable</w:t>
            </w:r>
          </w:p>
        </w:tc>
      </w:tr>
      <w:tr>
        <w:tc>
          <w:tcPr>
            <w:tcW w:type="dxa" w:w="2551"/>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DEEAF1"/>
          </w:tcPr>
          <w:p>
            <w:pPr>
              <w:spacing w:before="60" w:after="60"/>
            </w:pPr>
            <w:r>
              <w:rPr>
                <w:rFonts w:ascii="Calibri" w:hAnsi="Calibri"/>
                <w:b/>
                <w:i w:val="0"/>
                <w:color w:val="1F3864"/>
                <w:sz w:val="19"/>
              </w:rPr>
              <w:t>Fiabilité pour un cron nocturne</w:t>
            </w:r>
          </w:p>
        </w:tc>
        <w:tc>
          <w:tcPr>
            <w:tcW w:type="dxa" w:w="3685"/>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DEEAF1"/>
          </w:tcPr>
          <w:p>
            <w:pPr>
              <w:spacing w:before="60" w:after="60"/>
            </w:pPr>
            <w:r>
              <w:rPr>
                <w:rFonts w:ascii="Calibri" w:hAnsi="Calibri"/>
                <w:b w:val="0"/>
                <w:i w:val="0"/>
                <w:color w:val="000000"/>
                <w:sz w:val="19"/>
              </w:rPr>
              <w:t>✘  Faible — échec si token expiré entre deux exécutions</w:t>
            </w:r>
          </w:p>
        </w:tc>
        <w:tc>
          <w:tcPr>
            <w:tcW w:type="dxa" w:w="3685"/>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DEEAF1"/>
          </w:tcPr>
          <w:p>
            <w:pPr>
              <w:spacing w:before="60" w:after="60"/>
            </w:pPr>
            <w:r>
              <w:rPr>
                <w:rFonts w:ascii="Calibri" w:hAnsi="Calibri"/>
                <w:b w:val="0"/>
                <w:i w:val="0"/>
                <w:color w:val="000000"/>
                <w:sz w:val="19"/>
              </w:rPr>
              <w:t>✔  Élevée — connexion stateless, aucun état de session</w:t>
            </w:r>
          </w:p>
        </w:tc>
      </w:tr>
      <w:tr>
        <w:tc>
          <w:tcPr>
            <w:tcW w:type="dxa" w:w="2551"/>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DEEAF1"/>
          </w:tcPr>
          <w:p>
            <w:pPr>
              <w:spacing w:before="60" w:after="60"/>
            </w:pPr>
            <w:r>
              <w:rPr>
                <w:rFonts w:ascii="Calibri" w:hAnsi="Calibri"/>
                <w:b/>
                <w:i w:val="0"/>
                <w:color w:val="1F3864"/>
                <w:sz w:val="19"/>
              </w:rPr>
              <w:t>Isolation des données de production</w:t>
            </w:r>
          </w:p>
        </w:tc>
        <w:tc>
          <w:tcPr>
            <w:tcW w:type="dxa" w:w="3685"/>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F5FAFF"/>
          </w:tcPr>
          <w:p>
            <w:pPr>
              <w:spacing w:before="60" w:after="60"/>
            </w:pPr>
            <w:r>
              <w:rPr>
                <w:rFonts w:ascii="Calibri" w:hAnsi="Calibri"/>
                <w:b w:val="0"/>
                <w:i w:val="0"/>
                <w:color w:val="000000"/>
                <w:sz w:val="19"/>
              </w:rPr>
              <w:t>✘  Faible — fichiers visibles dans l'espace OneDrive d'un employé</w:t>
            </w:r>
          </w:p>
        </w:tc>
        <w:tc>
          <w:tcPr>
            <w:tcW w:type="dxa" w:w="3685"/>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F5FAFF"/>
          </w:tcPr>
          <w:p>
            <w:pPr>
              <w:spacing w:before="60" w:after="60"/>
            </w:pPr>
            <w:r>
              <w:rPr>
                <w:rFonts w:ascii="Calibri" w:hAnsi="Calibri"/>
                <w:b w:val="0"/>
                <w:i w:val="0"/>
                <w:color w:val="000000"/>
                <w:sz w:val="19"/>
              </w:rPr>
              <w:t>✔  Forte — conteneur dédié, accès uniquement par clé secrète</w:t>
            </w:r>
          </w:p>
        </w:tc>
      </w:tr>
      <w:tr>
        <w:tc>
          <w:tcPr>
            <w:tcW w:type="dxa" w:w="2551"/>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DEEAF1"/>
          </w:tcPr>
          <w:p>
            <w:pPr>
              <w:spacing w:before="60" w:after="60"/>
            </w:pPr>
            <w:r>
              <w:rPr>
                <w:rFonts w:ascii="Calibri" w:hAnsi="Calibri"/>
                <w:b/>
                <w:i w:val="0"/>
                <w:color w:val="1F3864"/>
                <w:sz w:val="19"/>
              </w:rPr>
              <w:t>Risque lié aux RH</w:t>
            </w:r>
          </w:p>
        </w:tc>
        <w:tc>
          <w:tcPr>
            <w:tcW w:type="dxa" w:w="3685"/>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DEEAF1"/>
          </w:tcPr>
          <w:p>
            <w:pPr>
              <w:spacing w:before="60" w:after="60"/>
            </w:pPr>
            <w:r>
              <w:rPr>
                <w:rFonts w:ascii="Calibri" w:hAnsi="Calibri"/>
                <w:b w:val="0"/>
                <w:i w:val="0"/>
                <w:color w:val="000000"/>
                <w:sz w:val="19"/>
              </w:rPr>
              <w:t>✘  Départ d'un employé → compte désactivé → sauvegardes perdues</w:t>
            </w:r>
          </w:p>
        </w:tc>
        <w:tc>
          <w:tcPr>
            <w:tcW w:type="dxa" w:w="3685"/>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DEEAF1"/>
          </w:tcPr>
          <w:p>
            <w:pPr>
              <w:spacing w:before="60" w:after="60"/>
            </w:pPr>
            <w:r>
              <w:rPr>
                <w:rFonts w:ascii="Calibri" w:hAnsi="Calibri"/>
                <w:b w:val="0"/>
                <w:i w:val="0"/>
                <w:color w:val="000000"/>
                <w:sz w:val="19"/>
              </w:rPr>
              <w:t>✔  Indépendant de tout compte utilisateur</w:t>
            </w:r>
          </w:p>
        </w:tc>
      </w:tr>
      <w:tr>
        <w:tc>
          <w:tcPr>
            <w:tcW w:type="dxa" w:w="2551"/>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DEEAF1"/>
          </w:tcPr>
          <w:p>
            <w:pPr>
              <w:spacing w:before="60" w:after="60"/>
            </w:pPr>
            <w:r>
              <w:rPr>
                <w:rFonts w:ascii="Calibri" w:hAnsi="Calibri"/>
                <w:b/>
                <w:i w:val="0"/>
                <w:color w:val="1F3864"/>
                <w:sz w:val="19"/>
              </w:rPr>
              <w:t>Capacité de stockage</w:t>
            </w:r>
          </w:p>
        </w:tc>
        <w:tc>
          <w:tcPr>
            <w:tcW w:type="dxa" w:w="3685"/>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F5FAFF"/>
          </w:tcPr>
          <w:p>
            <w:pPr>
              <w:spacing w:before="60" w:after="60"/>
            </w:pPr>
            <w:r>
              <w:rPr>
                <w:rFonts w:ascii="Calibri" w:hAnsi="Calibri"/>
                <w:b w:val="0"/>
                <w:i w:val="0"/>
                <w:color w:val="000000"/>
                <w:sz w:val="19"/>
              </w:rPr>
              <w:t>1 To par utilisateur M365 (partagé avec les fichiers personnels)</w:t>
            </w:r>
          </w:p>
        </w:tc>
        <w:tc>
          <w:tcPr>
            <w:tcW w:type="dxa" w:w="3685"/>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F5FAFF"/>
          </w:tcPr>
          <w:p>
            <w:pPr>
              <w:spacing w:before="60" w:after="60"/>
            </w:pPr>
            <w:r>
              <w:rPr>
                <w:rFonts w:ascii="Calibri" w:hAnsi="Calibri"/>
                <w:b w:val="0"/>
                <w:i w:val="0"/>
                <w:color w:val="000000"/>
                <w:sz w:val="19"/>
              </w:rPr>
              <w:t>Illimitée (facturation à l'usage : ~0,018 €/Go/mois)</w:t>
            </w:r>
          </w:p>
        </w:tc>
      </w:tr>
      <w:tr>
        <w:tc>
          <w:tcPr>
            <w:tcW w:type="dxa" w:w="2551"/>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DEEAF1"/>
          </w:tcPr>
          <w:p>
            <w:pPr>
              <w:spacing w:before="60" w:after="60"/>
            </w:pPr>
            <w:r>
              <w:rPr>
                <w:rFonts w:ascii="Calibri" w:hAnsi="Calibri"/>
                <w:b/>
                <w:i w:val="0"/>
                <w:color w:val="1F3864"/>
                <w:sz w:val="19"/>
              </w:rPr>
              <w:t>Coût</w:t>
            </w:r>
          </w:p>
        </w:tc>
        <w:tc>
          <w:tcPr>
            <w:tcW w:type="dxa" w:w="3685"/>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DEEAF1"/>
          </w:tcPr>
          <w:p>
            <w:pPr>
              <w:spacing w:before="60" w:after="60"/>
            </w:pPr>
            <w:r>
              <w:rPr>
                <w:rFonts w:ascii="Calibri" w:hAnsi="Calibri"/>
                <w:b w:val="0"/>
                <w:i w:val="0"/>
                <w:color w:val="000000"/>
                <w:sz w:val="19"/>
              </w:rPr>
              <w:t>✔  Inclus dans l'abonnement Microsoft 365</w:t>
            </w:r>
          </w:p>
        </w:tc>
        <w:tc>
          <w:tcPr>
            <w:tcW w:type="dxa" w:w="3685"/>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DEEAF1"/>
          </w:tcPr>
          <w:p>
            <w:pPr>
              <w:spacing w:before="60" w:after="60"/>
            </w:pPr>
            <w:r>
              <w:rPr>
                <w:rFonts w:ascii="Calibri" w:hAnsi="Calibri"/>
                <w:b w:val="0"/>
                <w:i w:val="0"/>
                <w:color w:val="000000"/>
                <w:sz w:val="19"/>
              </w:rPr>
              <w:t>⚠  Surcout estimé : 1 à 3 € / mois</w:t>
            </w:r>
          </w:p>
        </w:tc>
      </w:tr>
      <w:tr>
        <w:tc>
          <w:tcPr>
            <w:tcW w:type="dxa" w:w="2551"/>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DEEAF1"/>
          </w:tcPr>
          <w:p>
            <w:pPr>
              <w:spacing w:before="60" w:after="60"/>
            </w:pPr>
            <w:r>
              <w:rPr>
                <w:rFonts w:ascii="Calibri" w:hAnsi="Calibri"/>
                <w:b/>
                <w:i w:val="0"/>
                <w:color w:val="1F3864"/>
                <w:sz w:val="19"/>
              </w:rPr>
              <w:t>Complexité d'implémentation</w:t>
            </w:r>
          </w:p>
        </w:tc>
        <w:tc>
          <w:tcPr>
            <w:tcW w:type="dxa" w:w="3685"/>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F5FAFF"/>
          </w:tcPr>
          <w:p>
            <w:pPr>
              <w:spacing w:before="60" w:after="60"/>
            </w:pPr>
            <w:r>
              <w:rPr>
                <w:rFonts w:ascii="Calibri" w:hAnsi="Calibri"/>
                <w:b w:val="0"/>
                <w:i w:val="0"/>
                <w:color w:val="000000"/>
                <w:sz w:val="19"/>
              </w:rPr>
              <w:t>✘  Élevée — enregistrement Azure AD, OAuth2, gestion des tokens</w:t>
            </w:r>
          </w:p>
        </w:tc>
        <w:tc>
          <w:tcPr>
            <w:tcW w:type="dxa" w:w="3685"/>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F5FAFF"/>
          </w:tcPr>
          <w:p>
            <w:pPr>
              <w:spacing w:before="60" w:after="60"/>
            </w:pPr>
            <w:r>
              <w:rPr>
                <w:rFonts w:ascii="Calibri" w:hAnsi="Calibri"/>
                <w:b w:val="0"/>
                <w:i w:val="0"/>
                <w:color w:val="000000"/>
                <w:sz w:val="19"/>
              </w:rPr>
              <w:t>✔  Faible — copier la chaîne de connexion dans le fichier .env</w:t>
            </w:r>
          </w:p>
        </w:tc>
      </w:tr>
      <w:tr>
        <w:tc>
          <w:tcPr>
            <w:tcW w:type="dxa" w:w="2551"/>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DEEAF1"/>
          </w:tcPr>
          <w:p>
            <w:pPr>
              <w:spacing w:before="60" w:after="60"/>
            </w:pPr>
            <w:r>
              <w:rPr>
                <w:rFonts w:ascii="Calibri" w:hAnsi="Calibri"/>
                <w:b/>
                <w:i w:val="0"/>
                <w:color w:val="1F3864"/>
                <w:sz w:val="19"/>
              </w:rPr>
              <w:t>Intégration écosystème Microsoft</w:t>
            </w:r>
          </w:p>
        </w:tc>
        <w:tc>
          <w:tcPr>
            <w:tcW w:type="dxa" w:w="3685"/>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DEEAF1"/>
          </w:tcPr>
          <w:p>
            <w:pPr>
              <w:spacing w:before="60" w:after="60"/>
            </w:pPr>
            <w:r>
              <w:rPr>
                <w:rFonts w:ascii="Calibri" w:hAnsi="Calibri"/>
                <w:b w:val="0"/>
                <w:i w:val="0"/>
                <w:color w:val="000000"/>
                <w:sz w:val="19"/>
              </w:rPr>
              <w:t>✔  Native (M365)</w:t>
            </w:r>
          </w:p>
        </w:tc>
        <w:tc>
          <w:tcPr>
            <w:tcW w:type="dxa" w:w="3685"/>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DEEAF1"/>
          </w:tcPr>
          <w:p>
            <w:pPr>
              <w:spacing w:before="60" w:after="60"/>
            </w:pPr>
            <w:r>
              <w:rPr>
                <w:rFonts w:ascii="Calibri" w:hAnsi="Calibri"/>
                <w:b w:val="0"/>
                <w:i w:val="0"/>
                <w:color w:val="000000"/>
                <w:sz w:val="19"/>
              </w:rPr>
              <w:t>✔  Native — même compte Microsoft, même portail Azure</w:t>
            </w:r>
          </w:p>
        </w:tc>
      </w:tr>
      <w:tr>
        <w:tc>
          <w:tcPr>
            <w:tcW w:type="dxa" w:w="2551"/>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DEEAF1"/>
          </w:tcPr>
          <w:p>
            <w:pPr>
              <w:spacing w:before="60" w:after="60"/>
            </w:pPr>
            <w:r>
              <w:rPr>
                <w:rFonts w:ascii="Calibri" w:hAnsi="Calibri"/>
                <w:b/>
                <w:i w:val="0"/>
                <w:color w:val="1F3864"/>
                <w:sz w:val="19"/>
              </w:rPr>
              <w:t>Géo-redondance</w:t>
            </w:r>
          </w:p>
        </w:tc>
        <w:tc>
          <w:tcPr>
            <w:tcW w:type="dxa" w:w="3685"/>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F5FAFF"/>
          </w:tcPr>
          <w:p>
            <w:pPr>
              <w:spacing w:before="60" w:after="60"/>
            </w:pPr>
            <w:r>
              <w:rPr>
                <w:rFonts w:ascii="Calibri" w:hAnsi="Calibri"/>
                <w:b w:val="0"/>
                <w:i w:val="0"/>
                <w:color w:val="000000"/>
                <w:sz w:val="19"/>
              </w:rPr>
              <w:t>Selon le plan M365</w:t>
            </w:r>
          </w:p>
        </w:tc>
        <w:tc>
          <w:tcPr>
            <w:tcW w:type="dxa" w:w="3685"/>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F5FAFF"/>
          </w:tcPr>
          <w:p>
            <w:pPr>
              <w:spacing w:before="60" w:after="60"/>
            </w:pPr>
            <w:r>
              <w:rPr>
                <w:rFonts w:ascii="Calibri" w:hAnsi="Calibri"/>
                <w:b w:val="0"/>
                <w:i w:val="0"/>
                <w:color w:val="000000"/>
                <w:sz w:val="19"/>
              </w:rPr>
              <w:t>Configurable : LRS, ZRS, GRS (réplication multi-régions)</w:t>
            </w:r>
          </w:p>
        </w:tc>
      </w:tr>
    </w:tbl>
    <w:p/>
    <w:p>
      <w:pPr>
        <w:spacing w:before="320" w:after="120"/>
        <w:ind w:left="227"/>
        <w:jc w:val="left"/>
        <w:pBdr>
          <w:left w:val="single" w:sz="18" w:space="4" w:color="2E75B6"/>
        </w:pBdr>
      </w:pPr>
      <w:r>
        <w:rPr>
          <w:rFonts w:ascii="Calibri" w:hAnsi="Calibri"/>
          <w:b/>
          <w:i w:val="0"/>
          <w:color w:val="1F3864"/>
          <w:sz w:val="28"/>
        </w:rPr>
        <w:t>4.  Arguments techniques détaillés</w:t>
      </w:r>
    </w:p>
    <w:p>
      <w:pPr>
        <w:spacing w:before="200" w:after="80"/>
        <w:jc w:val="left"/>
      </w:pPr>
      <w:r>
        <w:rPr>
          <w:rFonts w:ascii="Calibri" w:hAnsi="Calibri"/>
          <w:b/>
          <w:i w:val="0"/>
          <w:color w:val="2E75B6"/>
          <w:sz w:val="24"/>
        </w:rPr>
        <w:t>4.1  Le problème fondamental de l'authentification OneDrive</w:t>
      </w:r>
    </w:p>
    <w:p>
      <w:pPr>
        <w:spacing w:before="0" w:after="160"/>
        <w:jc w:val="both"/>
      </w:pPr>
      <w:r>
        <w:rPr>
          <w:rFonts w:ascii="Calibri" w:hAnsi="Calibri"/>
          <w:b w:val="0"/>
          <w:i w:val="0"/>
          <w:sz w:val="22"/>
        </w:rPr>
        <w:t>OneDrive ne propose pas d'API simple pour les applications serveur. Tout accès programmatique passe obligatoirement par la Microsoft Graph API, qui repose sur OAuth 2.0 — un protocole initialement conçu pour des scénarios où un utilisateur humain autorise une application à agir en son nom.</w:t>
      </w:r>
    </w:p>
    <w:p>
      <w:pPr>
        <w:spacing w:before="0" w:after="160"/>
        <w:jc w:val="both"/>
      </w:pPr>
      <w:r>
        <w:rPr>
          <w:rFonts w:ascii="Calibri" w:hAnsi="Calibri"/>
          <w:b w:val="0"/>
          <w:i w:val="0"/>
          <w:sz w:val="22"/>
        </w:rPr>
        <w:t>Pour un processus automatisé sans intervention humaine (comme un job cron nocturne), il faut utiliser le flux « Client Credentials » d'OAuth 2.0, qui exige :</w:t>
      </w:r>
    </w:p>
    <w:p>
      <w:pPr>
        <w:pStyle w:val="ListBullet"/>
        <w:spacing w:after="60"/>
        <w:ind w:left="567"/>
      </w:pPr>
      <w:r>
        <w:rPr>
          <w:rFonts w:ascii="Calibri" w:hAnsi="Calibri"/>
          <w:b w:val="0"/>
          <w:i w:val="0"/>
          <w:color w:val="000000"/>
          <w:sz w:val="22"/>
        </w:rPr>
        <w:t>L'enregistrement d'une application dans Azure Active Directory (AAD)</w:t>
      </w:r>
    </w:p>
    <w:p>
      <w:pPr>
        <w:pStyle w:val="ListBullet"/>
        <w:spacing w:after="60"/>
        <w:ind w:left="567"/>
      </w:pPr>
      <w:r>
        <w:rPr>
          <w:rFonts w:ascii="Calibri" w:hAnsi="Calibri"/>
          <w:b w:val="0"/>
          <w:i w:val="0"/>
          <w:color w:val="000000"/>
          <w:sz w:val="22"/>
        </w:rPr>
        <w:t>L'attribution de droits Files.ReadWrite.All au niveau de toute l'organisation</w:t>
      </w:r>
    </w:p>
    <w:p>
      <w:pPr>
        <w:pStyle w:val="ListBullet"/>
        <w:spacing w:after="60"/>
        <w:ind w:left="567"/>
      </w:pPr>
      <w:r>
        <w:rPr>
          <w:rFonts w:ascii="Calibri" w:hAnsi="Calibri"/>
          <w:b w:val="0"/>
          <w:i w:val="0"/>
          <w:color w:val="000000"/>
          <w:sz w:val="22"/>
        </w:rPr>
        <w:t>La gestion d'un access token expirant toutes les heures</w:t>
      </w:r>
    </w:p>
    <w:p>
      <w:pPr>
        <w:pStyle w:val="ListBullet"/>
        <w:spacing w:after="60"/>
        <w:ind w:left="567"/>
      </w:pPr>
      <w:r>
        <w:rPr>
          <w:rFonts w:ascii="Calibri" w:hAnsi="Calibri"/>
          <w:b w:val="0"/>
          <w:i w:val="0"/>
          <w:color w:val="000000"/>
          <w:sz w:val="22"/>
        </w:rPr>
        <w:t>Un mécanisme de renouvellement automatique du token avant chaque sauvegarde</w:t>
      </w:r>
    </w:p>
    <w:p>
      <w:pPr>
        <w:pStyle w:val="ListBullet"/>
        <w:spacing w:after="60"/>
        <w:ind w:left="567"/>
      </w:pPr>
      <w:r>
        <w:rPr>
          <w:rFonts w:ascii="Calibri" w:hAnsi="Calibri"/>
          <w:b w:val="0"/>
          <w:i w:val="0"/>
          <w:color w:val="000000"/>
          <w:sz w:val="22"/>
        </w:rPr>
        <w:t>Un stockage sécurisé du client_secret de l'application AAD</w:t>
      </w:r>
    </w:p>
    <w:p>
      <w:pPr>
        <w:spacing w:before="0" w:after="160"/>
        <w:jc w:val="both"/>
      </w:pPr>
      <w:r>
        <w:rPr>
          <w:rFonts w:ascii="Calibri" w:hAnsi="Calibri"/>
          <w:b w:val="0"/>
          <w:i w:val="0"/>
          <w:sz w:val="22"/>
        </w:rPr>
      </w:r>
    </w:p>
    <w:tbl>
      <w:tblPr>
        <w:tblW w:type="auto" w:w="0"/>
        <w:jc w:val="left"/>
        <w:tblLook w:firstColumn="1" w:firstRow="1" w:lastColumn="0" w:lastRow="0" w:noHBand="0" w:noVBand="1" w:val="04A0"/>
      </w:tblPr>
      <w:tblGrid>
        <w:gridCol w:w="8838"/>
      </w:tblGrid>
      <w:tr>
        <w:tc>
          <w:tcPr>
            <w:tcW w:type="dxa" w:w="8838"/>
            <w:shd w:val="clear" w:color="auto" w:fill="FFF2CC"/>
            <w:tcBorders>
              <w:top w:val="single" w:sz="18" w:space="0" w:color="BF8F00"/>
              <w:left w:val="single" w:sz="18" w:space="0" w:color="BF8F00"/>
              <w:bottom w:val="single" w:sz="18" w:space="0" w:color="BF8F00"/>
              <w:right w:val="single" w:sz="18" w:space="0" w:color="BF8F00"/>
            </w:tcBorders>
          </w:tcPr>
          <w:p>
            <w:pPr>
              <w:spacing w:before="80" w:after="80"/>
              <w:ind w:left="113" w:right="113"/>
            </w:pPr>
            <w:r>
              <w:rPr>
                <w:rFonts w:ascii="Calibri" w:hAnsi="Calibri"/>
                <w:b/>
                <w:i w:val="0"/>
                <w:color w:val="1F3864"/>
                <w:sz w:val="22"/>
              </w:rPr>
              <w:t xml:space="preserve">Conséquence critique :  </w:t>
            </w:r>
            <w:r>
              <w:rPr>
                <w:rFonts w:ascii="Calibri" w:hAnsi="Calibri"/>
                <w:b w:val="0"/>
                <w:i w:val="0"/>
                <w:color w:val="000000"/>
                <w:sz w:val="22"/>
              </w:rPr>
              <w:t>Si le renouvellement du token échoue (quota Microsoft atteint, révocation administrative, changement de mot de passe M365, expiration du client_secret), toutes les sauvegardes suivantes échoueront silencieusement. Ce scénario pourrait passer inaperçu jusqu'au moment critique où une restauration est nécessaire — et là, les backups seraient absents.</w:t>
            </w:r>
          </w:p>
        </w:tc>
      </w:tr>
    </w:tbl>
    <w:p>
      <w:pPr>
        <w:spacing w:after="40"/>
      </w:pPr>
    </w:p>
    <w:p>
      <w:pPr>
        <w:spacing w:before="200" w:after="80"/>
        <w:jc w:val="left"/>
      </w:pPr>
      <w:r>
        <w:rPr>
          <w:rFonts w:ascii="Calibri" w:hAnsi="Calibri"/>
          <w:b/>
          <w:i w:val="0"/>
          <w:color w:val="2E75B6"/>
          <w:sz w:val="24"/>
        </w:rPr>
        <w:t>4.2  Absence de lien de téléchargement sécurisé temporaire</w:t>
      </w:r>
    </w:p>
    <w:p>
      <w:pPr>
        <w:spacing w:before="0" w:after="160"/>
        <w:jc w:val="both"/>
      </w:pPr>
      <w:r>
        <w:rPr>
          <w:rFonts w:ascii="Calibri" w:hAnsi="Calibri"/>
          <w:b w:val="0"/>
          <w:i w:val="0"/>
          <w:sz w:val="22"/>
        </w:rPr>
        <w:t>L'architecture du module de backup prévoit un endpoint API sécurisé (GET /api/backups/:id/download) qui génère un lien de téléchargement temporaire permettant à l'administrateur de récupérer un fichier de backup sans exposer les clés d'accès dans l'URL.</w:t>
      </w:r>
    </w:p>
    <w:p>
      <w:pPr>
        <w:spacing w:before="0" w:after="160"/>
        <w:jc w:val="both"/>
      </w:pPr>
      <w:r>
        <w:rPr>
          <w:rFonts w:ascii="Calibri" w:hAnsi="Calibri"/>
          <w:b w:val="0"/>
          <w:i w:val="0"/>
          <w:sz w:val="22"/>
        </w:rPr>
        <w:t>Azure Blob Storage supporte nativement les Shared Access Signature (SAS) : des URLs signées cryptographiquement, valides pour une durée limitée (5 minutes dans notre implémentation), après quoi elles expirent automatiquement. Ce mécanisme est une fonctionnalité standard d'Azure Blob Storage.</w:t>
      </w:r>
    </w:p>
    <w:p>
      <w:pPr>
        <w:spacing w:before="0" w:after="160"/>
        <w:jc w:val="both"/>
      </w:pPr>
      <w:r>
        <w:rPr>
          <w:rFonts w:ascii="Calibri" w:hAnsi="Calibri"/>
          <w:b w:val="0"/>
          <w:i w:val="0"/>
          <w:sz w:val="22"/>
        </w:rPr>
        <w:t>OneDrive ne propose pas d'équivalent fonctionnel : un lien de partage OneDrive est soit permanent, soit nécessite une authentification Microsoft complète pour être utilisé. Cette contrainte est incompatible avec notre architecture API.</w:t>
      </w:r>
    </w:p>
    <w:p>
      <w:pPr>
        <w:spacing w:before="200" w:after="80"/>
        <w:jc w:val="left"/>
      </w:pPr>
      <w:r>
        <w:rPr>
          <w:rFonts w:ascii="Calibri" w:hAnsi="Calibri"/>
          <w:b/>
          <w:i w:val="0"/>
          <w:color w:val="2E75B6"/>
          <w:sz w:val="24"/>
        </w:rPr>
        <w:t>4.3  Sécurité et isolation des données sensibles</w:t>
      </w:r>
    </w:p>
    <w:p>
      <w:pPr>
        <w:spacing w:before="0" w:after="160"/>
        <w:jc w:val="both"/>
      </w:pPr>
      <w:r>
        <w:rPr>
          <w:rFonts w:ascii="Calibri" w:hAnsi="Calibri"/>
          <w:b w:val="0"/>
          <w:i w:val="0"/>
          <w:sz w:val="22"/>
        </w:rPr>
        <w:t>Les fichiers de sauvegarde contiennent l'intégralité des données de production de l'entreprise (clients, factures, paiements). Leur stockage doit répondre à des exigences strictes d'isolation et de contrôle d'accès.</w:t>
      </w:r>
    </w:p>
    <w:p>
      <w:pPr>
        <w:spacing w:before="0" w:after="160"/>
        <w:jc w:val="both"/>
      </w:pPr>
      <w:r>
        <w:rPr>
          <w:rFonts w:ascii="Calibri" w:hAnsi="Calibri"/>
          <w:b w:val="0"/>
          <w:i w:val="0"/>
          <w:sz w:val="22"/>
        </w:rPr>
        <w:t>Stocker ces backups dans OneDrive pose les problèmes de sécurité suivants :</w:t>
      </w:r>
    </w:p>
    <w:p>
      <w:pPr>
        <w:pStyle w:val="ListBullet"/>
        <w:spacing w:after="60"/>
        <w:ind w:left="567"/>
      </w:pPr>
      <w:r>
        <w:rPr>
          <w:rFonts w:ascii="Calibri" w:hAnsi="Calibri"/>
          <w:b w:val="0"/>
          <w:i w:val="0"/>
          <w:color w:val="000000"/>
          <w:sz w:val="22"/>
        </w:rPr>
        <w:t>Les fichiers se trouvent dans l'espace personnel d'un employé, visible et modifiable via l'interface graphique OneDrive</w:t>
      </w:r>
    </w:p>
    <w:p>
      <w:pPr>
        <w:pStyle w:val="ListBullet"/>
        <w:spacing w:after="60"/>
        <w:ind w:left="567"/>
      </w:pPr>
      <w:r>
        <w:rPr>
          <w:rFonts w:ascii="Calibri" w:hAnsi="Calibri"/>
          <w:b w:val="0"/>
          <w:i w:val="0"/>
          <w:color w:val="000000"/>
          <w:sz w:val="22"/>
        </w:rPr>
        <w:t>Un départ ou une suspension du compte de cet employé entraîne la perte ou l'inaccessibilité des sauvegardes</w:t>
      </w:r>
    </w:p>
    <w:p>
      <w:pPr>
        <w:pStyle w:val="ListBullet"/>
        <w:spacing w:after="60"/>
        <w:ind w:left="567"/>
      </w:pPr>
      <w:r>
        <w:rPr>
          <w:rFonts w:ascii="Calibri" w:hAnsi="Calibri"/>
          <w:b w:val="0"/>
          <w:i w:val="0"/>
          <w:color w:val="000000"/>
          <w:sz w:val="22"/>
        </w:rPr>
        <w:t>Les données de production peuvent être partagées accidentellement avec d'autres utilisateurs via la fonction de partage OneDrive</w:t>
      </w:r>
    </w:p>
    <w:p>
      <w:pPr>
        <w:pStyle w:val="ListBullet"/>
        <w:spacing w:after="60"/>
        <w:ind w:left="567"/>
      </w:pPr>
      <w:r>
        <w:rPr>
          <w:rFonts w:ascii="Calibri" w:hAnsi="Calibri"/>
          <w:b w:val="0"/>
          <w:i w:val="0"/>
          <w:color w:val="000000"/>
          <w:sz w:val="22"/>
        </w:rPr>
        <w:t>Les politiques de rétention et de suppression de M365 peuvent affecter les fichiers sans action intentionnelle</w:t>
      </w:r>
    </w:p>
    <w:p>
      <w:pPr>
        <w:spacing w:before="0" w:after="160"/>
        <w:jc w:val="both"/>
      </w:pPr>
      <w:r>
        <w:rPr>
          <w:rFonts w:ascii="Calibri" w:hAnsi="Calibri"/>
          <w:b w:val="0"/>
          <w:i w:val="0"/>
          <w:sz w:val="22"/>
        </w:rPr>
      </w:r>
    </w:p>
    <w:p>
      <w:pPr>
        <w:spacing w:before="0" w:after="160"/>
        <w:jc w:val="both"/>
      </w:pPr>
      <w:r>
        <w:rPr>
          <w:rFonts w:ascii="Calibri" w:hAnsi="Calibri"/>
          <w:b w:val="0"/>
          <w:i w:val="0"/>
          <w:sz w:val="22"/>
        </w:rPr>
        <w:t>Azure Blob Storage isole complètement les sauvegardes dans un conteneur dédié, accessible uniquement par la clé d'accès stockée côté serveur. Aucun utilisateur humain n'y a accès par défaut. Les règles de cycle de vie permettent de configurer la rétention automatique (suppression des backups de plus de 30 jours) sans aucune intervention manuelle.</w:t>
      </w:r>
    </w:p>
    <w:p>
      <w:pPr>
        <w:spacing w:before="320" w:after="120"/>
        <w:ind w:left="227"/>
        <w:jc w:val="left"/>
        <w:pBdr>
          <w:left w:val="single" w:sz="18" w:space="4" w:color="2E75B6"/>
        </w:pBdr>
      </w:pPr>
      <w:r>
        <w:rPr>
          <w:rFonts w:ascii="Calibri" w:hAnsi="Calibri"/>
          <w:b/>
          <w:i w:val="0"/>
          <w:color w:val="1F3864"/>
          <w:sz w:val="28"/>
        </w:rPr>
        <w:t>5.  Analyse économique</w:t>
      </w:r>
    </w:p>
    <w:p>
      <w:pPr>
        <w:spacing w:before="0" w:after="160"/>
        <w:jc w:val="both"/>
      </w:pPr>
      <w:r>
        <w:rPr>
          <w:rFonts w:ascii="Calibri" w:hAnsi="Calibri"/>
          <w:b w:val="0"/>
          <w:i w:val="0"/>
          <w:sz w:val="22"/>
        </w:rPr>
        <w:t>L'argument principal en faveur de OneDrive est son inclusion dans l'abonnement Microsoft 365, ce qui semble éliminer tout coût supplémentaire. Une analyse économique complète nuance fortement cette affirmation.</w:t>
      </w:r>
    </w:p>
    <w:p>
      <w:pPr>
        <w:spacing w:before="200" w:after="80"/>
        <w:jc w:val="left"/>
      </w:pPr>
      <w:r>
        <w:rPr>
          <w:rFonts w:ascii="Calibri" w:hAnsi="Calibri"/>
          <w:b/>
          <w:i w:val="0"/>
          <w:color w:val="2E75B6"/>
          <w:sz w:val="24"/>
        </w:rPr>
        <w:t>5.1  Coût réel d'Azure Blob Storage</w:t>
      </w:r>
    </w:p>
    <w:p>
      <w:pPr>
        <w:spacing w:before="0" w:after="160"/>
        <w:jc w:val="both"/>
      </w:pPr>
      <w:r>
        <w:rPr>
          <w:rFonts w:ascii="Calibri" w:hAnsi="Calibri"/>
          <w:b w:val="0"/>
          <w:i w:val="0"/>
          <w:sz w:val="22"/>
        </w:rPr>
        <w:t>Pour des sauvegardes quotidiennes d'une base de données de taille moyenne (50 Mo à 500 Mo par fichier compressé), et avec une rétention de 30 jours :</w:t>
      </w:r>
    </w:p>
    <w:tbl>
      <w:tblPr>
        <w:tblW w:type="auto" w:w="0"/>
        <w:jc w:val="left"/>
        <w:tblLook w:firstColumn="1" w:firstRow="1" w:lastColumn="0" w:lastRow="0" w:noHBand="0" w:noVBand="1" w:val="04A0"/>
      </w:tblPr>
      <w:tblGrid>
        <w:gridCol w:w="2946"/>
        <w:gridCol w:w="2946"/>
        <w:gridCol w:w="2946"/>
      </w:tblGrid>
      <w:tr>
        <w:tc>
          <w:tcPr>
            <w:tcW w:type="dxa" w:w="2946"/>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1F3864"/>
          </w:tcPr>
          <w:p>
            <w:pPr>
              <w:spacing w:before="60" w:after="60"/>
              <w:jc w:val="center"/>
            </w:pPr>
            <w:r>
              <w:rPr>
                <w:rFonts w:ascii="Calibri" w:hAnsi="Calibri"/>
                <w:b/>
                <w:i w:val="0"/>
                <w:color w:val="FFFFFF"/>
                <w:sz w:val="20"/>
              </w:rPr>
              <w:t>Scénario</w:t>
            </w:r>
          </w:p>
        </w:tc>
        <w:tc>
          <w:tcPr>
            <w:tcW w:type="dxa" w:w="2946"/>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1F3864"/>
          </w:tcPr>
          <w:p>
            <w:pPr>
              <w:spacing w:before="60" w:after="60"/>
              <w:jc w:val="center"/>
            </w:pPr>
            <w:r>
              <w:rPr>
                <w:rFonts w:ascii="Calibri" w:hAnsi="Calibri"/>
                <w:b/>
                <w:i w:val="0"/>
                <w:color w:val="FFFFFF"/>
                <w:sz w:val="20"/>
              </w:rPr>
              <w:t>Taille par backup</w:t>
            </w:r>
          </w:p>
        </w:tc>
        <w:tc>
          <w:tcPr>
            <w:tcW w:type="dxa" w:w="2946"/>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1F3864"/>
          </w:tcPr>
          <w:p>
            <w:pPr>
              <w:spacing w:before="60" w:after="60"/>
              <w:jc w:val="center"/>
            </w:pPr>
            <w:r>
              <w:rPr>
                <w:rFonts w:ascii="Calibri" w:hAnsi="Calibri"/>
                <w:b/>
                <w:i w:val="0"/>
                <w:color w:val="FFFFFF"/>
                <w:sz w:val="20"/>
              </w:rPr>
              <w:t>Coût mensuel estimé (LRS Europe)</w:t>
            </w:r>
          </w:p>
        </w:tc>
      </w:tr>
      <w:tr>
        <w:tc>
          <w:tcPr>
            <w:tcW w:type="dxa" w:w="2946"/>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DEEAF1"/>
          </w:tcPr>
          <w:p>
            <w:pPr>
              <w:spacing w:before="60" w:after="60"/>
              <w:jc w:val="center"/>
            </w:pPr>
            <w:r>
              <w:rPr>
                <w:rFonts w:ascii="Calibri" w:hAnsi="Calibri"/>
                <w:b w:val="0"/>
                <w:i w:val="0"/>
                <w:color w:val="000000"/>
                <w:sz w:val="20"/>
              </w:rPr>
              <w:t>Base de données petite</w:t>
            </w:r>
          </w:p>
        </w:tc>
        <w:tc>
          <w:tcPr>
            <w:tcW w:type="dxa" w:w="2946"/>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DEEAF1"/>
          </w:tcPr>
          <w:p>
            <w:pPr>
              <w:spacing w:before="60" w:after="60"/>
              <w:jc w:val="center"/>
            </w:pPr>
            <w:r>
              <w:rPr>
                <w:rFonts w:ascii="Calibri" w:hAnsi="Calibri"/>
                <w:b w:val="0"/>
                <w:i w:val="0"/>
                <w:color w:val="000000"/>
                <w:sz w:val="20"/>
              </w:rPr>
              <w:t>50 Mo / backup</w:t>
            </w:r>
          </w:p>
        </w:tc>
        <w:tc>
          <w:tcPr>
            <w:tcW w:type="dxa" w:w="2946"/>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DEEAF1"/>
          </w:tcPr>
          <w:p>
            <w:pPr>
              <w:spacing w:before="60" w:after="60"/>
              <w:jc w:val="center"/>
            </w:pPr>
            <w:r>
              <w:rPr>
                <w:rFonts w:ascii="Calibri" w:hAnsi="Calibri"/>
                <w:b w:val="0"/>
                <w:i w:val="0"/>
                <w:color w:val="000000"/>
                <w:sz w:val="20"/>
              </w:rPr>
              <w:t>&lt; 0,03 € / mois</w:t>
            </w:r>
          </w:p>
        </w:tc>
      </w:tr>
      <w:tr>
        <w:tc>
          <w:tcPr>
            <w:tcW w:type="dxa" w:w="2946"/>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F5FAFF"/>
          </w:tcPr>
          <w:p>
            <w:pPr>
              <w:spacing w:before="60" w:after="60"/>
              <w:jc w:val="center"/>
            </w:pPr>
            <w:r>
              <w:rPr>
                <w:rFonts w:ascii="Calibri" w:hAnsi="Calibri"/>
                <w:b w:val="0"/>
                <w:i w:val="0"/>
                <w:color w:val="000000"/>
                <w:sz w:val="20"/>
              </w:rPr>
              <w:t>Base de données moyenne</w:t>
            </w:r>
          </w:p>
        </w:tc>
        <w:tc>
          <w:tcPr>
            <w:tcW w:type="dxa" w:w="2946"/>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F5FAFF"/>
          </w:tcPr>
          <w:p>
            <w:pPr>
              <w:spacing w:before="60" w:after="60"/>
              <w:jc w:val="center"/>
            </w:pPr>
            <w:r>
              <w:rPr>
                <w:rFonts w:ascii="Calibri" w:hAnsi="Calibri"/>
                <w:b w:val="0"/>
                <w:i w:val="0"/>
                <w:color w:val="000000"/>
                <w:sz w:val="20"/>
              </w:rPr>
              <w:t>200 Mo / backup</w:t>
            </w:r>
          </w:p>
        </w:tc>
        <w:tc>
          <w:tcPr>
            <w:tcW w:type="dxa" w:w="2946"/>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F5FAFF"/>
          </w:tcPr>
          <w:p>
            <w:pPr>
              <w:spacing w:before="60" w:after="60"/>
              <w:jc w:val="center"/>
            </w:pPr>
            <w:r>
              <w:rPr>
                <w:rFonts w:ascii="Calibri" w:hAnsi="Calibri"/>
                <w:b w:val="0"/>
                <w:i w:val="0"/>
                <w:color w:val="000000"/>
                <w:sz w:val="20"/>
              </w:rPr>
              <w:t>~0,11 € / mois</w:t>
            </w:r>
          </w:p>
        </w:tc>
      </w:tr>
      <w:tr>
        <w:tc>
          <w:tcPr>
            <w:tcW w:type="dxa" w:w="2946"/>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DEEAF1"/>
          </w:tcPr>
          <w:p>
            <w:pPr>
              <w:spacing w:before="60" w:after="60"/>
              <w:jc w:val="center"/>
            </w:pPr>
            <w:r>
              <w:rPr>
                <w:rFonts w:ascii="Calibri" w:hAnsi="Calibri"/>
                <w:b w:val="0"/>
                <w:i w:val="0"/>
                <w:color w:val="000000"/>
                <w:sz w:val="20"/>
              </w:rPr>
              <w:t>Base de données importante</w:t>
            </w:r>
          </w:p>
        </w:tc>
        <w:tc>
          <w:tcPr>
            <w:tcW w:type="dxa" w:w="2946"/>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DEEAF1"/>
          </w:tcPr>
          <w:p>
            <w:pPr>
              <w:spacing w:before="60" w:after="60"/>
              <w:jc w:val="center"/>
            </w:pPr>
            <w:r>
              <w:rPr>
                <w:rFonts w:ascii="Calibri" w:hAnsi="Calibri"/>
                <w:b w:val="0"/>
                <w:i w:val="0"/>
                <w:color w:val="000000"/>
                <w:sz w:val="20"/>
              </w:rPr>
              <w:t>500 Mo / backup</w:t>
            </w:r>
          </w:p>
        </w:tc>
        <w:tc>
          <w:tcPr>
            <w:tcW w:type="dxa" w:w="2946"/>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DEEAF1"/>
          </w:tcPr>
          <w:p>
            <w:pPr>
              <w:spacing w:before="60" w:after="60"/>
              <w:jc w:val="center"/>
            </w:pPr>
            <w:r>
              <w:rPr>
                <w:rFonts w:ascii="Calibri" w:hAnsi="Calibri"/>
                <w:b w:val="0"/>
                <w:i w:val="0"/>
                <w:color w:val="000000"/>
                <w:sz w:val="20"/>
              </w:rPr>
              <w:t>~0,27 € / mois</w:t>
            </w:r>
          </w:p>
        </w:tc>
      </w:tr>
      <w:tr>
        <w:tc>
          <w:tcPr>
            <w:tcW w:type="dxa" w:w="2946"/>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F5FAFF"/>
          </w:tcPr>
          <w:p>
            <w:pPr>
              <w:spacing w:before="60" w:after="60"/>
              <w:jc w:val="center"/>
            </w:pPr>
            <w:r>
              <w:rPr>
                <w:rFonts w:ascii="Calibri" w:hAnsi="Calibri"/>
                <w:b w:val="0"/>
                <w:i w:val="0"/>
                <w:color w:val="000000"/>
                <w:sz w:val="20"/>
              </w:rPr>
              <w:t>Avec transfert sortant</w:t>
            </w:r>
          </w:p>
        </w:tc>
        <w:tc>
          <w:tcPr>
            <w:tcW w:type="dxa" w:w="2946"/>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F5FAFF"/>
          </w:tcPr>
          <w:p>
            <w:pPr>
              <w:spacing w:before="60" w:after="60"/>
              <w:jc w:val="center"/>
            </w:pPr>
            <w:r>
              <w:rPr>
                <w:rFonts w:ascii="Calibri" w:hAnsi="Calibri"/>
                <w:b w:val="0"/>
                <w:i w:val="0"/>
                <w:color w:val="000000"/>
                <w:sz w:val="20"/>
              </w:rPr>
              <w:t>+ téléchargements</w:t>
            </w:r>
          </w:p>
        </w:tc>
        <w:tc>
          <w:tcPr>
            <w:tcW w:type="dxa" w:w="2946"/>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F5FAFF"/>
          </w:tcPr>
          <w:p>
            <w:pPr>
              <w:spacing w:before="60" w:after="60"/>
              <w:jc w:val="center"/>
            </w:pPr>
            <w:r>
              <w:rPr>
                <w:rFonts w:ascii="Calibri" w:hAnsi="Calibri"/>
                <w:b w:val="0"/>
                <w:i w:val="0"/>
                <w:color w:val="000000"/>
                <w:sz w:val="20"/>
              </w:rPr>
              <w:t>&lt; 2 € / mois</w:t>
            </w:r>
          </w:p>
        </w:tc>
      </w:tr>
    </w:tbl>
    <w:p/>
    <w:p>
      <w:pPr>
        <w:spacing w:before="200" w:after="80"/>
        <w:jc w:val="left"/>
      </w:pPr>
      <w:r>
        <w:rPr>
          <w:rFonts w:ascii="Calibri" w:hAnsi="Calibri"/>
          <w:b/>
          <w:i w:val="0"/>
          <w:color w:val="2E75B6"/>
          <w:sz w:val="24"/>
        </w:rPr>
        <w:t>5.2  Coût réel d'une intégration OneDrive</w:t>
      </w:r>
    </w:p>
    <w:p>
      <w:pPr>
        <w:spacing w:before="0" w:after="160"/>
        <w:jc w:val="both"/>
      </w:pPr>
      <w:r>
        <w:rPr>
          <w:rFonts w:ascii="Calibri" w:hAnsi="Calibri"/>
          <w:b w:val="0"/>
          <w:i w:val="0"/>
          <w:sz w:val="22"/>
        </w:rPr>
        <w:t>Bien que OneDrive soit inclus dans M365, son intégration correcte pour un usage programmatique représente un coût indirect significatif :</w:t>
      </w:r>
    </w:p>
    <w:p>
      <w:pPr>
        <w:pStyle w:val="ListBullet"/>
        <w:spacing w:after="60"/>
        <w:ind w:left="567"/>
      </w:pPr>
      <w:r>
        <w:rPr>
          <w:rFonts w:ascii="Calibri" w:hAnsi="Calibri"/>
          <w:b w:val="0"/>
          <w:i w:val="0"/>
          <w:color w:val="000000"/>
          <w:sz w:val="22"/>
        </w:rPr>
        <w:t>Développement : implémentation du flux OAuth2 Client Credentials, gestion des tokens, tests de robustesse, gestion des cas d'erreur (~2 à 3 jours de développement)</w:t>
      </w:r>
    </w:p>
    <w:p>
      <w:pPr>
        <w:pStyle w:val="ListBullet"/>
        <w:spacing w:after="60"/>
        <w:ind w:left="567"/>
      </w:pPr>
      <w:r>
        <w:rPr>
          <w:rFonts w:ascii="Calibri" w:hAnsi="Calibri"/>
          <w:b w:val="0"/>
          <w:i w:val="0"/>
          <w:color w:val="000000"/>
          <w:sz w:val="22"/>
        </w:rPr>
        <w:t>Maintenance : surveillance des expirations de client_secret Azure AD (tous les 1-2 ans), mise à jour des tokens, gestion des changements de politique Microsoft</w:t>
      </w:r>
    </w:p>
    <w:p>
      <w:pPr>
        <w:pStyle w:val="ListBullet"/>
        <w:spacing w:after="60"/>
        <w:ind w:left="567"/>
      </w:pPr>
      <w:r>
        <w:rPr>
          <w:rFonts w:ascii="Calibri" w:hAnsi="Calibri"/>
          <w:b w:val="0"/>
          <w:i w:val="0"/>
          <w:color w:val="000000"/>
          <w:sz w:val="22"/>
        </w:rPr>
        <w:t>Risque opérationnel : coût potentiel d'un incident de perte de données si les sauvegardes échouent silencieusement (cf. section 4.1)</w:t>
      </w:r>
    </w:p>
    <w:tbl>
      <w:tblPr>
        <w:tblW w:type="auto" w:w="0"/>
        <w:jc w:val="left"/>
        <w:tblLook w:firstColumn="1" w:firstRow="1" w:lastColumn="0" w:lastRow="0" w:noHBand="0" w:noVBand="1" w:val="04A0"/>
      </w:tblPr>
      <w:tblGrid>
        <w:gridCol w:w="8838"/>
      </w:tblGrid>
      <w:tr>
        <w:tc>
          <w:tcPr>
            <w:tcW w:type="dxa" w:w="8838"/>
            <w:shd w:val="clear" w:color="auto" w:fill="E2EFDA"/>
            <w:tcBorders>
              <w:top w:val="single" w:sz="18" w:space="0" w:color="375623"/>
              <w:left w:val="single" w:sz="18" w:space="0" w:color="375623"/>
              <w:bottom w:val="single" w:sz="18" w:space="0" w:color="375623"/>
              <w:right w:val="single" w:sz="18" w:space="0" w:color="375623"/>
            </w:tcBorders>
          </w:tcPr>
          <w:p>
            <w:pPr>
              <w:spacing w:before="80" w:after="80"/>
              <w:ind w:left="113" w:right="113"/>
            </w:pPr>
            <w:r>
              <w:rPr>
                <w:rFonts w:ascii="Calibri" w:hAnsi="Calibri"/>
                <w:b/>
                <w:i w:val="0"/>
                <w:color w:val="1F3864"/>
                <w:sz w:val="22"/>
              </w:rPr>
              <w:t xml:space="preserve">Conclusion économique :  </w:t>
            </w:r>
            <w:r>
              <w:rPr>
                <w:rFonts w:ascii="Calibri" w:hAnsi="Calibri"/>
                <w:b w:val="0"/>
                <w:i w:val="0"/>
                <w:color w:val="000000"/>
                <w:sz w:val="22"/>
              </w:rPr>
              <w:t>Le coût d'Azure Blob Storage (&lt; 2 € / mois) est largement inférieur au coût de développement et de maintenance d'une intégration OneDrive robuste. Par ailleurs, le risque d'un incident de perte de données lié à l'instabilité de l'authentification OneDrive représente un risque financier et opérationnel bien supérieur à quelques euros d'abonnement mensuel.</w:t>
            </w:r>
          </w:p>
        </w:tc>
      </w:tr>
    </w:tbl>
    <w:p>
      <w:pPr>
        <w:spacing w:after="40"/>
      </w:pPr>
    </w:p>
    <w:p>
      <w:pPr>
        <w:spacing w:before="320" w:after="120"/>
        <w:ind w:left="227"/>
        <w:jc w:val="left"/>
        <w:pBdr>
          <w:left w:val="single" w:sz="18" w:space="4" w:color="2E75B6"/>
        </w:pBdr>
      </w:pPr>
      <w:r>
        <w:rPr>
          <w:rFonts w:ascii="Calibri" w:hAnsi="Calibri"/>
          <w:b/>
          <w:i w:val="0"/>
          <w:color w:val="1F3864"/>
          <w:sz w:val="28"/>
        </w:rPr>
        <w:t>6.  Compatibilité avec l'écosystème Microsoft 365</w:t>
      </w:r>
    </w:p>
    <w:p>
      <w:pPr>
        <w:spacing w:before="0" w:after="160"/>
        <w:jc w:val="both"/>
      </w:pPr>
      <w:r>
        <w:rPr>
          <w:rFonts w:ascii="Calibri" w:hAnsi="Calibri"/>
          <w:b w:val="0"/>
          <w:i w:val="0"/>
          <w:sz w:val="22"/>
        </w:rPr>
        <w:t>Un argument fréquemment avancé contre Azure Blob Storage est qu'il représenterait une sortie de l'écosystème Microsoft 365. Cette perception est incorrecte.</w:t>
      </w:r>
    </w:p>
    <w:p>
      <w:pPr>
        <w:spacing w:before="0" w:after="160"/>
        <w:jc w:val="both"/>
      </w:pPr>
      <w:r>
        <w:rPr>
          <w:rFonts w:ascii="Calibri" w:hAnsi="Calibri"/>
          <w:b w:val="0"/>
          <w:i w:val="0"/>
          <w:sz w:val="22"/>
        </w:rPr>
        <w:t>Azure et Microsoft 365 sont deux composantes distinctes mais complémentaires de la même plateforme Microsoft :</w:t>
      </w:r>
    </w:p>
    <w:p>
      <w:pPr>
        <w:pStyle w:val="ListBullet"/>
        <w:spacing w:after="60"/>
        <w:ind w:left="567"/>
      </w:pPr>
      <w:r>
        <w:rPr>
          <w:rFonts w:ascii="Calibri" w:hAnsi="Calibri"/>
          <w:b w:val="0"/>
          <w:i w:val="0"/>
          <w:color w:val="000000"/>
          <w:sz w:val="22"/>
        </w:rPr>
        <w:t>Le portail Azure (portal.azure.com) est accessible directement avec le compte Microsoft 365 de l'organisation BTS</w:t>
      </w:r>
    </w:p>
    <w:p>
      <w:pPr>
        <w:pStyle w:val="ListBullet"/>
        <w:spacing w:after="60"/>
        <w:ind w:left="567"/>
      </w:pPr>
      <w:r>
        <w:rPr>
          <w:rFonts w:ascii="Calibri" w:hAnsi="Calibri"/>
          <w:b w:val="0"/>
          <w:i w:val="0"/>
          <w:color w:val="000000"/>
          <w:sz w:val="22"/>
        </w:rPr>
        <w:t>La facturation Azure peut être consolidée sur le même compte de facturation Microsoft que l'abonnement M365</w:t>
      </w:r>
    </w:p>
    <w:p>
      <w:pPr>
        <w:pStyle w:val="ListBullet"/>
        <w:spacing w:after="60"/>
        <w:ind w:left="567"/>
      </w:pPr>
      <w:r>
        <w:rPr>
          <w:rFonts w:ascii="Calibri" w:hAnsi="Calibri"/>
          <w:b w:val="0"/>
          <w:i w:val="0"/>
          <w:color w:val="000000"/>
          <w:sz w:val="22"/>
        </w:rPr>
        <w:t>Microsoft recommande officiellement Azure Blob Storage pour le stockage de fichiers techniques et de sauvegardes dans les architectures Azure</w:t>
      </w:r>
    </w:p>
    <w:p>
      <w:pPr>
        <w:pStyle w:val="ListBullet"/>
        <w:spacing w:after="60"/>
        <w:ind w:left="567"/>
      </w:pPr>
      <w:r>
        <w:rPr>
          <w:rFonts w:ascii="Calibri" w:hAnsi="Calibri"/>
          <w:b w:val="0"/>
          <w:i w:val="0"/>
          <w:color w:val="000000"/>
          <w:sz w:val="22"/>
        </w:rPr>
        <w:t>La création d'un compte de stockage Azure prend moins de 5 minutes depuis le portail Azure, sans configuration complexe</w:t>
      </w:r>
    </w:p>
    <w:p>
      <w:pPr>
        <w:spacing w:before="0" w:after="160"/>
        <w:jc w:val="both"/>
      </w:pPr>
      <w:r>
        <w:rPr>
          <w:rFonts w:ascii="Calibri" w:hAnsi="Calibri"/>
          <w:b w:val="0"/>
          <w:i w:val="0"/>
          <w:sz w:val="22"/>
        </w:rPr>
      </w:r>
    </w:p>
    <w:p>
      <w:pPr>
        <w:spacing w:before="0" w:after="160"/>
        <w:jc w:val="both"/>
      </w:pPr>
      <w:r>
        <w:rPr>
          <w:rFonts w:ascii="Calibri" w:hAnsi="Calibri"/>
          <w:b w:val="0"/>
          <w:i w:val="0"/>
          <w:sz w:val="22"/>
        </w:rPr>
        <w:t>Le tableau ci-dessous illustre la complémentarité des services Microsoft dans l'infrastructure BTS :</w:t>
      </w:r>
    </w:p>
    <w:tbl>
      <w:tblPr>
        <w:tblW w:type="auto" w:w="0"/>
        <w:jc w:val="left"/>
        <w:tblLook w:firstColumn="1" w:firstRow="1" w:lastColumn="0" w:lastRow="0" w:noHBand="0" w:noVBand="1" w:val="04A0"/>
      </w:tblPr>
      <w:tblGrid>
        <w:gridCol w:w="2946"/>
        <w:gridCol w:w="2946"/>
        <w:gridCol w:w="2946"/>
      </w:tblGrid>
      <w:tr>
        <w:tc>
          <w:tcPr>
            <w:tcW w:type="dxa" w:w="2551"/>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1F3864"/>
          </w:tcPr>
          <w:p>
            <w:pPr>
              <w:spacing w:before="60" w:after="60"/>
              <w:jc w:val="center"/>
            </w:pPr>
            <w:r>
              <w:rPr>
                <w:rFonts w:ascii="Calibri" w:hAnsi="Calibri"/>
                <w:b/>
                <w:i w:val="0"/>
                <w:color w:val="FFFFFF"/>
                <w:sz w:val="20"/>
              </w:rPr>
              <w:t>Service Microsoft</w:t>
            </w:r>
          </w:p>
        </w:tc>
        <w:tc>
          <w:tcPr>
            <w:tcW w:type="dxa" w:w="5102"/>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1F3864"/>
          </w:tcPr>
          <w:p>
            <w:pPr>
              <w:spacing w:before="60" w:after="60"/>
              <w:jc w:val="center"/>
            </w:pPr>
            <w:r>
              <w:rPr>
                <w:rFonts w:ascii="Calibri" w:hAnsi="Calibri"/>
                <w:b/>
                <w:i w:val="0"/>
                <w:color w:val="FFFFFF"/>
                <w:sz w:val="20"/>
              </w:rPr>
              <w:t>Rôle dans l'infrastructure BTS</w:t>
            </w:r>
          </w:p>
        </w:tc>
        <w:tc>
          <w:tcPr>
            <w:tcW w:type="dxa" w:w="1984"/>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1F3864"/>
          </w:tcPr>
          <w:p>
            <w:pPr>
              <w:spacing w:before="60" w:after="60"/>
              <w:jc w:val="center"/>
            </w:pPr>
            <w:r>
              <w:rPr>
                <w:rFonts w:ascii="Calibri" w:hAnsi="Calibri"/>
                <w:b/>
                <w:i w:val="0"/>
                <w:color w:val="FFFFFF"/>
                <w:sz w:val="20"/>
              </w:rPr>
              <w:t>Usage pour les backups</w:t>
            </w:r>
          </w:p>
        </w:tc>
      </w:tr>
      <w:tr>
        <w:tc>
          <w:tcPr>
            <w:tcW w:type="dxa" w:w="2551"/>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DEEAF1"/>
          </w:tcPr>
          <w:p>
            <w:pPr>
              <w:spacing w:before="60" w:after="60"/>
            </w:pPr>
            <w:r>
              <w:rPr>
                <w:rFonts w:ascii="Calibri" w:hAnsi="Calibri"/>
                <w:b/>
                <w:i w:val="0"/>
                <w:color w:val="1F3864"/>
                <w:sz w:val="20"/>
              </w:rPr>
              <w:t>Microsoft OneDrive</w:t>
            </w:r>
          </w:p>
        </w:tc>
        <w:tc>
          <w:tcPr>
            <w:tcW w:type="dxa" w:w="5102"/>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DEEAF1"/>
          </w:tcPr>
          <w:p>
            <w:pPr>
              <w:spacing w:before="60" w:after="60"/>
            </w:pPr>
            <w:r>
              <w:rPr>
                <w:rFonts w:ascii="Calibri" w:hAnsi="Calibri"/>
                <w:b w:val="0"/>
                <w:i w:val="0"/>
                <w:color w:val="000000"/>
                <w:sz w:val="20"/>
              </w:rPr>
              <w:t>Stockage des fichiers de travail (devis, rapports, présentations)</w:t>
            </w:r>
          </w:p>
        </w:tc>
        <w:tc>
          <w:tcPr>
            <w:tcW w:type="dxa" w:w="1984"/>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FFEBEB"/>
          </w:tcPr>
          <w:p>
            <w:pPr>
              <w:spacing w:before="60" w:after="60"/>
              <w:jc w:val="center"/>
            </w:pPr>
            <w:r>
              <w:rPr>
                <w:rFonts w:ascii="Calibri" w:hAnsi="Calibri"/>
                <w:b/>
                <w:i w:val="0"/>
                <w:color w:val="C00000"/>
                <w:sz w:val="20"/>
              </w:rPr>
              <w:t>Non recommandé</w:t>
            </w:r>
          </w:p>
        </w:tc>
      </w:tr>
      <w:tr>
        <w:tc>
          <w:tcPr>
            <w:tcW w:type="dxa" w:w="2551"/>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DEEAF1"/>
          </w:tcPr>
          <w:p>
            <w:pPr>
              <w:spacing w:before="60" w:after="60"/>
            </w:pPr>
            <w:r>
              <w:rPr>
                <w:rFonts w:ascii="Calibri" w:hAnsi="Calibri"/>
                <w:b/>
                <w:i w:val="0"/>
                <w:color w:val="1F3864"/>
                <w:sz w:val="20"/>
              </w:rPr>
              <w:t>Microsoft SharePoint</w:t>
            </w:r>
          </w:p>
        </w:tc>
        <w:tc>
          <w:tcPr>
            <w:tcW w:type="dxa" w:w="5102"/>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F5FAFF"/>
          </w:tcPr>
          <w:p>
            <w:pPr>
              <w:spacing w:before="60" w:after="60"/>
            </w:pPr>
            <w:r>
              <w:rPr>
                <w:rFonts w:ascii="Calibri" w:hAnsi="Calibri"/>
                <w:b w:val="0"/>
                <w:i w:val="0"/>
                <w:color w:val="000000"/>
                <w:sz w:val="20"/>
              </w:rPr>
              <w:t>Collaboration documentaire et intranet d'équipe</w:t>
            </w:r>
          </w:p>
        </w:tc>
        <w:tc>
          <w:tcPr>
            <w:tcW w:type="dxa" w:w="1984"/>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FFEBEB"/>
          </w:tcPr>
          <w:p>
            <w:pPr>
              <w:spacing w:before="60" w:after="60"/>
              <w:jc w:val="center"/>
            </w:pPr>
            <w:r>
              <w:rPr>
                <w:rFonts w:ascii="Calibri" w:hAnsi="Calibri"/>
                <w:b/>
                <w:i w:val="0"/>
                <w:color w:val="C00000"/>
                <w:sz w:val="20"/>
              </w:rPr>
              <w:t>Non adapté</w:t>
            </w:r>
          </w:p>
        </w:tc>
      </w:tr>
      <w:tr>
        <w:tc>
          <w:tcPr>
            <w:tcW w:type="dxa" w:w="2551"/>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DEEAF1"/>
          </w:tcPr>
          <w:p>
            <w:pPr>
              <w:spacing w:before="60" w:after="60"/>
            </w:pPr>
            <w:r>
              <w:rPr>
                <w:rFonts w:ascii="Calibri" w:hAnsi="Calibri"/>
                <w:b/>
                <w:i w:val="0"/>
                <w:color w:val="1F3864"/>
                <w:sz w:val="20"/>
              </w:rPr>
              <w:t>Microsoft Azure Blob Storage</w:t>
            </w:r>
          </w:p>
        </w:tc>
        <w:tc>
          <w:tcPr>
            <w:tcW w:type="dxa" w:w="5102"/>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DEEAF1"/>
          </w:tcPr>
          <w:p>
            <w:pPr>
              <w:spacing w:before="60" w:after="60"/>
            </w:pPr>
            <w:r>
              <w:rPr>
                <w:rFonts w:ascii="Calibri" w:hAnsi="Calibri"/>
                <w:b w:val="0"/>
                <w:i w:val="0"/>
                <w:color w:val="000000"/>
                <w:sz w:val="20"/>
              </w:rPr>
              <w:t>Stockage technique des sauvegardes automatiques PostgreSQL</w:t>
            </w:r>
          </w:p>
        </w:tc>
        <w:tc>
          <w:tcPr>
            <w:tcW w:type="dxa" w:w="1984"/>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E2EFDA"/>
          </w:tcPr>
          <w:p>
            <w:pPr>
              <w:spacing w:before="60" w:after="60"/>
              <w:jc w:val="center"/>
            </w:pPr>
            <w:r>
              <w:rPr>
                <w:rFonts w:ascii="Calibri" w:hAnsi="Calibri"/>
                <w:b/>
                <w:i w:val="0"/>
                <w:color w:val="375623"/>
                <w:sz w:val="20"/>
              </w:rPr>
              <w:t>Recommandé ✔</w:t>
            </w:r>
          </w:p>
        </w:tc>
      </w:tr>
    </w:tbl>
    <w:p/>
    <w:p>
      <w:pPr>
        <w:spacing w:before="320" w:after="120"/>
        <w:ind w:left="227"/>
        <w:jc w:val="left"/>
        <w:pBdr>
          <w:left w:val="single" w:sz="18" w:space="4" w:color="2E75B6"/>
        </w:pBdr>
      </w:pPr>
      <w:r>
        <w:rPr>
          <w:rFonts w:ascii="Calibri" w:hAnsi="Calibri"/>
          <w:b/>
          <w:i w:val="0"/>
          <w:color w:val="1F3864"/>
          <w:sz w:val="28"/>
        </w:rPr>
        <w:t>7.  Conclusion et recommandation</w:t>
      </w:r>
    </w:p>
    <w:p>
      <w:pPr>
        <w:spacing w:before="0" w:after="160"/>
        <w:jc w:val="both"/>
      </w:pPr>
      <w:r>
        <w:rPr>
          <w:rFonts w:ascii="Calibri" w:hAnsi="Calibri"/>
          <w:b w:val="0"/>
          <w:i w:val="0"/>
          <w:sz w:val="22"/>
        </w:rPr>
        <w:t>L'analyse menée dans cette note démontre que, bien que Microsoft OneDrive soit inclus dans l'abonnement Microsoft 365 de BTS, il n'est pas adapté au stockage automatisé des sauvegardes de base de données. Les raisons sont principalement techniques :</w:t>
      </w:r>
    </w:p>
    <w:p>
      <w:pPr>
        <w:pStyle w:val="ListBullet"/>
        <w:spacing w:after="60"/>
        <w:ind w:left="567"/>
      </w:pPr>
      <w:r>
        <w:rPr>
          <w:rFonts w:ascii="Calibri" w:hAnsi="Calibri"/>
          <w:b w:val="0"/>
          <w:i w:val="0"/>
          <w:color w:val="000000"/>
          <w:sz w:val="22"/>
        </w:rPr>
        <w:t>L'authentification OAuth2 requise est fragile et complexe dans un contexte de job automatisé</w:t>
      </w:r>
    </w:p>
    <w:p>
      <w:pPr>
        <w:pStyle w:val="ListBullet"/>
        <w:spacing w:after="60"/>
        <w:ind w:left="567"/>
      </w:pPr>
      <w:r>
        <w:rPr>
          <w:rFonts w:ascii="Calibri" w:hAnsi="Calibri"/>
          <w:b w:val="0"/>
          <w:i w:val="0"/>
          <w:color w:val="000000"/>
          <w:sz w:val="22"/>
        </w:rPr>
        <w:t>L'absence de liens de téléchargement temporaires (SAS) est incompatible avec l'architecture API</w:t>
      </w:r>
    </w:p>
    <w:p>
      <w:pPr>
        <w:pStyle w:val="ListBullet"/>
        <w:spacing w:after="60"/>
        <w:ind w:left="567"/>
      </w:pPr>
      <w:r>
        <w:rPr>
          <w:rFonts w:ascii="Calibri" w:hAnsi="Calibri"/>
          <w:b w:val="0"/>
          <w:i w:val="0"/>
          <w:color w:val="000000"/>
          <w:sz w:val="22"/>
        </w:rPr>
        <w:t>L'isolation insuffisante des données de production représente un risque de sécurité</w:t>
      </w:r>
    </w:p>
    <w:p>
      <w:pPr>
        <w:pStyle w:val="ListBullet"/>
        <w:spacing w:after="60"/>
        <w:ind w:left="567"/>
      </w:pPr>
      <w:r>
        <w:rPr>
          <w:rFonts w:ascii="Calibri" w:hAnsi="Calibri"/>
          <w:b w:val="0"/>
          <w:i w:val="0"/>
          <w:color w:val="000000"/>
          <w:sz w:val="22"/>
        </w:rPr>
        <w:t>Le risque de perte silencieuse des sauvegardes est inacceptable pour un système financier</w:t>
      </w:r>
    </w:p>
    <w:p/>
    <w:tbl>
      <w:tblPr>
        <w:tblW w:type="auto" w:w="0"/>
        <w:jc w:val="left"/>
        <w:tblLook w:firstColumn="1" w:firstRow="1" w:lastColumn="0" w:lastRow="0" w:noHBand="0" w:noVBand="1" w:val="04A0"/>
      </w:tblPr>
      <w:tblGrid>
        <w:gridCol w:w="8838"/>
      </w:tblGrid>
      <w:tr>
        <w:tc>
          <w:tcPr>
            <w:tcW w:type="dxa" w:w="8838"/>
            <w:shd w:val="clear" w:color="auto" w:fill="E2EFDA"/>
            <w:tcBorders>
              <w:top w:val="single" w:sz="18" w:space="0" w:color="375623"/>
              <w:left w:val="single" w:sz="18" w:space="0" w:color="375623"/>
              <w:bottom w:val="single" w:sz="18" w:space="0" w:color="375623"/>
              <w:right w:val="single" w:sz="18" w:space="0" w:color="375623"/>
            </w:tcBorders>
          </w:tcPr>
          <w:p>
            <w:pPr>
              <w:spacing w:before="80" w:after="80"/>
              <w:ind w:left="113" w:right="113"/>
            </w:pPr>
            <w:r>
              <w:rPr>
                <w:rFonts w:ascii="Calibri" w:hAnsi="Calibri"/>
                <w:b/>
                <w:i w:val="0"/>
                <w:color w:val="1F3864"/>
                <w:sz w:val="22"/>
              </w:rPr>
              <w:t xml:space="preserve">Recommandation :  </w:t>
            </w:r>
            <w:r>
              <w:rPr>
                <w:rFonts w:ascii="Calibri" w:hAnsi="Calibri"/>
                <w:b w:val="0"/>
                <w:i w:val="0"/>
                <w:color w:val="000000"/>
                <w:sz w:val="22"/>
              </w:rPr>
              <w:t>Nous recommandons l'utilisation de Microsoft Azure Blob Storage pour le stockage des sauvegardes de la base de données InvoiceHub v2.0. Cette solution offre la simplicité d'accès, la fiabilité, la sécurité et les fonctionnalités (SAS, rétention automatique, géo-redondance) nécessaires pour un système de sauvegarde de données financières en production. Son coût marginal (inférieur à 2 € par mois) est pleinement justifié par la valeur opérationnelle et le niveau de sécurité obtenus.</w:t>
            </w:r>
          </w:p>
        </w:tc>
      </w:tr>
    </w:tbl>
    <w:p>
      <w:pPr>
        <w:spacing w:after="40"/>
      </w:pPr>
    </w:p>
    <w:p>
      <w:pPr>
        <w:spacing w:before="0" w:after="160"/>
        <w:jc w:val="both"/>
      </w:pPr>
      <w:r>
        <w:rPr>
          <w:rFonts w:ascii="Calibri" w:hAnsi="Calibri"/>
          <w:b w:val="0"/>
          <w:i w:val="0"/>
          <w:sz w:val="22"/>
        </w:rPr>
        <w:t>Choisir Azure Blob Storage ne signifie pas sortir de l'écosystème Microsoft, mais au contraire utiliser la bonne brique Microsoft pour le bon usage technique : OneDrive pour la productivité des utilisateurs, Azure Blob Storage pour l'infrastructure applicative.</w:t>
      </w:r>
    </w:p>
    <w:p/>
    <w:p>
      <w:pPr>
        <w:pBdr>
          <w:bottom w:val="single" w:sz="6" w:space="1" w:color="2E75B6"/>
        </w:pBdr>
        <w:spacing w:after="120"/>
      </w:pPr>
    </w:p>
    <w:tbl>
      <w:tblPr>
        <w:tblW w:type="auto" w:w="0"/>
        <w:jc w:val="left"/>
        <w:tblLook w:firstColumn="1" w:firstRow="1" w:lastColumn="0" w:lastRow="0" w:noHBand="0" w:noVBand="1" w:val="04A0"/>
      </w:tblPr>
      <w:tblGrid>
        <w:gridCol w:w="4419"/>
        <w:gridCol w:w="4419"/>
      </w:tblGrid>
      <w:tr>
        <w:tc>
          <w:tcPr>
            <w:tcW w:type="dxa" w:w="4419"/>
            <w:tcBorders>
              <w:top w:val="none"/>
              <w:left w:val="none"/>
              <w:bottom w:val="none"/>
              <w:right w:val="none"/>
            </w:tcBorders>
          </w:tcPr>
          <w:p>
            <w:pPr>
              <w:spacing w:before="80"/>
            </w:pPr>
            <w:r>
              <w:rPr>
                <w:rFonts w:ascii="Calibri" w:hAnsi="Calibri"/>
                <w:b w:val="0"/>
                <w:i w:val="0"/>
                <w:color w:val="404040"/>
                <w:sz w:val="18"/>
              </w:rPr>
              <w:t>Équipe de développement</w:t>
              <w:br/>
              <w:t>Bridge Technologies Solutions</w:t>
              <w:br/>
              <w:t>Douala, Cameroun</w:t>
            </w:r>
          </w:p>
        </w:tc>
        <w:tc>
          <w:tcPr>
            <w:tcW w:type="dxa" w:w="4419"/>
            <w:tcBorders>
              <w:top w:val="none"/>
              <w:left w:val="none"/>
              <w:bottom w:val="none"/>
              <w:right w:val="none"/>
            </w:tcBorders>
          </w:tcPr>
          <w:p>
            <w:pPr>
              <w:spacing w:before="80"/>
              <w:jc w:val="right"/>
            </w:pPr>
            <w:r>
              <w:rPr>
                <w:rFonts w:ascii="Calibri" w:hAnsi="Calibri"/>
                <w:b w:val="0"/>
                <w:i w:val="0"/>
                <w:color w:val="404040"/>
                <w:sz w:val="18"/>
              </w:rPr>
              <w:t>Document : Note technique v1.0</w:t>
              <w:br/>
              <w:t>Projet : InvoiceHub v2.0</w:t>
              <w:br/>
              <w:t>Date : Mars 2026</w:t>
            </w:r>
          </w:p>
        </w:tc>
      </w:tr>
    </w:tbl>
    <w:p>
      <w:r>
        <w:br w:type="page"/>
      </w:r>
    </w:p>
    <w:p>
      <w:pPr>
        <w:spacing w:before="320" w:after="120"/>
        <w:ind w:left="227"/>
        <w:jc w:val="left"/>
        <w:pBdr>
          <w:left w:val="single" w:sz="18" w:space="4" w:color="2E75B6"/>
        </w:pBdr>
      </w:pPr>
      <w:r>
        <w:rPr>
          <w:rFonts w:ascii="Calibri" w:hAnsi="Calibri"/>
          <w:b/>
          <w:i w:val="0"/>
          <w:color w:val="1F3864"/>
          <w:sz w:val="28"/>
        </w:rPr>
        <w:t>8.  Procédure de mise en place — Azure Blob Storage</w:t>
      </w:r>
    </w:p>
    <w:p>
      <w:pPr>
        <w:spacing w:before="0" w:after="160"/>
        <w:jc w:val="both"/>
      </w:pPr>
      <w:r>
        <w:rPr>
          <w:rFonts w:ascii="Calibri" w:hAnsi="Calibri"/>
          <w:b w:val="0"/>
          <w:i w:val="0"/>
          <w:color w:val="000000"/>
          <w:sz w:val="22"/>
        </w:rPr>
        <w:t>Cette section décrit pas à pas la procédure complète pour configurer Microsoft Azure Blob Storage comme destination de stockage des sauvegardes InvoiceHub v2.0. Aucune connaissance préalable d'Azure n'est requise.</w:t>
      </w:r>
    </w:p>
    <w:tbl>
      <w:tblPr>
        <w:tblW w:type="auto" w:w="0"/>
        <w:jc w:val="left"/>
        <w:tblLook w:firstColumn="1" w:firstRow="1" w:lastColumn="0" w:lastRow="0" w:noHBand="0" w:noVBand="1" w:val="04A0"/>
      </w:tblPr>
      <w:tblGrid>
        <w:gridCol w:w="8838"/>
      </w:tblGrid>
      <w:tr>
        <w:tc>
          <w:tcPr>
            <w:tcW w:type="dxa" w:w="8838"/>
            <w:shd w:val="clear" w:color="auto" w:fill="DEEAF1"/>
            <w:tcBorders>
              <w:top w:val="single" w:sz="18" w:space="0" w:color="2E75B6"/>
              <w:left w:val="single" w:sz="18" w:space="0" w:color="2E75B6"/>
              <w:bottom w:val="single" w:sz="18" w:space="0" w:color="2E75B6"/>
              <w:right w:val="single" w:sz="18" w:space="0" w:color="2E75B6"/>
            </w:tcBorders>
          </w:tcPr>
          <w:p>
            <w:pPr>
              <w:spacing w:before="100" w:after="100"/>
              <w:ind w:left="113" w:right="113"/>
            </w:pPr>
            <w:r>
              <w:rPr>
                <w:rFonts w:ascii="Calibri" w:hAnsi="Calibri"/>
                <w:b/>
                <w:i w:val="0"/>
                <w:color w:val="1F3864"/>
                <w:sz w:val="22"/>
              </w:rPr>
              <w:t xml:space="preserve">Prérequis :  </w:t>
            </w:r>
            <w:r>
              <w:rPr>
                <w:rFonts w:ascii="Calibri" w:hAnsi="Calibri"/>
                <w:b w:val="0"/>
                <w:i w:val="0"/>
                <w:color w:val="000000"/>
                <w:sz w:val="22"/>
              </w:rPr>
              <w:t>Un compte Microsoft associé à l'abonnement Microsoft 365 de BTS. Si l'entreprise possède déjà un abonnement Azure actif, passer directement à l'étape 2.</w:t>
            </w:r>
          </w:p>
        </w:tc>
      </w:tr>
    </w:tbl>
    <w:p>
      <w:pPr>
        <w:spacing w:after="40"/>
      </w:pPr>
    </w:p>
    <w:p>
      <w:pPr>
        <w:spacing w:before="200" w:after="80"/>
        <w:jc w:val="left"/>
      </w:pPr>
      <w:r>
        <w:rPr>
          <w:rFonts w:ascii="Calibri" w:hAnsi="Calibri"/>
          <w:b/>
          <w:i w:val="0"/>
          <w:color w:val="2E75B6"/>
          <w:sz w:val="24"/>
        </w:rPr>
        <w:t>Étape 1  —  Accéder au portail Azure</w:t>
      </w:r>
    </w:p>
    <w:p>
      <w:pPr>
        <w:spacing w:before="160" w:after="60"/>
        <w:ind w:left="0"/>
      </w:pPr>
      <w:r>
        <w:rPr>
          <w:rFonts w:ascii="Calibri" w:hAnsi="Calibri"/>
          <w:b/>
          <w:i w:val="0"/>
          <w:color w:val="2E75B6"/>
          <w:sz w:val="22"/>
        </w:rPr>
        <w:t xml:space="preserve">  Étape 1.1 — </w:t>
      </w:r>
      <w:r>
        <w:rPr>
          <w:rFonts w:ascii="Calibri" w:hAnsi="Calibri"/>
          <w:b/>
          <w:i w:val="0"/>
          <w:color w:val="1F3864"/>
          <w:sz w:val="22"/>
        </w:rPr>
        <w:t>Ouvrir le portail Azure</w:t>
      </w:r>
    </w:p>
    <w:p>
      <w:pPr>
        <w:spacing w:before="40" w:after="120"/>
        <w:ind w:left="680"/>
        <w:jc w:val="both"/>
      </w:pPr>
      <w:r>
        <w:rPr>
          <w:rFonts w:ascii="Calibri" w:hAnsi="Calibri"/>
          <w:b w:val="0"/>
          <w:i w:val="0"/>
          <w:color w:val="000000"/>
          <w:sz w:val="21"/>
        </w:rPr>
        <w:t>Ouvrir un navigateur et se rendre sur : https://portal.azure.com</w:t>
      </w:r>
    </w:p>
    <w:p>
      <w:pPr>
        <w:spacing w:before="160" w:after="60"/>
        <w:ind w:left="0"/>
      </w:pPr>
      <w:r>
        <w:rPr>
          <w:rFonts w:ascii="Calibri" w:hAnsi="Calibri"/>
          <w:b/>
          <w:i w:val="0"/>
          <w:color w:val="2E75B6"/>
          <w:sz w:val="22"/>
        </w:rPr>
        <w:t xml:space="preserve">  Étape 1.2 — </w:t>
      </w:r>
      <w:r>
        <w:rPr>
          <w:rFonts w:ascii="Calibri" w:hAnsi="Calibri"/>
          <w:b/>
          <w:i w:val="0"/>
          <w:color w:val="1F3864"/>
          <w:sz w:val="22"/>
        </w:rPr>
        <w:t>Se connecter avec le compte Microsoft 365</w:t>
      </w:r>
    </w:p>
    <w:p>
      <w:pPr>
        <w:spacing w:before="40" w:after="120"/>
        <w:ind w:left="680"/>
        <w:jc w:val="both"/>
      </w:pPr>
      <w:r>
        <w:rPr>
          <w:rFonts w:ascii="Calibri" w:hAnsi="Calibri"/>
          <w:b w:val="0"/>
          <w:i w:val="0"/>
          <w:color w:val="000000"/>
          <w:sz w:val="21"/>
        </w:rPr>
        <w:t>Utiliser les identifiants Microsoft 365 de BTS (ex : admin@bts.cm). Si c'est la première connexion au portail Azure avec ce compte, Microsoft demandera d'activer un abonnement Azure. Choisir « Pay-As-You-Go » (paiement à l'usage) ou utiliser l'abonnement Azure existant de l'organisation.</w:t>
      </w:r>
    </w:p>
    <w:p>
      <w:pPr>
        <w:spacing w:before="200" w:after="80"/>
        <w:jc w:val="left"/>
      </w:pPr>
      <w:r>
        <w:rPr>
          <w:rFonts w:ascii="Calibri" w:hAnsi="Calibri"/>
          <w:b/>
          <w:i w:val="0"/>
          <w:color w:val="2E75B6"/>
          <w:sz w:val="24"/>
        </w:rPr>
        <w:t>Étape 2  —  Créer un compte de stockage Azure</w:t>
      </w:r>
    </w:p>
    <w:p>
      <w:pPr>
        <w:spacing w:before="160" w:after="60"/>
        <w:ind w:left="0"/>
      </w:pPr>
      <w:r>
        <w:rPr>
          <w:rFonts w:ascii="Calibri" w:hAnsi="Calibri"/>
          <w:b/>
          <w:i w:val="0"/>
          <w:color w:val="2E75B6"/>
          <w:sz w:val="22"/>
        </w:rPr>
        <w:t xml:space="preserve">  Étape 2.1 — </w:t>
      </w:r>
      <w:r>
        <w:rPr>
          <w:rFonts w:ascii="Calibri" w:hAnsi="Calibri"/>
          <w:b/>
          <w:i w:val="0"/>
          <w:color w:val="1F3864"/>
          <w:sz w:val="22"/>
        </w:rPr>
        <w:t>Accéder à la création d'un compte de stockage</w:t>
      </w:r>
    </w:p>
    <w:p>
      <w:pPr>
        <w:spacing w:before="40" w:after="120"/>
        <w:ind w:left="680"/>
        <w:jc w:val="both"/>
      </w:pPr>
      <w:r>
        <w:rPr>
          <w:rFonts w:ascii="Calibri" w:hAnsi="Calibri"/>
          <w:b w:val="0"/>
          <w:i w:val="0"/>
          <w:color w:val="000000"/>
          <w:sz w:val="21"/>
        </w:rPr>
        <w:t>Dans le portail Azure, cliquer sur « + Créer une ressource » (bouton en haut à gauche), puis rechercher « Compte de stockage » et cliquer sur « Créer ».</w:t>
      </w:r>
    </w:p>
    <w:p>
      <w:pPr>
        <w:spacing w:before="160" w:after="60"/>
        <w:ind w:left="0"/>
      </w:pPr>
      <w:r>
        <w:rPr>
          <w:rFonts w:ascii="Calibri" w:hAnsi="Calibri"/>
          <w:b/>
          <w:i w:val="0"/>
          <w:color w:val="2E75B6"/>
          <w:sz w:val="22"/>
        </w:rPr>
        <w:t xml:space="preserve">  Étape 2.2 — </w:t>
      </w:r>
      <w:r>
        <w:rPr>
          <w:rFonts w:ascii="Calibri" w:hAnsi="Calibri"/>
          <w:b/>
          <w:i w:val="0"/>
          <w:color w:val="1F3864"/>
          <w:sz w:val="22"/>
        </w:rPr>
        <w:t>Remplir les paramètres de base</w:t>
      </w:r>
    </w:p>
    <w:p>
      <w:pPr>
        <w:spacing w:before="40" w:after="120"/>
        <w:ind w:left="680"/>
        <w:jc w:val="both"/>
      </w:pPr>
      <w:r>
        <w:rPr>
          <w:rFonts w:ascii="Calibri" w:hAnsi="Calibri"/>
          <w:b w:val="0"/>
          <w:i w:val="0"/>
          <w:color w:val="000000"/>
          <w:sz w:val="21"/>
        </w:rPr>
        <w:t>Remplir le formulaire avec les valeurs suivantes :</w:t>
      </w:r>
    </w:p>
    <w:tbl>
      <w:tblPr>
        <w:tblW w:type="auto" w:w="0"/>
        <w:jc w:val="left"/>
        <w:tblLook w:firstColumn="1" w:firstRow="1" w:lastColumn="0" w:lastRow="0" w:noHBand="0" w:noVBand="1" w:val="04A0"/>
      </w:tblPr>
      <w:tblGrid>
        <w:gridCol w:w="2835"/>
        <w:gridCol w:w="6236"/>
      </w:tblGrid>
      <w:tr>
        <w:tc>
          <w:tcPr>
            <w:tcW w:type="dxa" w:w="4419"/>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1F3864"/>
          </w:tcPr>
          <w:p>
            <w:pPr>
              <w:spacing w:before="60" w:after="60"/>
              <w:jc w:val="center"/>
            </w:pPr>
            <w:r>
              <w:rPr>
                <w:rFonts w:ascii="Calibri" w:hAnsi="Calibri"/>
                <w:b/>
                <w:i w:val="0"/>
                <w:color w:val="FFFFFF"/>
                <w:sz w:val="20"/>
              </w:rPr>
              <w:t>Champ</w:t>
            </w:r>
          </w:p>
        </w:tc>
        <w:tc>
          <w:tcPr>
            <w:tcW w:type="dxa" w:w="4419"/>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1F3864"/>
          </w:tcPr>
          <w:p>
            <w:pPr>
              <w:spacing w:before="60" w:after="60"/>
              <w:jc w:val="center"/>
            </w:pPr>
            <w:r>
              <w:rPr>
                <w:rFonts w:ascii="Calibri" w:hAnsi="Calibri"/>
                <w:b/>
                <w:i w:val="0"/>
                <w:color w:val="FFFFFF"/>
                <w:sz w:val="20"/>
              </w:rPr>
              <w:t>Valeur recommandée</w:t>
            </w:r>
          </w:p>
        </w:tc>
      </w:tr>
      <w:tr>
        <w:tc>
          <w:tcPr>
            <w:tcW w:type="dxa" w:w="4419"/>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DEEAF1"/>
          </w:tcPr>
          <w:p>
            <w:pPr>
              <w:spacing w:before="60" w:after="60"/>
            </w:pPr>
            <w:r>
              <w:rPr>
                <w:rFonts w:ascii="Calibri" w:hAnsi="Calibri"/>
                <w:b/>
                <w:i w:val="0"/>
                <w:color w:val="1F3864"/>
                <w:sz w:val="20"/>
              </w:rPr>
              <w:t>Abonnement</w:t>
            </w:r>
          </w:p>
        </w:tc>
        <w:tc>
          <w:tcPr>
            <w:tcW w:type="dxa" w:w="4419"/>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F8FBFF"/>
          </w:tcPr>
          <w:p>
            <w:pPr>
              <w:spacing w:before="60" w:after="60"/>
            </w:pPr>
            <w:r>
              <w:rPr>
                <w:rFonts w:ascii="Calibri" w:hAnsi="Calibri"/>
                <w:b w:val="0"/>
                <w:i w:val="0"/>
                <w:color w:val="000000"/>
                <w:sz w:val="20"/>
              </w:rPr>
              <w:t>Abonnement Azure de BTS</w:t>
            </w:r>
          </w:p>
        </w:tc>
      </w:tr>
      <w:tr>
        <w:tc>
          <w:tcPr>
            <w:tcW w:type="dxa" w:w="4419"/>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DEEAF1"/>
          </w:tcPr>
          <w:p>
            <w:pPr>
              <w:spacing w:before="60" w:after="60"/>
            </w:pPr>
            <w:r>
              <w:rPr>
                <w:rFonts w:ascii="Calibri" w:hAnsi="Calibri"/>
                <w:b/>
                <w:i w:val="0"/>
                <w:color w:val="1F3864"/>
                <w:sz w:val="20"/>
              </w:rPr>
              <w:t>Groupe de ressources</w:t>
            </w:r>
          </w:p>
        </w:tc>
        <w:tc>
          <w:tcPr>
            <w:tcW w:type="dxa" w:w="4419"/>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EBF3FA"/>
          </w:tcPr>
          <w:p>
            <w:pPr>
              <w:spacing w:before="60" w:after="60"/>
            </w:pPr>
            <w:r>
              <w:rPr>
                <w:rFonts w:ascii="Calibri" w:hAnsi="Calibri"/>
                <w:b w:val="0"/>
                <w:i w:val="0"/>
                <w:color w:val="000000"/>
                <w:sz w:val="20"/>
              </w:rPr>
              <w:t>Créer nouveau → nommer : rg-invoicehub</w:t>
            </w:r>
          </w:p>
        </w:tc>
      </w:tr>
      <w:tr>
        <w:tc>
          <w:tcPr>
            <w:tcW w:type="dxa" w:w="4419"/>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DEEAF1"/>
          </w:tcPr>
          <w:p>
            <w:pPr>
              <w:spacing w:before="60" w:after="60"/>
            </w:pPr>
            <w:r>
              <w:rPr>
                <w:rFonts w:ascii="Calibri" w:hAnsi="Calibri"/>
                <w:b/>
                <w:i w:val="0"/>
                <w:color w:val="1F3864"/>
                <w:sz w:val="20"/>
              </w:rPr>
              <w:t>Nom du compte de stockage</w:t>
            </w:r>
          </w:p>
        </w:tc>
        <w:tc>
          <w:tcPr>
            <w:tcW w:type="dxa" w:w="4419"/>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F8FBFF"/>
          </w:tcPr>
          <w:p>
            <w:pPr>
              <w:spacing w:before="60" w:after="60"/>
            </w:pPr>
            <w:r>
              <w:rPr>
                <w:rFonts w:ascii="Calibri" w:hAnsi="Calibri"/>
                <w:b w:val="0"/>
                <w:i w:val="0"/>
                <w:color w:val="000000"/>
                <w:sz w:val="20"/>
              </w:rPr>
              <w:t>invoicehubbackups  (lettres et chiffres uniquement, 3-24 caractères)</w:t>
            </w:r>
          </w:p>
        </w:tc>
      </w:tr>
      <w:tr>
        <w:tc>
          <w:tcPr>
            <w:tcW w:type="dxa" w:w="4419"/>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DEEAF1"/>
          </w:tcPr>
          <w:p>
            <w:pPr>
              <w:spacing w:before="60" w:after="60"/>
            </w:pPr>
            <w:r>
              <w:rPr>
                <w:rFonts w:ascii="Calibri" w:hAnsi="Calibri"/>
                <w:b/>
                <w:i w:val="0"/>
                <w:color w:val="1F3864"/>
                <w:sz w:val="20"/>
              </w:rPr>
              <w:t>Région</w:t>
            </w:r>
          </w:p>
        </w:tc>
        <w:tc>
          <w:tcPr>
            <w:tcW w:type="dxa" w:w="4419"/>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EBF3FA"/>
          </w:tcPr>
          <w:p>
            <w:pPr>
              <w:spacing w:before="60" w:after="60"/>
            </w:pPr>
            <w:r>
              <w:rPr>
                <w:rFonts w:ascii="Calibri" w:hAnsi="Calibri"/>
                <w:b w:val="0"/>
                <w:i w:val="0"/>
                <w:color w:val="000000"/>
                <w:sz w:val="20"/>
              </w:rPr>
              <w:t>France Centre  ou  Europe Ouest  (le plus proche de Douala)</w:t>
            </w:r>
          </w:p>
        </w:tc>
      </w:tr>
      <w:tr>
        <w:tc>
          <w:tcPr>
            <w:tcW w:type="dxa" w:w="4419"/>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DEEAF1"/>
          </w:tcPr>
          <w:p>
            <w:pPr>
              <w:spacing w:before="60" w:after="60"/>
            </w:pPr>
            <w:r>
              <w:rPr>
                <w:rFonts w:ascii="Calibri" w:hAnsi="Calibri"/>
                <w:b/>
                <w:i w:val="0"/>
                <w:color w:val="1F3864"/>
                <w:sz w:val="20"/>
              </w:rPr>
              <w:t>Niveau de performance</w:t>
            </w:r>
          </w:p>
        </w:tc>
        <w:tc>
          <w:tcPr>
            <w:tcW w:type="dxa" w:w="4419"/>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F8FBFF"/>
          </w:tcPr>
          <w:p>
            <w:pPr>
              <w:spacing w:before="60" w:after="60"/>
            </w:pPr>
            <w:r>
              <w:rPr>
                <w:rFonts w:ascii="Calibri" w:hAnsi="Calibri"/>
                <w:b w:val="0"/>
                <w:i w:val="0"/>
                <w:color w:val="000000"/>
                <w:sz w:val="20"/>
              </w:rPr>
              <w:t>Standard</w:t>
            </w:r>
          </w:p>
        </w:tc>
      </w:tr>
      <w:tr>
        <w:tc>
          <w:tcPr>
            <w:tcW w:type="dxa" w:w="4419"/>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DEEAF1"/>
          </w:tcPr>
          <w:p>
            <w:pPr>
              <w:spacing w:before="60" w:after="60"/>
            </w:pPr>
            <w:r>
              <w:rPr>
                <w:rFonts w:ascii="Calibri" w:hAnsi="Calibri"/>
                <w:b/>
                <w:i w:val="0"/>
                <w:color w:val="1F3864"/>
                <w:sz w:val="20"/>
              </w:rPr>
              <w:t>Redondance</w:t>
            </w:r>
          </w:p>
        </w:tc>
        <w:tc>
          <w:tcPr>
            <w:tcW w:type="dxa" w:w="4419"/>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EBF3FA"/>
          </w:tcPr>
          <w:p>
            <w:pPr>
              <w:spacing w:before="60" w:after="60"/>
            </w:pPr>
            <w:r>
              <w:rPr>
                <w:rFonts w:ascii="Calibri" w:hAnsi="Calibri"/>
                <w:b w:val="0"/>
                <w:i w:val="0"/>
                <w:color w:val="000000"/>
                <w:sz w:val="20"/>
              </w:rPr>
              <w:t>LRS — Stockage localement redondant  (suffisant pour les backups)</w:t>
            </w:r>
          </w:p>
        </w:tc>
      </w:tr>
    </w:tbl>
    <w:p>
      <w:pPr>
        <w:spacing w:after="80"/>
      </w:pPr>
    </w:p>
    <w:p>
      <w:pPr>
        <w:spacing w:before="160" w:after="60"/>
        <w:ind w:left="0"/>
      </w:pPr>
      <w:r>
        <w:rPr>
          <w:rFonts w:ascii="Calibri" w:hAnsi="Calibri"/>
          <w:b/>
          <w:i w:val="0"/>
          <w:color w:val="2E75B6"/>
          <w:sz w:val="22"/>
        </w:rPr>
        <w:t xml:space="preserve">  Étape 2.3 — </w:t>
      </w:r>
      <w:r>
        <w:rPr>
          <w:rFonts w:ascii="Calibri" w:hAnsi="Calibri"/>
          <w:b/>
          <w:i w:val="0"/>
          <w:color w:val="1F3864"/>
          <w:sz w:val="22"/>
        </w:rPr>
        <w:t>Valider la création</w:t>
      </w:r>
    </w:p>
    <w:p>
      <w:pPr>
        <w:spacing w:before="40" w:after="120"/>
        <w:ind w:left="680"/>
        <w:jc w:val="both"/>
      </w:pPr>
      <w:r>
        <w:rPr>
          <w:rFonts w:ascii="Calibri" w:hAnsi="Calibri"/>
          <w:b w:val="0"/>
          <w:i w:val="0"/>
          <w:color w:val="000000"/>
          <w:sz w:val="21"/>
        </w:rPr>
        <w:t>Cliquer sur « Vérifier + créer », puis « Créer ». La création prend généralement moins de 2 minutes. Cliquer sur « Accéder à la ressource » une fois terminé.</w:t>
      </w:r>
    </w:p>
    <w:p>
      <w:pPr>
        <w:spacing w:before="200" w:after="80"/>
        <w:jc w:val="left"/>
      </w:pPr>
      <w:r>
        <w:rPr>
          <w:rFonts w:ascii="Calibri" w:hAnsi="Calibri"/>
          <w:b/>
          <w:i w:val="0"/>
          <w:color w:val="2E75B6"/>
          <w:sz w:val="24"/>
        </w:rPr>
        <w:t>Étape 3  —  Créer un conteneur de stockage</w:t>
      </w:r>
    </w:p>
    <w:p>
      <w:pPr>
        <w:spacing w:before="160" w:after="60"/>
        <w:ind w:left="0"/>
      </w:pPr>
      <w:r>
        <w:rPr>
          <w:rFonts w:ascii="Calibri" w:hAnsi="Calibri"/>
          <w:b/>
          <w:i w:val="0"/>
          <w:color w:val="2E75B6"/>
          <w:sz w:val="22"/>
        </w:rPr>
        <w:t xml:space="preserve">  Étape 3.1 — </w:t>
      </w:r>
      <w:r>
        <w:rPr>
          <w:rFonts w:ascii="Calibri" w:hAnsi="Calibri"/>
          <w:b/>
          <w:i w:val="0"/>
          <w:color w:val="1F3864"/>
          <w:sz w:val="22"/>
        </w:rPr>
        <w:t>Accéder aux conteneurs</w:t>
      </w:r>
    </w:p>
    <w:p>
      <w:pPr>
        <w:spacing w:before="40" w:after="120"/>
        <w:ind w:left="680"/>
        <w:jc w:val="both"/>
      </w:pPr>
      <w:r>
        <w:rPr>
          <w:rFonts w:ascii="Calibri" w:hAnsi="Calibri"/>
          <w:b w:val="0"/>
          <w:i w:val="0"/>
          <w:color w:val="000000"/>
          <w:sz w:val="21"/>
        </w:rPr>
        <w:t>Dans la page du compte de stockage, dans le menu de gauche, cliquer sur « Stockage de données » → « Conteneurs ».</w:t>
      </w:r>
    </w:p>
    <w:p>
      <w:pPr>
        <w:spacing w:before="160" w:after="60"/>
        <w:ind w:left="0"/>
      </w:pPr>
      <w:r>
        <w:rPr>
          <w:rFonts w:ascii="Calibri" w:hAnsi="Calibri"/>
          <w:b/>
          <w:i w:val="0"/>
          <w:color w:val="2E75B6"/>
          <w:sz w:val="22"/>
        </w:rPr>
        <w:t xml:space="preserve">  Étape 3.2 — </w:t>
      </w:r>
      <w:r>
        <w:rPr>
          <w:rFonts w:ascii="Calibri" w:hAnsi="Calibri"/>
          <w:b/>
          <w:i w:val="0"/>
          <w:color w:val="1F3864"/>
          <w:sz w:val="22"/>
        </w:rPr>
        <w:t>Créer le conteneur des sauvegardes</w:t>
      </w:r>
    </w:p>
    <w:p>
      <w:pPr>
        <w:spacing w:before="40" w:after="120"/>
        <w:ind w:left="680"/>
        <w:jc w:val="both"/>
      </w:pPr>
      <w:r>
        <w:rPr>
          <w:rFonts w:ascii="Calibri" w:hAnsi="Calibri"/>
          <w:b w:val="0"/>
          <w:i w:val="0"/>
          <w:color w:val="000000"/>
          <w:sz w:val="21"/>
        </w:rPr>
        <w:t>Cliquer sur « + Conteneur » et renseigner :</w:t>
      </w:r>
    </w:p>
    <w:tbl>
      <w:tblPr>
        <w:tblW w:type="auto" w:w="0"/>
        <w:jc w:val="left"/>
        <w:tblLook w:firstColumn="1" w:firstRow="1" w:lastColumn="0" w:lastRow="0" w:noHBand="0" w:noVBand="1" w:val="04A0"/>
      </w:tblPr>
      <w:tblGrid>
        <w:gridCol w:w="2835"/>
        <w:gridCol w:w="6236"/>
      </w:tblGrid>
      <w:tr>
        <w:tc>
          <w:tcPr>
            <w:tcW w:type="dxa" w:w="4419"/>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1F3864"/>
          </w:tcPr>
          <w:p>
            <w:pPr>
              <w:spacing w:before="60" w:after="60"/>
              <w:jc w:val="center"/>
            </w:pPr>
            <w:r>
              <w:rPr>
                <w:rFonts w:ascii="Calibri" w:hAnsi="Calibri"/>
                <w:b/>
                <w:i w:val="0"/>
                <w:color w:val="FFFFFF"/>
                <w:sz w:val="20"/>
              </w:rPr>
              <w:t>Champ</w:t>
            </w:r>
          </w:p>
        </w:tc>
        <w:tc>
          <w:tcPr>
            <w:tcW w:type="dxa" w:w="4419"/>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1F3864"/>
          </w:tcPr>
          <w:p>
            <w:pPr>
              <w:spacing w:before="60" w:after="60"/>
              <w:jc w:val="center"/>
            </w:pPr>
            <w:r>
              <w:rPr>
                <w:rFonts w:ascii="Calibri" w:hAnsi="Calibri"/>
                <w:b/>
                <w:i w:val="0"/>
                <w:color w:val="FFFFFF"/>
                <w:sz w:val="20"/>
              </w:rPr>
              <w:t>Valeur</w:t>
            </w:r>
          </w:p>
        </w:tc>
      </w:tr>
      <w:tr>
        <w:tc>
          <w:tcPr>
            <w:tcW w:type="dxa" w:w="4419"/>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DEEAF1"/>
          </w:tcPr>
          <w:p>
            <w:pPr>
              <w:spacing w:before="60" w:after="60"/>
            </w:pPr>
            <w:r>
              <w:rPr>
                <w:rFonts w:ascii="Calibri" w:hAnsi="Calibri"/>
                <w:b/>
                <w:i w:val="0"/>
                <w:color w:val="1F3864"/>
                <w:sz w:val="20"/>
              </w:rPr>
              <w:t>Nom</w:t>
            </w:r>
          </w:p>
        </w:tc>
        <w:tc>
          <w:tcPr>
            <w:tcW w:type="dxa" w:w="4419"/>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F8FBFF"/>
          </w:tcPr>
          <w:p>
            <w:pPr>
              <w:spacing w:before="60" w:after="60"/>
            </w:pPr>
            <w:r>
              <w:rPr>
                <w:rFonts w:ascii="Calibri" w:hAnsi="Calibri"/>
                <w:b w:val="0"/>
                <w:i w:val="0"/>
                <w:color w:val="000000"/>
                <w:sz w:val="20"/>
              </w:rPr>
              <w:t>invoicehub-backups</w:t>
            </w:r>
          </w:p>
        </w:tc>
      </w:tr>
      <w:tr>
        <w:tc>
          <w:tcPr>
            <w:tcW w:type="dxa" w:w="4419"/>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DEEAF1"/>
          </w:tcPr>
          <w:p>
            <w:pPr>
              <w:spacing w:before="60" w:after="60"/>
            </w:pPr>
            <w:r>
              <w:rPr>
                <w:rFonts w:ascii="Calibri" w:hAnsi="Calibri"/>
                <w:b/>
                <w:i w:val="0"/>
                <w:color w:val="1F3864"/>
                <w:sz w:val="20"/>
              </w:rPr>
              <w:t>Niveau d'accès public</w:t>
            </w:r>
          </w:p>
        </w:tc>
        <w:tc>
          <w:tcPr>
            <w:tcW w:type="dxa" w:w="4419"/>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EBF3FA"/>
          </w:tcPr>
          <w:p>
            <w:pPr>
              <w:spacing w:before="60" w:after="60"/>
            </w:pPr>
            <w:r>
              <w:rPr>
                <w:rFonts w:ascii="Calibri" w:hAnsi="Calibri"/>
                <w:b w:val="0"/>
                <w:i w:val="0"/>
                <w:color w:val="C00000"/>
                <w:sz w:val="20"/>
              </w:rPr>
              <w:t>Privé (aucun accès anonyme)  ← IMPORTANT</w:t>
            </w:r>
          </w:p>
        </w:tc>
      </w:tr>
    </w:tbl>
    <w:p>
      <w:pPr>
        <w:spacing w:after="80"/>
      </w:pPr>
    </w:p>
    <w:p>
      <w:pPr>
        <w:spacing w:before="160" w:after="60"/>
        <w:ind w:left="0"/>
      </w:pPr>
      <w:r>
        <w:rPr>
          <w:rFonts w:ascii="Calibri" w:hAnsi="Calibri"/>
          <w:b/>
          <w:i w:val="0"/>
          <w:color w:val="2E75B6"/>
          <w:sz w:val="22"/>
        </w:rPr>
        <w:t xml:space="preserve">  Étape 3.3 — </w:t>
      </w:r>
      <w:r>
        <w:rPr>
          <w:rFonts w:ascii="Calibri" w:hAnsi="Calibri"/>
          <w:b/>
          <w:i w:val="0"/>
          <w:color w:val="1F3864"/>
          <w:sz w:val="22"/>
        </w:rPr>
        <w:t>Valider</w:t>
      </w:r>
    </w:p>
    <w:p>
      <w:pPr>
        <w:spacing w:before="40" w:after="120"/>
        <w:ind w:left="680"/>
        <w:jc w:val="both"/>
      </w:pPr>
      <w:r>
        <w:rPr>
          <w:rFonts w:ascii="Calibri" w:hAnsi="Calibri"/>
          <w:b w:val="0"/>
          <w:i w:val="0"/>
          <w:color w:val="000000"/>
          <w:sz w:val="21"/>
        </w:rPr>
        <w:t>Cliquer sur « Créer ». Le conteneur « invoicehub-backups » apparaît dans la liste.</w:t>
      </w:r>
    </w:p>
    <w:p>
      <w:pPr>
        <w:spacing w:before="200" w:after="80"/>
        <w:jc w:val="left"/>
      </w:pPr>
      <w:r>
        <w:rPr>
          <w:rFonts w:ascii="Calibri" w:hAnsi="Calibri"/>
          <w:b/>
          <w:i w:val="0"/>
          <w:color w:val="2E75B6"/>
          <w:sz w:val="24"/>
        </w:rPr>
        <w:t>Étape 4  —  Récupérer la chaîne de connexion</w:t>
      </w:r>
    </w:p>
    <w:p>
      <w:pPr>
        <w:spacing w:before="160" w:after="60"/>
        <w:ind w:left="0"/>
      </w:pPr>
      <w:r>
        <w:rPr>
          <w:rFonts w:ascii="Calibri" w:hAnsi="Calibri"/>
          <w:b/>
          <w:i w:val="0"/>
          <w:color w:val="2E75B6"/>
          <w:sz w:val="22"/>
        </w:rPr>
        <w:t xml:space="preserve">  Étape 4.1 — </w:t>
      </w:r>
      <w:r>
        <w:rPr>
          <w:rFonts w:ascii="Calibri" w:hAnsi="Calibri"/>
          <w:b/>
          <w:i w:val="0"/>
          <w:color w:val="1F3864"/>
          <w:sz w:val="22"/>
        </w:rPr>
        <w:t>Accéder aux clés d'accès</w:t>
      </w:r>
    </w:p>
    <w:p>
      <w:pPr>
        <w:spacing w:before="40" w:after="120"/>
        <w:ind w:left="680"/>
        <w:jc w:val="both"/>
      </w:pPr>
      <w:r>
        <w:rPr>
          <w:rFonts w:ascii="Calibri" w:hAnsi="Calibri"/>
          <w:b w:val="0"/>
          <w:i w:val="0"/>
          <w:color w:val="000000"/>
          <w:sz w:val="21"/>
        </w:rPr>
        <w:t>Dans la page du compte de stockage, dans le menu de gauche, cliquer sur « Sécurité + réseau » → « Clés d'accès ».</w:t>
      </w:r>
    </w:p>
    <w:p>
      <w:pPr>
        <w:spacing w:before="160" w:after="60"/>
        <w:ind w:left="0"/>
      </w:pPr>
      <w:r>
        <w:rPr>
          <w:rFonts w:ascii="Calibri" w:hAnsi="Calibri"/>
          <w:b/>
          <w:i w:val="0"/>
          <w:color w:val="2E75B6"/>
          <w:sz w:val="22"/>
        </w:rPr>
        <w:t xml:space="preserve">  Étape 4.2 — </w:t>
      </w:r>
      <w:r>
        <w:rPr>
          <w:rFonts w:ascii="Calibri" w:hAnsi="Calibri"/>
          <w:b/>
          <w:i w:val="0"/>
          <w:color w:val="1F3864"/>
          <w:sz w:val="22"/>
        </w:rPr>
        <w:t>Afficher et copier la chaîne de connexion</w:t>
      </w:r>
    </w:p>
    <w:p>
      <w:pPr>
        <w:spacing w:before="40" w:after="120"/>
        <w:ind w:left="680"/>
        <w:jc w:val="both"/>
      </w:pPr>
      <w:r>
        <w:rPr>
          <w:rFonts w:ascii="Calibri" w:hAnsi="Calibri"/>
          <w:b w:val="0"/>
          <w:i w:val="0"/>
          <w:color w:val="000000"/>
          <w:sz w:val="21"/>
        </w:rPr>
        <w:t>Cliquer sur « Afficher les clés » si elles sont masquées. Dans la section « key1 », copier la valeur du champ « Chaîne de connexion » (Connection string). Elle ressemble à :</w:t>
      </w:r>
    </w:p>
    <w:tbl>
      <w:tblPr>
        <w:tblW w:type="auto" w:w="0"/>
        <w:jc w:val="left"/>
        <w:tblLook w:firstColumn="1" w:firstRow="1" w:lastColumn="0" w:lastRow="0" w:noHBand="0" w:noVBand="1" w:val="04A0"/>
      </w:tblPr>
      <w:tblGrid>
        <w:gridCol w:w="8838"/>
      </w:tblGrid>
      <w:tr>
        <w:tc>
          <w:tcPr>
            <w:tcW w:type="dxa" w:w="8838"/>
            <w:shd w:val="clear" w:color="auto" w:fill="F2F2F2"/>
            <w:tcBorders>
              <w:top w:val="single" w:sz="4" w:space="0" w:color="AAAAAA"/>
              <w:left w:val="single" w:sz="4" w:space="0" w:color="AAAAAA"/>
              <w:bottom w:val="single" w:sz="4" w:space="0" w:color="AAAAAA"/>
              <w:right w:val="single" w:sz="4" w:space="0" w:color="AAAAAA"/>
            </w:tcBorders>
          </w:tcPr>
          <w:p>
            <w:pPr>
              <w:spacing w:before="20" w:after="20"/>
              <w:ind w:left="170"/>
            </w:pPr>
            <w:r>
              <w:rPr>
                <w:rFonts w:ascii="Courier New" w:hAnsi="Courier New"/>
                <w:b w:val="0"/>
                <w:i w:val="0"/>
                <w:color w:val="1F501F"/>
                <w:sz w:val="19"/>
              </w:rPr>
              <w:t>DefaultEndpointsProtocol=https;AccountName=invoicehubbackups;</w:t>
            </w:r>
          </w:p>
          <w:p>
            <w:pPr>
              <w:spacing w:before="20" w:after="20"/>
              <w:ind w:left="170"/>
            </w:pPr>
            <w:r>
              <w:rPr>
                <w:rFonts w:ascii="Courier New" w:hAnsi="Courier New"/>
                <w:b w:val="0"/>
                <w:i w:val="0"/>
                <w:color w:val="1F501F"/>
                <w:sz w:val="19"/>
              </w:rPr>
              <w:t>AccountKey=aBcDeFgHiJkLmNoPqRsTuVwXyZ123456789==;</w:t>
            </w:r>
          </w:p>
          <w:p>
            <w:pPr>
              <w:spacing w:before="20" w:after="20"/>
              <w:ind w:left="170"/>
            </w:pPr>
            <w:r>
              <w:rPr>
                <w:rFonts w:ascii="Courier New" w:hAnsi="Courier New"/>
                <w:b w:val="0"/>
                <w:i w:val="0"/>
                <w:color w:val="1F501F"/>
                <w:sz w:val="19"/>
              </w:rPr>
              <w:t>EndpointSuffix=core.windows.net</w:t>
            </w:r>
          </w:p>
        </w:tc>
      </w:tr>
    </w:tbl>
    <w:p>
      <w:pPr>
        <w:spacing w:after="80"/>
      </w:pPr>
    </w:p>
    <w:tbl>
      <w:tblPr>
        <w:tblW w:type="auto" w:w="0"/>
        <w:jc w:val="left"/>
        <w:tblLook w:firstColumn="1" w:firstRow="1" w:lastColumn="0" w:lastRow="0" w:noHBand="0" w:noVBand="1" w:val="04A0"/>
      </w:tblPr>
      <w:tblGrid>
        <w:gridCol w:w="8838"/>
      </w:tblGrid>
      <w:tr>
        <w:tc>
          <w:tcPr>
            <w:tcW w:type="dxa" w:w="8838"/>
            <w:shd w:val="clear" w:color="auto" w:fill="FFF2CC"/>
            <w:tcBorders>
              <w:top w:val="single" w:sz="18" w:space="0" w:color="BF8F00"/>
              <w:left w:val="single" w:sz="18" w:space="0" w:color="BF8F00"/>
              <w:bottom w:val="single" w:sz="18" w:space="0" w:color="BF8F00"/>
              <w:right w:val="single" w:sz="18" w:space="0" w:color="BF8F00"/>
            </w:tcBorders>
          </w:tcPr>
          <w:p>
            <w:pPr>
              <w:spacing w:before="100" w:after="100"/>
              <w:ind w:left="113" w:right="113"/>
            </w:pPr>
            <w:r>
              <w:rPr>
                <w:rFonts w:ascii="Calibri" w:hAnsi="Calibri"/>
                <w:b/>
                <w:i w:val="0"/>
                <w:color w:val="1F3864"/>
                <w:sz w:val="22"/>
              </w:rPr>
              <w:t xml:space="preserve">Sécurité :  </w:t>
            </w:r>
            <w:r>
              <w:rPr>
                <w:rFonts w:ascii="Calibri" w:hAnsi="Calibri"/>
                <w:b w:val="0"/>
                <w:i w:val="0"/>
                <w:color w:val="000000"/>
                <w:sz w:val="22"/>
              </w:rPr>
              <w:t>Cette chaîne de connexion donne un accès complet au compte de stockage. Ne jamais la committer dans Git, ne jamais la partager par email. La stocker uniquement dans le fichier .env du serveur.</w:t>
            </w:r>
          </w:p>
        </w:tc>
      </w:tr>
    </w:tbl>
    <w:p>
      <w:pPr>
        <w:spacing w:after="40"/>
      </w:pPr>
    </w:p>
    <w:p>
      <w:pPr>
        <w:spacing w:before="200" w:after="80"/>
        <w:jc w:val="left"/>
      </w:pPr>
      <w:r>
        <w:rPr>
          <w:rFonts w:ascii="Calibri" w:hAnsi="Calibri"/>
          <w:b/>
          <w:i w:val="0"/>
          <w:color w:val="2E75B6"/>
          <w:sz w:val="24"/>
        </w:rPr>
        <w:t>Étape 5  —  Configurer le backend InvoiceHub</w:t>
      </w:r>
    </w:p>
    <w:p>
      <w:pPr>
        <w:spacing w:before="160" w:after="60"/>
        <w:ind w:left="0"/>
      </w:pPr>
      <w:r>
        <w:rPr>
          <w:rFonts w:ascii="Calibri" w:hAnsi="Calibri"/>
          <w:b/>
          <w:i w:val="0"/>
          <w:color w:val="2E75B6"/>
          <w:sz w:val="22"/>
        </w:rPr>
        <w:t xml:space="preserve">  Étape 5.1 — </w:t>
      </w:r>
      <w:r>
        <w:rPr>
          <w:rFonts w:ascii="Calibri" w:hAnsi="Calibri"/>
          <w:b/>
          <w:i w:val="0"/>
          <w:color w:val="1F3864"/>
          <w:sz w:val="22"/>
        </w:rPr>
        <w:t>Modifier le fichier .env</w:t>
      </w:r>
    </w:p>
    <w:p>
      <w:pPr>
        <w:spacing w:before="40" w:after="120"/>
        <w:ind w:left="680"/>
        <w:jc w:val="both"/>
      </w:pPr>
      <w:r>
        <w:rPr>
          <w:rFonts w:ascii="Calibri" w:hAnsi="Calibri"/>
          <w:b w:val="0"/>
          <w:i w:val="0"/>
          <w:color w:val="000000"/>
          <w:sz w:val="21"/>
        </w:rPr>
        <w:t>Sur le serveur d'application, ouvrir le fichier .env et ajouter ou modifier les variables suivantes :</w:t>
      </w:r>
    </w:p>
    <w:tbl>
      <w:tblPr>
        <w:tblW w:type="auto" w:w="0"/>
        <w:jc w:val="left"/>
        <w:tblLook w:firstColumn="1" w:firstRow="1" w:lastColumn="0" w:lastRow="0" w:noHBand="0" w:noVBand="1" w:val="04A0"/>
      </w:tblPr>
      <w:tblGrid>
        <w:gridCol w:w="8838"/>
      </w:tblGrid>
      <w:tr>
        <w:tc>
          <w:tcPr>
            <w:tcW w:type="dxa" w:w="8838"/>
            <w:shd w:val="clear" w:color="auto" w:fill="F2F2F2"/>
            <w:tcBorders>
              <w:top w:val="single" w:sz="4" w:space="0" w:color="AAAAAA"/>
              <w:left w:val="single" w:sz="4" w:space="0" w:color="AAAAAA"/>
              <w:bottom w:val="single" w:sz="4" w:space="0" w:color="AAAAAA"/>
              <w:right w:val="single" w:sz="4" w:space="0" w:color="AAAAAA"/>
            </w:tcBorders>
          </w:tcPr>
          <w:p>
            <w:pPr>
              <w:spacing w:before="20" w:after="20"/>
              <w:ind w:left="170"/>
            </w:pPr>
            <w:r>
              <w:rPr>
                <w:rFonts w:ascii="Courier New" w:hAnsi="Courier New"/>
                <w:b w:val="0"/>
                <w:i w:val="0"/>
                <w:color w:val="1F501F"/>
                <w:sz w:val="19"/>
              </w:rPr>
              <w:t># Stockage des backups — Microsoft Azure Blob Storage</w:t>
            </w:r>
          </w:p>
          <w:p>
            <w:pPr>
              <w:spacing w:before="20" w:after="20"/>
              <w:ind w:left="170"/>
            </w:pPr>
            <w:r>
              <w:rPr>
                <w:rFonts w:ascii="Courier New" w:hAnsi="Courier New"/>
                <w:b w:val="0"/>
                <w:i w:val="0"/>
                <w:color w:val="1F501F"/>
                <w:sz w:val="19"/>
              </w:rPr>
              <w:t>BACKUP_STORAGE_DISK=azure</w:t>
            </w:r>
          </w:p>
          <w:p>
            <w:pPr>
              <w:spacing w:before="20" w:after="20"/>
              <w:ind w:left="170"/>
            </w:pPr>
            <w:r>
              <w:rPr>
                <w:rFonts w:ascii="Courier New" w:hAnsi="Courier New"/>
                <w:b w:val="0"/>
                <w:i w:val="0"/>
                <w:color w:val="1F501F"/>
                <w:sz w:val="19"/>
              </w:rPr>
              <w:t>AZURE_STORAGE_CONNECTION_STRING=DefaultEndpointsProtocol=https;AccountName=invoicehubbackups;AccountKey=...;EndpointSuffix=core.windows.net</w:t>
            </w:r>
          </w:p>
          <w:p>
            <w:pPr>
              <w:spacing w:before="20" w:after="20"/>
              <w:ind w:left="170"/>
            </w:pPr>
            <w:r>
              <w:rPr>
                <w:rFonts w:ascii="Courier New" w:hAnsi="Courier New"/>
                <w:b w:val="0"/>
                <w:i w:val="0"/>
                <w:color w:val="1F501F"/>
                <w:sz w:val="19"/>
              </w:rPr>
              <w:t>AZURE_STORAGE_CONTAINER=invoicehub-backups</w:t>
            </w:r>
          </w:p>
          <w:p>
            <w:pPr>
              <w:spacing w:before="20" w:after="20"/>
              <w:ind w:left="170"/>
            </w:pPr>
            <w:r>
              <w:rPr>
                <w:rFonts w:ascii="Courier New" w:hAnsi="Courier New"/>
                <w:b w:val="0"/>
                <w:i w:val="0"/>
                <w:color w:val="1F501F"/>
                <w:sz w:val="19"/>
              </w:rPr>
            </w:r>
          </w:p>
          <w:p>
            <w:pPr>
              <w:spacing w:before="20" w:after="20"/>
              <w:ind w:left="170"/>
            </w:pPr>
            <w:r>
              <w:rPr>
                <w:rFonts w:ascii="Courier New" w:hAnsi="Courier New"/>
                <w:b w:val="0"/>
                <w:i w:val="0"/>
                <w:color w:val="1F501F"/>
                <w:sz w:val="19"/>
              </w:rPr>
              <w:t># Rétention automatique : suppression des backups de plus de 30 jours</w:t>
            </w:r>
          </w:p>
          <w:p>
            <w:pPr>
              <w:spacing w:before="20" w:after="20"/>
              <w:ind w:left="170"/>
            </w:pPr>
            <w:r>
              <w:rPr>
                <w:rFonts w:ascii="Courier New" w:hAnsi="Courier New"/>
                <w:b w:val="0"/>
                <w:i w:val="0"/>
                <w:color w:val="1F501F"/>
                <w:sz w:val="19"/>
              </w:rPr>
              <w:t>BACKUP_RETENTION_DAYS=30</w:t>
            </w:r>
          </w:p>
          <w:p>
            <w:pPr>
              <w:spacing w:before="20" w:after="20"/>
              <w:ind w:left="170"/>
            </w:pPr>
            <w:r>
              <w:rPr>
                <w:rFonts w:ascii="Courier New" w:hAnsi="Courier New"/>
                <w:b w:val="0"/>
                <w:i w:val="0"/>
                <w:color w:val="1F501F"/>
                <w:sz w:val="19"/>
              </w:rPr>
            </w:r>
          </w:p>
          <w:p>
            <w:pPr>
              <w:spacing w:before="20" w:after="20"/>
              <w:ind w:left="170"/>
            </w:pPr>
            <w:r>
              <w:rPr>
                <w:rFonts w:ascii="Courier New" w:hAnsi="Courier New"/>
                <w:b w:val="0"/>
                <w:i w:val="0"/>
                <w:color w:val="1F501F"/>
                <w:sz w:val="19"/>
              </w:rPr>
              <w:t># Cron : backup automatique chaque jour à minuit UTC</w:t>
            </w:r>
          </w:p>
          <w:p>
            <w:pPr>
              <w:spacing w:before="20" w:after="20"/>
              <w:ind w:left="170"/>
            </w:pPr>
            <w:r>
              <w:rPr>
                <w:rFonts w:ascii="Courier New" w:hAnsi="Courier New"/>
                <w:b w:val="0"/>
                <w:i w:val="0"/>
                <w:color w:val="1F501F"/>
                <w:sz w:val="19"/>
              </w:rPr>
              <w:t>BACKUP_CRON=0 0 * * *</w:t>
            </w:r>
          </w:p>
        </w:tc>
      </w:tr>
    </w:tbl>
    <w:p>
      <w:pPr>
        <w:spacing w:after="80"/>
      </w:pPr>
    </w:p>
    <w:p>
      <w:pPr>
        <w:spacing w:before="160" w:after="60"/>
        <w:ind w:left="0"/>
      </w:pPr>
      <w:r>
        <w:rPr>
          <w:rFonts w:ascii="Calibri" w:hAnsi="Calibri"/>
          <w:b/>
          <w:i w:val="0"/>
          <w:color w:val="2E75B6"/>
          <w:sz w:val="22"/>
        </w:rPr>
        <w:t xml:space="preserve">  Étape 5.2 — </w:t>
      </w:r>
      <w:r>
        <w:rPr>
          <w:rFonts w:ascii="Calibri" w:hAnsi="Calibri"/>
          <w:b/>
          <w:i w:val="0"/>
          <w:color w:val="1F3864"/>
          <w:sz w:val="22"/>
        </w:rPr>
        <w:t>Installer le package Azure SDK</w:t>
      </w:r>
    </w:p>
    <w:p>
      <w:pPr>
        <w:spacing w:before="40" w:after="120"/>
        <w:ind w:left="680"/>
        <w:jc w:val="both"/>
      </w:pPr>
      <w:r>
        <w:rPr>
          <w:rFonts w:ascii="Calibri" w:hAnsi="Calibri"/>
          <w:b w:val="0"/>
          <w:i w:val="0"/>
          <w:color w:val="000000"/>
          <w:sz w:val="21"/>
        </w:rPr>
        <w:t>Dans le répertoire bridge-backend, exécuter la commande suivante pour installer le SDK Azure Blob Storage :</w:t>
      </w:r>
    </w:p>
    <w:tbl>
      <w:tblPr>
        <w:tblW w:type="auto" w:w="0"/>
        <w:jc w:val="left"/>
        <w:tblLook w:firstColumn="1" w:firstRow="1" w:lastColumn="0" w:lastRow="0" w:noHBand="0" w:noVBand="1" w:val="04A0"/>
      </w:tblPr>
      <w:tblGrid>
        <w:gridCol w:w="8838"/>
      </w:tblGrid>
      <w:tr>
        <w:tc>
          <w:tcPr>
            <w:tcW w:type="dxa" w:w="8838"/>
            <w:shd w:val="clear" w:color="auto" w:fill="F2F2F2"/>
            <w:tcBorders>
              <w:top w:val="single" w:sz="4" w:space="0" w:color="AAAAAA"/>
              <w:left w:val="single" w:sz="4" w:space="0" w:color="AAAAAA"/>
              <w:bottom w:val="single" w:sz="4" w:space="0" w:color="AAAAAA"/>
              <w:right w:val="single" w:sz="4" w:space="0" w:color="AAAAAA"/>
            </w:tcBorders>
          </w:tcPr>
          <w:p>
            <w:pPr>
              <w:spacing w:before="20" w:after="20"/>
              <w:ind w:left="170"/>
            </w:pPr>
            <w:r>
              <w:rPr>
                <w:rFonts w:ascii="Courier New" w:hAnsi="Courier New"/>
                <w:b w:val="0"/>
                <w:i w:val="0"/>
                <w:color w:val="1F501F"/>
                <w:sz w:val="19"/>
              </w:rPr>
              <w:t>pnpm add @azure/storage-blob</w:t>
            </w:r>
          </w:p>
        </w:tc>
      </w:tr>
    </w:tbl>
    <w:p>
      <w:pPr>
        <w:spacing w:after="80"/>
      </w:pPr>
    </w:p>
    <w:p>
      <w:pPr>
        <w:spacing w:before="160" w:after="60"/>
        <w:ind w:left="0"/>
      </w:pPr>
      <w:r>
        <w:rPr>
          <w:rFonts w:ascii="Calibri" w:hAnsi="Calibri"/>
          <w:b/>
          <w:i w:val="0"/>
          <w:color w:val="2E75B6"/>
          <w:sz w:val="22"/>
        </w:rPr>
        <w:t xml:space="preserve">  Étape 5.3 — </w:t>
      </w:r>
      <w:r>
        <w:rPr>
          <w:rFonts w:ascii="Calibri" w:hAnsi="Calibri"/>
          <w:b/>
          <w:i w:val="0"/>
          <w:color w:val="1F3864"/>
          <w:sz w:val="22"/>
        </w:rPr>
        <w:t>Redémarrer le serveur</w:t>
      </w:r>
    </w:p>
    <w:p>
      <w:pPr>
        <w:spacing w:before="40" w:after="120"/>
        <w:ind w:left="680"/>
        <w:jc w:val="both"/>
      </w:pPr>
      <w:r>
        <w:rPr>
          <w:rFonts w:ascii="Calibri" w:hAnsi="Calibri"/>
          <w:b w:val="0"/>
          <w:i w:val="0"/>
          <w:color w:val="000000"/>
          <w:sz w:val="21"/>
        </w:rPr>
        <w:t>Redémarrer l'application pour que les nouvelles variables d'environnement soient prises en compte :</w:t>
      </w:r>
    </w:p>
    <w:tbl>
      <w:tblPr>
        <w:tblW w:type="auto" w:w="0"/>
        <w:jc w:val="left"/>
        <w:tblLook w:firstColumn="1" w:firstRow="1" w:lastColumn="0" w:lastRow="0" w:noHBand="0" w:noVBand="1" w:val="04A0"/>
      </w:tblPr>
      <w:tblGrid>
        <w:gridCol w:w="8838"/>
      </w:tblGrid>
      <w:tr>
        <w:tc>
          <w:tcPr>
            <w:tcW w:type="dxa" w:w="8838"/>
            <w:shd w:val="clear" w:color="auto" w:fill="F2F2F2"/>
            <w:tcBorders>
              <w:top w:val="single" w:sz="4" w:space="0" w:color="AAAAAA"/>
              <w:left w:val="single" w:sz="4" w:space="0" w:color="AAAAAA"/>
              <w:bottom w:val="single" w:sz="4" w:space="0" w:color="AAAAAA"/>
              <w:right w:val="single" w:sz="4" w:space="0" w:color="AAAAAA"/>
            </w:tcBorders>
          </w:tcPr>
          <w:p>
            <w:pPr>
              <w:spacing w:before="20" w:after="20"/>
              <w:ind w:left="170"/>
            </w:pPr>
            <w:r>
              <w:rPr>
                <w:rFonts w:ascii="Courier New" w:hAnsi="Courier New"/>
                <w:b w:val="0"/>
                <w:i w:val="0"/>
                <w:color w:val="1F501F"/>
                <w:sz w:val="19"/>
              </w:rPr>
              <w:t># Mode développement</w:t>
            </w:r>
          </w:p>
          <w:p>
            <w:pPr>
              <w:spacing w:before="20" w:after="20"/>
              <w:ind w:left="170"/>
            </w:pPr>
            <w:r>
              <w:rPr>
                <w:rFonts w:ascii="Courier New" w:hAnsi="Courier New"/>
                <w:b w:val="0"/>
                <w:i w:val="0"/>
                <w:color w:val="1F501F"/>
                <w:sz w:val="19"/>
              </w:rPr>
              <w:t>pnpm dev</w:t>
            </w:r>
          </w:p>
          <w:p>
            <w:pPr>
              <w:spacing w:before="20" w:after="20"/>
              <w:ind w:left="170"/>
            </w:pPr>
            <w:r>
              <w:rPr>
                <w:rFonts w:ascii="Courier New" w:hAnsi="Courier New"/>
                <w:b w:val="0"/>
                <w:i w:val="0"/>
                <w:color w:val="1F501F"/>
                <w:sz w:val="19"/>
              </w:rPr>
            </w:r>
          </w:p>
          <w:p>
            <w:pPr>
              <w:spacing w:before="20" w:after="20"/>
              <w:ind w:left="170"/>
            </w:pPr>
            <w:r>
              <w:rPr>
                <w:rFonts w:ascii="Courier New" w:hAnsi="Courier New"/>
                <w:b w:val="0"/>
                <w:i w:val="0"/>
                <w:color w:val="1F501F"/>
                <w:sz w:val="19"/>
              </w:rPr>
              <w:t># Mode production (Docker)</w:t>
            </w:r>
          </w:p>
          <w:p>
            <w:pPr>
              <w:spacing w:before="20" w:after="20"/>
              <w:ind w:left="170"/>
            </w:pPr>
            <w:r>
              <w:rPr>
                <w:rFonts w:ascii="Courier New" w:hAnsi="Courier New"/>
                <w:b w:val="0"/>
                <w:i w:val="0"/>
                <w:color w:val="1F501F"/>
                <w:sz w:val="19"/>
              </w:rPr>
              <w:t>docker-compose down &amp;&amp; docker-compose up -d</w:t>
            </w:r>
          </w:p>
        </w:tc>
      </w:tr>
    </w:tbl>
    <w:p>
      <w:pPr>
        <w:spacing w:after="80"/>
      </w:pPr>
    </w:p>
    <w:p>
      <w:pPr>
        <w:spacing w:before="200" w:after="80"/>
        <w:jc w:val="left"/>
      </w:pPr>
      <w:r>
        <w:rPr>
          <w:rFonts w:ascii="Calibri" w:hAnsi="Calibri"/>
          <w:b/>
          <w:i w:val="0"/>
          <w:color w:val="2E75B6"/>
          <w:sz w:val="24"/>
        </w:rPr>
        <w:t>Étape 6  —  Tester et vérifier</w:t>
      </w:r>
    </w:p>
    <w:p>
      <w:pPr>
        <w:spacing w:before="160" w:after="60"/>
        <w:ind w:left="0"/>
      </w:pPr>
      <w:r>
        <w:rPr>
          <w:rFonts w:ascii="Calibri" w:hAnsi="Calibri"/>
          <w:b/>
          <w:i w:val="0"/>
          <w:color w:val="2E75B6"/>
          <w:sz w:val="22"/>
        </w:rPr>
        <w:t xml:space="preserve">  Étape 6.1 — </w:t>
      </w:r>
      <w:r>
        <w:rPr>
          <w:rFonts w:ascii="Calibri" w:hAnsi="Calibri"/>
          <w:b/>
          <w:i w:val="0"/>
          <w:color w:val="1F3864"/>
          <w:sz w:val="22"/>
        </w:rPr>
        <w:t>Déclencher un backup manuel via l'API</w:t>
      </w:r>
    </w:p>
    <w:p>
      <w:pPr>
        <w:spacing w:before="40" w:after="120"/>
        <w:ind w:left="680"/>
        <w:jc w:val="both"/>
      </w:pPr>
      <w:r>
        <w:rPr>
          <w:rFonts w:ascii="Calibri" w:hAnsi="Calibri"/>
          <w:b w:val="0"/>
          <w:i w:val="0"/>
          <w:color w:val="000000"/>
          <w:sz w:val="21"/>
        </w:rPr>
        <w:t>Depuis Postman ou un terminal, envoyer une requête POST pour déclencher un backup manuel :</w:t>
      </w:r>
    </w:p>
    <w:tbl>
      <w:tblPr>
        <w:tblW w:type="auto" w:w="0"/>
        <w:jc w:val="left"/>
        <w:tblLook w:firstColumn="1" w:firstRow="1" w:lastColumn="0" w:lastRow="0" w:noHBand="0" w:noVBand="1" w:val="04A0"/>
      </w:tblPr>
      <w:tblGrid>
        <w:gridCol w:w="8838"/>
      </w:tblGrid>
      <w:tr>
        <w:tc>
          <w:tcPr>
            <w:tcW w:type="dxa" w:w="8838"/>
            <w:shd w:val="clear" w:color="auto" w:fill="F2F2F2"/>
            <w:tcBorders>
              <w:top w:val="single" w:sz="4" w:space="0" w:color="AAAAAA"/>
              <w:left w:val="single" w:sz="4" w:space="0" w:color="AAAAAA"/>
              <w:bottom w:val="single" w:sz="4" w:space="0" w:color="AAAAAA"/>
              <w:right w:val="single" w:sz="4" w:space="0" w:color="AAAAAA"/>
            </w:tcBorders>
          </w:tcPr>
          <w:p>
            <w:pPr>
              <w:spacing w:before="20" w:after="20"/>
              <w:ind w:left="170"/>
            </w:pPr>
            <w:r>
              <w:rPr>
                <w:rFonts w:ascii="Courier New" w:hAnsi="Courier New"/>
                <w:b w:val="0"/>
                <w:i w:val="0"/>
                <w:color w:val="1F501F"/>
                <w:sz w:val="19"/>
              </w:rPr>
              <w:t>POST /api/backups</w:t>
            </w:r>
          </w:p>
          <w:p>
            <w:pPr>
              <w:spacing w:before="20" w:after="20"/>
              <w:ind w:left="170"/>
            </w:pPr>
            <w:r>
              <w:rPr>
                <w:rFonts w:ascii="Courier New" w:hAnsi="Courier New"/>
                <w:b w:val="0"/>
                <w:i w:val="0"/>
                <w:color w:val="1F501F"/>
                <w:sz w:val="19"/>
              </w:rPr>
              <w:t>Authorization: Bearer &lt;token_admin&gt;</w:t>
            </w:r>
          </w:p>
          <w:p>
            <w:pPr>
              <w:spacing w:before="20" w:after="20"/>
              <w:ind w:left="170"/>
            </w:pPr>
            <w:r>
              <w:rPr>
                <w:rFonts w:ascii="Courier New" w:hAnsi="Courier New"/>
                <w:b w:val="0"/>
                <w:i w:val="0"/>
                <w:color w:val="1F501F"/>
                <w:sz w:val="19"/>
              </w:rPr>
            </w:r>
          </w:p>
          <w:p>
            <w:pPr>
              <w:spacing w:before="20" w:after="20"/>
              <w:ind w:left="170"/>
            </w:pPr>
            <w:r>
              <w:rPr>
                <w:rFonts w:ascii="Courier New" w:hAnsi="Courier New"/>
                <w:b w:val="0"/>
                <w:i w:val="0"/>
                <w:color w:val="1F501F"/>
                <w:sz w:val="19"/>
              </w:rPr>
              <w:t># Réponse attendue (202 Accepted) :</w:t>
            </w:r>
          </w:p>
          <w:p>
            <w:pPr>
              <w:spacing w:before="20" w:after="20"/>
              <w:ind w:left="170"/>
            </w:pPr>
            <w:r>
              <w:rPr>
                <w:rFonts w:ascii="Courier New" w:hAnsi="Courier New"/>
                <w:b w:val="0"/>
                <w:i w:val="0"/>
                <w:color w:val="1F501F"/>
                <w:sz w:val="19"/>
              </w:rPr>
              <w:t>{ "success": true, "data": { "id": "uuid", "status": "pending", ... } }</w:t>
            </w:r>
          </w:p>
        </w:tc>
      </w:tr>
    </w:tbl>
    <w:p>
      <w:pPr>
        <w:spacing w:after="80"/>
      </w:pPr>
    </w:p>
    <w:p>
      <w:pPr>
        <w:spacing w:before="160" w:after="60"/>
        <w:ind w:left="0"/>
      </w:pPr>
      <w:r>
        <w:rPr>
          <w:rFonts w:ascii="Calibri" w:hAnsi="Calibri"/>
          <w:b/>
          <w:i w:val="0"/>
          <w:color w:val="2E75B6"/>
          <w:sz w:val="22"/>
        </w:rPr>
        <w:t xml:space="preserve">  Étape 6.2 — </w:t>
      </w:r>
      <w:r>
        <w:rPr>
          <w:rFonts w:ascii="Calibri" w:hAnsi="Calibri"/>
          <w:b/>
          <w:i w:val="0"/>
          <w:color w:val="1F3864"/>
          <w:sz w:val="22"/>
        </w:rPr>
        <w:t>Vérifier le statut du backup</w:t>
      </w:r>
    </w:p>
    <w:p>
      <w:pPr>
        <w:spacing w:before="40" w:after="120"/>
        <w:ind w:left="680"/>
        <w:jc w:val="both"/>
      </w:pPr>
      <w:r>
        <w:rPr>
          <w:rFonts w:ascii="Calibri" w:hAnsi="Calibri"/>
          <w:b w:val="0"/>
          <w:i w:val="0"/>
          <w:color w:val="000000"/>
          <w:sz w:val="21"/>
        </w:rPr>
        <w:t>Après quelques secondes (selon la taille de la base), vérifier que le statut est passé à « success » :</w:t>
      </w:r>
    </w:p>
    <w:tbl>
      <w:tblPr>
        <w:tblW w:type="auto" w:w="0"/>
        <w:jc w:val="left"/>
        <w:tblLook w:firstColumn="1" w:firstRow="1" w:lastColumn="0" w:lastRow="0" w:noHBand="0" w:noVBand="1" w:val="04A0"/>
      </w:tblPr>
      <w:tblGrid>
        <w:gridCol w:w="8838"/>
      </w:tblGrid>
      <w:tr>
        <w:tc>
          <w:tcPr>
            <w:tcW w:type="dxa" w:w="8838"/>
            <w:shd w:val="clear" w:color="auto" w:fill="F2F2F2"/>
            <w:tcBorders>
              <w:top w:val="single" w:sz="4" w:space="0" w:color="AAAAAA"/>
              <w:left w:val="single" w:sz="4" w:space="0" w:color="AAAAAA"/>
              <w:bottom w:val="single" w:sz="4" w:space="0" w:color="AAAAAA"/>
              <w:right w:val="single" w:sz="4" w:space="0" w:color="AAAAAA"/>
            </w:tcBorders>
          </w:tcPr>
          <w:p>
            <w:pPr>
              <w:spacing w:before="20" w:after="20"/>
              <w:ind w:left="170"/>
            </w:pPr>
            <w:r>
              <w:rPr>
                <w:rFonts w:ascii="Courier New" w:hAnsi="Courier New"/>
                <w:b w:val="0"/>
                <w:i w:val="0"/>
                <w:color w:val="1F501F"/>
                <w:sz w:val="19"/>
              </w:rPr>
              <w:t>GET /api/backups/&lt;id&gt;</w:t>
            </w:r>
          </w:p>
          <w:p>
            <w:pPr>
              <w:spacing w:before="20" w:after="20"/>
              <w:ind w:left="170"/>
            </w:pPr>
            <w:r>
              <w:rPr>
                <w:rFonts w:ascii="Courier New" w:hAnsi="Courier New"/>
                <w:b w:val="0"/>
                <w:i w:val="0"/>
                <w:color w:val="1F501F"/>
                <w:sz w:val="19"/>
              </w:rPr>
              <w:t>Authorization: Bearer &lt;token_admin&gt;</w:t>
            </w:r>
          </w:p>
          <w:p>
            <w:pPr>
              <w:spacing w:before="20" w:after="20"/>
              <w:ind w:left="170"/>
            </w:pPr>
            <w:r>
              <w:rPr>
                <w:rFonts w:ascii="Courier New" w:hAnsi="Courier New"/>
                <w:b w:val="0"/>
                <w:i w:val="0"/>
                <w:color w:val="1F501F"/>
                <w:sz w:val="19"/>
              </w:rPr>
            </w:r>
          </w:p>
          <w:p>
            <w:pPr>
              <w:spacing w:before="20" w:after="20"/>
              <w:ind w:left="170"/>
            </w:pPr>
            <w:r>
              <w:rPr>
                <w:rFonts w:ascii="Courier New" w:hAnsi="Courier New"/>
                <w:b w:val="0"/>
                <w:i w:val="0"/>
                <w:color w:val="1F501F"/>
                <w:sz w:val="19"/>
              </w:rPr>
              <w:t># Réponse attendue :</w:t>
            </w:r>
          </w:p>
          <w:p>
            <w:pPr>
              <w:spacing w:before="20" w:after="20"/>
              <w:ind w:left="170"/>
            </w:pPr>
            <w:r>
              <w:rPr>
                <w:rFonts w:ascii="Courier New" w:hAnsi="Courier New"/>
                <w:b w:val="0"/>
                <w:i w:val="0"/>
                <w:color w:val="1F501F"/>
                <w:sz w:val="19"/>
              </w:rPr>
              <w:t>{ "data": { "status": "success", "storageDisk": "azure", "sizeMb": "2.34", ... } }</w:t>
            </w:r>
          </w:p>
        </w:tc>
      </w:tr>
    </w:tbl>
    <w:p>
      <w:pPr>
        <w:spacing w:after="80"/>
      </w:pPr>
    </w:p>
    <w:p>
      <w:pPr>
        <w:spacing w:before="160" w:after="60"/>
        <w:ind w:left="0"/>
      </w:pPr>
      <w:r>
        <w:rPr>
          <w:rFonts w:ascii="Calibri" w:hAnsi="Calibri"/>
          <w:b/>
          <w:i w:val="0"/>
          <w:color w:val="2E75B6"/>
          <w:sz w:val="22"/>
        </w:rPr>
        <w:t xml:space="preserve">  Étape 6.3 — </w:t>
      </w:r>
      <w:r>
        <w:rPr>
          <w:rFonts w:ascii="Calibri" w:hAnsi="Calibri"/>
          <w:b/>
          <w:i w:val="0"/>
          <w:color w:val="1F3864"/>
          <w:sz w:val="22"/>
        </w:rPr>
        <w:t>Vérifier le fichier dans le portail Azure</w:t>
      </w:r>
    </w:p>
    <w:p>
      <w:pPr>
        <w:spacing w:before="40" w:after="120"/>
        <w:ind w:left="680"/>
        <w:jc w:val="both"/>
      </w:pPr>
      <w:r>
        <w:rPr>
          <w:rFonts w:ascii="Calibri" w:hAnsi="Calibri"/>
          <w:b w:val="0"/>
          <w:i w:val="0"/>
          <w:color w:val="000000"/>
          <w:sz w:val="21"/>
        </w:rPr>
        <w:t>Dans le portail Azure → Compte de stockage → Conteneurs → invoicehub-backups, le fichier invoicehub_YYYYMMDD_HHMMSS.sql.gz doit apparaître dans la liste.</w:t>
      </w:r>
    </w:p>
    <w:p>
      <w:pPr>
        <w:spacing w:before="160" w:after="60"/>
        <w:ind w:left="0"/>
      </w:pPr>
      <w:r>
        <w:rPr>
          <w:rFonts w:ascii="Calibri" w:hAnsi="Calibri"/>
          <w:b/>
          <w:i w:val="0"/>
          <w:color w:val="2E75B6"/>
          <w:sz w:val="22"/>
        </w:rPr>
        <w:t xml:space="preserve">  Étape 6.4 — </w:t>
      </w:r>
      <w:r>
        <w:rPr>
          <w:rFonts w:ascii="Calibri" w:hAnsi="Calibri"/>
          <w:b/>
          <w:i w:val="0"/>
          <w:color w:val="1F3864"/>
          <w:sz w:val="22"/>
        </w:rPr>
        <w:t>Tester le téléchargement</w:t>
      </w:r>
    </w:p>
    <w:p>
      <w:pPr>
        <w:spacing w:before="40" w:after="120"/>
        <w:ind w:left="680"/>
        <w:jc w:val="both"/>
      </w:pPr>
      <w:r>
        <w:rPr>
          <w:rFonts w:ascii="Calibri" w:hAnsi="Calibri"/>
          <w:b w:val="0"/>
          <w:i w:val="0"/>
          <w:color w:val="000000"/>
          <w:sz w:val="21"/>
        </w:rPr>
        <w:t>Vérifier que le lien de téléchargement fonctionne :</w:t>
      </w:r>
    </w:p>
    <w:tbl>
      <w:tblPr>
        <w:tblW w:type="auto" w:w="0"/>
        <w:jc w:val="left"/>
        <w:tblLook w:firstColumn="1" w:firstRow="1" w:lastColumn="0" w:lastRow="0" w:noHBand="0" w:noVBand="1" w:val="04A0"/>
      </w:tblPr>
      <w:tblGrid>
        <w:gridCol w:w="8838"/>
      </w:tblGrid>
      <w:tr>
        <w:tc>
          <w:tcPr>
            <w:tcW w:type="dxa" w:w="8838"/>
            <w:shd w:val="clear" w:color="auto" w:fill="F2F2F2"/>
            <w:tcBorders>
              <w:top w:val="single" w:sz="4" w:space="0" w:color="AAAAAA"/>
              <w:left w:val="single" w:sz="4" w:space="0" w:color="AAAAAA"/>
              <w:bottom w:val="single" w:sz="4" w:space="0" w:color="AAAAAA"/>
              <w:right w:val="single" w:sz="4" w:space="0" w:color="AAAAAA"/>
            </w:tcBorders>
          </w:tcPr>
          <w:p>
            <w:pPr>
              <w:spacing w:before="20" w:after="20"/>
              <w:ind w:left="170"/>
            </w:pPr>
            <w:r>
              <w:rPr>
                <w:rFonts w:ascii="Courier New" w:hAnsi="Courier New"/>
                <w:b w:val="0"/>
                <w:i w:val="0"/>
                <w:color w:val="1F501F"/>
                <w:sz w:val="19"/>
              </w:rPr>
              <w:t>GET /api/backups/&lt;id&gt;/download</w:t>
            </w:r>
          </w:p>
          <w:p>
            <w:pPr>
              <w:spacing w:before="20" w:after="20"/>
              <w:ind w:left="170"/>
            </w:pPr>
            <w:r>
              <w:rPr>
                <w:rFonts w:ascii="Courier New" w:hAnsi="Courier New"/>
                <w:b w:val="0"/>
                <w:i w:val="0"/>
                <w:color w:val="1F501F"/>
                <w:sz w:val="19"/>
              </w:rPr>
              <w:t>Authorization: Bearer &lt;token_admin&gt;</w:t>
            </w:r>
          </w:p>
          <w:p>
            <w:pPr>
              <w:spacing w:before="20" w:after="20"/>
              <w:ind w:left="170"/>
            </w:pPr>
            <w:r>
              <w:rPr>
                <w:rFonts w:ascii="Courier New" w:hAnsi="Courier New"/>
                <w:b w:val="0"/>
                <w:i w:val="0"/>
                <w:color w:val="1F501F"/>
                <w:sz w:val="19"/>
              </w:rPr>
            </w:r>
          </w:p>
          <w:p>
            <w:pPr>
              <w:spacing w:before="20" w:after="20"/>
              <w:ind w:left="170"/>
            </w:pPr>
            <w:r>
              <w:rPr>
                <w:rFonts w:ascii="Courier New" w:hAnsi="Courier New"/>
                <w:b w:val="0"/>
                <w:i w:val="0"/>
                <w:color w:val="1F501F"/>
                <w:sz w:val="19"/>
              </w:rPr>
              <w:t># Réponse attendue : redirection 302 vers une URL SAS Azure (expire en 5 min)</w:t>
            </w:r>
          </w:p>
        </w:tc>
      </w:tr>
    </w:tbl>
    <w:p>
      <w:pPr>
        <w:spacing w:after="80"/>
      </w:pPr>
    </w:p>
    <w:p>
      <w:pPr>
        <w:spacing w:before="200" w:after="80"/>
        <w:jc w:val="left"/>
      </w:pPr>
      <w:r>
        <w:rPr>
          <w:rFonts w:ascii="Calibri" w:hAnsi="Calibri"/>
          <w:b/>
          <w:i w:val="0"/>
          <w:color w:val="2E75B6"/>
          <w:sz w:val="24"/>
        </w:rPr>
        <w:t>Récapitulatif des coûts estimés</w:t>
      </w:r>
    </w:p>
    <w:tbl>
      <w:tblPr>
        <w:tblW w:type="auto" w:w="0"/>
        <w:jc w:val="left"/>
        <w:tblLook w:firstColumn="1" w:firstRow="1" w:lastColumn="0" w:lastRow="0" w:noHBand="0" w:noVBand="1" w:val="04A0"/>
      </w:tblPr>
      <w:tblGrid>
        <w:gridCol w:w="2946"/>
        <w:gridCol w:w="2946"/>
        <w:gridCol w:w="2946"/>
      </w:tblGrid>
      <w:tr>
        <w:tc>
          <w:tcPr>
            <w:tcW w:type="dxa" w:w="2551"/>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1F3864"/>
          </w:tcPr>
          <w:p>
            <w:pPr>
              <w:spacing w:before="60" w:after="60"/>
              <w:jc w:val="center"/>
            </w:pPr>
            <w:r>
              <w:rPr>
                <w:rFonts w:ascii="Calibri" w:hAnsi="Calibri"/>
                <w:b/>
                <w:i w:val="0"/>
                <w:color w:val="FFFFFF"/>
                <w:sz w:val="20"/>
              </w:rPr>
              <w:t>Poste</w:t>
            </w:r>
          </w:p>
        </w:tc>
        <w:tc>
          <w:tcPr>
            <w:tcW w:type="dxa" w:w="4252"/>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1F3864"/>
          </w:tcPr>
          <w:p>
            <w:pPr>
              <w:spacing w:before="60" w:after="60"/>
              <w:jc w:val="center"/>
            </w:pPr>
            <w:r>
              <w:rPr>
                <w:rFonts w:ascii="Calibri" w:hAnsi="Calibri"/>
                <w:b/>
                <w:i w:val="0"/>
                <w:color w:val="FFFFFF"/>
                <w:sz w:val="20"/>
              </w:rPr>
              <w:t>Détail</w:t>
            </w:r>
          </w:p>
        </w:tc>
        <w:tc>
          <w:tcPr>
            <w:tcW w:type="dxa" w:w="2551"/>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1F3864"/>
          </w:tcPr>
          <w:p>
            <w:pPr>
              <w:spacing w:before="60" w:after="60"/>
              <w:jc w:val="center"/>
            </w:pPr>
            <w:r>
              <w:rPr>
                <w:rFonts w:ascii="Calibri" w:hAnsi="Calibri"/>
                <w:b/>
                <w:i w:val="0"/>
                <w:color w:val="FFFFFF"/>
                <w:sz w:val="20"/>
              </w:rPr>
              <w:t>Coût estimé / mois</w:t>
            </w:r>
          </w:p>
        </w:tc>
      </w:tr>
      <w:tr>
        <w:tc>
          <w:tcPr>
            <w:tcW w:type="dxa" w:w="2551"/>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F8FBFF"/>
          </w:tcPr>
          <w:p>
            <w:pPr>
              <w:spacing w:before="60" w:after="60"/>
            </w:pPr>
            <w:r>
              <w:rPr>
                <w:rFonts w:ascii="Calibri" w:hAnsi="Calibri"/>
                <w:b w:val="0"/>
                <w:i w:val="0"/>
                <w:color w:val="000000"/>
                <w:sz w:val="20"/>
              </w:rPr>
              <w:t>Stockage LRS (Europe)</w:t>
            </w:r>
          </w:p>
        </w:tc>
        <w:tc>
          <w:tcPr>
            <w:tcW w:type="dxa" w:w="4252"/>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F8FBFF"/>
          </w:tcPr>
          <w:p>
            <w:pPr>
              <w:spacing w:before="60" w:after="60"/>
            </w:pPr>
            <w:r>
              <w:rPr>
                <w:rFonts w:ascii="Calibri" w:hAnsi="Calibri"/>
                <w:b w:val="0"/>
                <w:i w:val="0"/>
                <w:color w:val="000000"/>
                <w:sz w:val="20"/>
              </w:rPr>
              <w:t>30 backups × ~200 Mo = 6 Go compressés</w:t>
            </w:r>
          </w:p>
        </w:tc>
        <w:tc>
          <w:tcPr>
            <w:tcW w:type="dxa" w:w="2551"/>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F8FBFF"/>
          </w:tcPr>
          <w:p>
            <w:pPr>
              <w:spacing w:before="60" w:after="60"/>
            </w:pPr>
            <w:r>
              <w:rPr>
                <w:rFonts w:ascii="Calibri" w:hAnsi="Calibri"/>
                <w:b w:val="0"/>
                <w:i w:val="0"/>
                <w:color w:val="000000"/>
                <w:sz w:val="20"/>
              </w:rPr>
              <w:t>~0,11 € / mois</w:t>
            </w:r>
          </w:p>
        </w:tc>
      </w:tr>
      <w:tr>
        <w:tc>
          <w:tcPr>
            <w:tcW w:type="dxa" w:w="2551"/>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EBF3FA"/>
          </w:tcPr>
          <w:p>
            <w:pPr>
              <w:spacing w:before="60" w:after="60"/>
            </w:pPr>
            <w:r>
              <w:rPr>
                <w:rFonts w:ascii="Calibri" w:hAnsi="Calibri"/>
                <w:b w:val="0"/>
                <w:i w:val="0"/>
                <w:color w:val="000000"/>
                <w:sz w:val="20"/>
              </w:rPr>
              <w:t>Opérations d'écriture</w:t>
            </w:r>
          </w:p>
        </w:tc>
        <w:tc>
          <w:tcPr>
            <w:tcW w:type="dxa" w:w="4252"/>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EBF3FA"/>
          </w:tcPr>
          <w:p>
            <w:pPr>
              <w:spacing w:before="60" w:after="60"/>
            </w:pPr>
            <w:r>
              <w:rPr>
                <w:rFonts w:ascii="Calibri" w:hAnsi="Calibri"/>
                <w:b w:val="0"/>
                <w:i w:val="0"/>
                <w:color w:val="000000"/>
                <w:sz w:val="20"/>
              </w:rPr>
              <w:t>30 PUT operations</w:t>
            </w:r>
          </w:p>
        </w:tc>
        <w:tc>
          <w:tcPr>
            <w:tcW w:type="dxa" w:w="2551"/>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EBF3FA"/>
          </w:tcPr>
          <w:p>
            <w:pPr>
              <w:spacing w:before="60" w:after="60"/>
            </w:pPr>
            <w:r>
              <w:rPr>
                <w:rFonts w:ascii="Calibri" w:hAnsi="Calibri"/>
                <w:b w:val="0"/>
                <w:i w:val="0"/>
                <w:color w:val="000000"/>
                <w:sz w:val="20"/>
              </w:rPr>
              <w:t>&lt; 0,01 € / mois</w:t>
            </w:r>
          </w:p>
        </w:tc>
      </w:tr>
      <w:tr>
        <w:tc>
          <w:tcPr>
            <w:tcW w:type="dxa" w:w="2551"/>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F8FBFF"/>
          </w:tcPr>
          <w:p>
            <w:pPr>
              <w:spacing w:before="60" w:after="60"/>
            </w:pPr>
            <w:r>
              <w:rPr>
                <w:rFonts w:ascii="Calibri" w:hAnsi="Calibri"/>
                <w:b w:val="0"/>
                <w:i w:val="0"/>
                <w:color w:val="000000"/>
                <w:sz w:val="20"/>
              </w:rPr>
              <w:t>Transfert sortant</w:t>
            </w:r>
          </w:p>
        </w:tc>
        <w:tc>
          <w:tcPr>
            <w:tcW w:type="dxa" w:w="4252"/>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F8FBFF"/>
          </w:tcPr>
          <w:p>
            <w:pPr>
              <w:spacing w:before="60" w:after="60"/>
            </w:pPr>
            <w:r>
              <w:rPr>
                <w:rFonts w:ascii="Calibri" w:hAnsi="Calibri"/>
                <w:b w:val="0"/>
                <w:i w:val="0"/>
                <w:color w:val="000000"/>
                <w:sz w:val="20"/>
              </w:rPr>
              <w:t>Téléchargements occasionnels</w:t>
            </w:r>
          </w:p>
        </w:tc>
        <w:tc>
          <w:tcPr>
            <w:tcW w:type="dxa" w:w="2551"/>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F8FBFF"/>
          </w:tcPr>
          <w:p>
            <w:pPr>
              <w:spacing w:before="60" w:after="60"/>
            </w:pPr>
            <w:r>
              <w:rPr>
                <w:rFonts w:ascii="Calibri" w:hAnsi="Calibri"/>
                <w:b w:val="0"/>
                <w:i w:val="0"/>
                <w:color w:val="000000"/>
                <w:sz w:val="20"/>
              </w:rPr>
              <w:t>&lt; 0,50 € / mois</w:t>
            </w:r>
          </w:p>
        </w:tc>
      </w:tr>
      <w:tr>
        <w:tc>
          <w:tcPr>
            <w:tcW w:type="dxa" w:w="2551"/>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E2EFDA"/>
          </w:tcPr>
          <w:p>
            <w:pPr>
              <w:spacing w:before="60" w:after="60"/>
            </w:pPr>
            <w:r>
              <w:rPr>
                <w:rFonts w:ascii="Calibri" w:hAnsi="Calibri"/>
                <w:b/>
                <w:i w:val="0"/>
                <w:color w:val="375623"/>
                <w:sz w:val="20"/>
              </w:rPr>
              <w:t>Total estimé</w:t>
            </w:r>
          </w:p>
        </w:tc>
        <w:tc>
          <w:tcPr>
            <w:tcW w:type="dxa" w:w="4252"/>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E2EFDA"/>
          </w:tcPr>
          <w:p>
            <w:pPr>
              <w:spacing w:before="60" w:after="60"/>
            </w:pPr>
            <w:r>
              <w:rPr>
                <w:rFonts w:ascii="Calibri" w:hAnsi="Calibri"/>
                <w:b/>
                <w:i w:val="0"/>
                <w:color w:val="375623"/>
                <w:sz w:val="20"/>
              </w:rPr>
            </w:r>
          </w:p>
        </w:tc>
        <w:tc>
          <w:tcPr>
            <w:tcW w:type="dxa" w:w="2551"/>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shd w:val="clear" w:color="auto" w:fill="E2EFDA"/>
          </w:tcPr>
          <w:p>
            <w:pPr>
              <w:spacing w:before="60" w:after="60"/>
            </w:pPr>
            <w:r>
              <w:rPr>
                <w:rFonts w:ascii="Calibri" w:hAnsi="Calibri"/>
                <w:b/>
                <w:i w:val="0"/>
                <w:color w:val="375623"/>
                <w:sz w:val="20"/>
              </w:rPr>
              <w:t>&lt; 1 € / mois</w:t>
            </w:r>
          </w:p>
        </w:tc>
      </w:tr>
    </w:tbl>
    <w:p/>
    <w:tbl>
      <w:tblPr>
        <w:tblW w:type="auto" w:w="0"/>
        <w:jc w:val="left"/>
        <w:tblLook w:firstColumn="1" w:firstRow="1" w:lastColumn="0" w:lastRow="0" w:noHBand="0" w:noVBand="1" w:val="04A0"/>
      </w:tblPr>
      <w:tblGrid>
        <w:gridCol w:w="8838"/>
      </w:tblGrid>
      <w:tr>
        <w:tc>
          <w:tcPr>
            <w:tcW w:type="dxa" w:w="8838"/>
            <w:shd w:val="clear" w:color="auto" w:fill="E2EFDA"/>
            <w:tcBorders>
              <w:top w:val="single" w:sz="18" w:space="0" w:color="375623"/>
              <w:left w:val="single" w:sz="18" w:space="0" w:color="375623"/>
              <w:bottom w:val="single" w:sz="18" w:space="0" w:color="375623"/>
              <w:right w:val="single" w:sz="18" w:space="0" w:color="375623"/>
            </w:tcBorders>
          </w:tcPr>
          <w:p>
            <w:pPr>
              <w:spacing w:before="100" w:after="100"/>
              <w:ind w:left="113" w:right="113"/>
            </w:pPr>
            <w:r>
              <w:rPr>
                <w:rFonts w:ascii="Calibri" w:hAnsi="Calibri"/>
                <w:b/>
                <w:i w:val="0"/>
                <w:color w:val="1F3864"/>
                <w:sz w:val="22"/>
              </w:rPr>
              <w:t xml:space="preserve">Conclusion de la procédure :  </w:t>
            </w:r>
            <w:r>
              <w:rPr>
                <w:rFonts w:ascii="Calibri" w:hAnsi="Calibri"/>
                <w:b w:val="0"/>
                <w:i w:val="0"/>
                <w:color w:val="000000"/>
                <w:sz w:val="22"/>
              </w:rPr>
              <w:t>La mise en place d'Azure Blob Storage pour InvoiceHub v2.0 ne nécessite aucune compétence cloud avancée. La procédure complète (étapes 1 à 6) peut être réalisée en moins de 30 minutes. Une fois configuré, le système fonctionne de manière entièrement autonome : backup automatique chaque nuit, rétention sur 30 jours, et accès sécurisé par lien temporaire pour les téléchargements.</w:t>
            </w:r>
          </w:p>
        </w:tc>
      </w:tr>
    </w:tbl>
    <w:p>
      <w:pPr>
        <w:spacing w:after="40"/>
      </w:pPr>
    </w:p>
    <w:p>
      <w:pPr>
        <w:pBdr>
          <w:bottom w:val="single" w:sz="6" w:space="1" w:color="2E75B6"/>
        </w:pBdr>
        <w:spacing w:after="120"/>
      </w:pPr>
    </w:p>
    <w:p>
      <w:pPr>
        <w:spacing w:before="80"/>
        <w:jc w:val="center"/>
      </w:pPr>
      <w:r>
        <w:rPr>
          <w:rFonts w:ascii="Calibri" w:hAnsi="Calibri"/>
          <w:b w:val="0"/>
          <w:i w:val="0"/>
          <w:color w:val="404040"/>
          <w:sz w:val="18"/>
        </w:rPr>
        <w:t>Équipe de développement  ·  Bridge Technologies Solutions  ·  Douala, Cameroun  ·  Mars 2026  ·  InvoiceHub v2.0</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