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3A8C" w14:textId="5945A3DF" w:rsidR="005B674A" w:rsidRDefault="005B674A" w:rsidP="00EB133A">
      <w:pPr>
        <w:pStyle w:val="Heading1"/>
      </w:pPr>
      <w:r>
        <w:t xml:space="preserve">Authors: Trey Carr, </w:t>
      </w:r>
    </w:p>
    <w:p w14:paraId="52F7464D" w14:textId="77777777" w:rsidR="005B674A" w:rsidRDefault="005B674A" w:rsidP="00EB133A">
      <w:pPr>
        <w:pStyle w:val="Heading1"/>
      </w:pPr>
    </w:p>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2669A88D"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r w:rsidR="004561B8">
        <w:t>YYY</w:t>
      </w:r>
      <w:commentRangeEnd w:id="1"/>
      <w:r w:rsidR="008610C9">
        <w:rPr>
          <w:rStyle w:val="CommentReference"/>
        </w:rPr>
        <w:commentReference w:id="1"/>
      </w:r>
      <w:r w:rsidR="004561B8">
        <w:t>.</w:t>
      </w:r>
      <w:r w:rsidR="004B0142">
        <w:t xml:space="preserve">  We excluded participants if they </w:t>
      </w:r>
      <w:r w:rsidR="0053238C">
        <w:t xml:space="preserve">were </w:t>
      </w:r>
      <w:commentRangeStart w:id="2"/>
      <w:r w:rsidR="004B0142">
        <w:t>YYY</w:t>
      </w:r>
      <w:commentRangeEnd w:id="2"/>
      <w:r w:rsidR="008610C9">
        <w:rPr>
          <w:rStyle w:val="CommentReference"/>
        </w:rPr>
        <w:commentReference w:id="2"/>
      </w:r>
      <w:r w:rsidR="004B0142">
        <w:t>.</w:t>
      </w:r>
      <w:r w:rsidR="00927FED">
        <w:t xml:space="preserve">  Race and ethnicity were self-reported, with groups of &lt;10 aggregated into the other category.</w:t>
      </w:r>
    </w:p>
    <w:p w14:paraId="3EB20B21" w14:textId="01228E93"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w:t>
      </w:r>
      <w:r w:rsidR="00DC7FDB">
        <w:lastRenderedPageBreak/>
        <w:t>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5"/>
      <w:r w:rsidR="00934570">
        <w:t xml:space="preserve">(284 vs 72) </w:t>
      </w:r>
      <w:commentRangeEnd w:id="5"/>
      <w:r w:rsidR="00934570">
        <w:rPr>
          <w:rStyle w:val="CommentReference"/>
        </w:rPr>
        <w:commentReference w:id="5"/>
      </w:r>
      <w:r w:rsidR="00934570">
        <w:t>and a higher body mass index for patients with Cushing’s disease (both p&lt;0.001).</w:t>
      </w:r>
      <w:r w:rsidR="00B019BA">
        <w:t xml:space="preserve">  </w:t>
      </w:r>
      <w:commentRangeStart w:id="6"/>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6"/>
      <w:r w:rsidR="00B87243">
        <w:rPr>
          <w:rStyle w:val="CommentReference"/>
        </w:rPr>
        <w:commentReference w:id="6"/>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w:t>
      </w:r>
      <w:r w:rsidR="00AD3DB0">
        <w:lastRenderedPageBreak/>
        <w:t xml:space="preserve">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7"/>
      <w:proofErr w:type="spellStart"/>
      <w:r>
        <w:rPr>
          <w:b/>
          <w:bCs/>
        </w:rPr>
        <w:t>Dysglycemia</w:t>
      </w:r>
      <w:proofErr w:type="spellEnd"/>
    </w:p>
    <w:p w14:paraId="561F3983" w14:textId="3BD200DE" w:rsidR="00F455CD" w:rsidRDefault="00F455CD" w:rsidP="00EB133A">
      <w:pPr>
        <w:pStyle w:val="NormalWeb"/>
        <w:rPr>
          <w:b/>
          <w:bCs/>
        </w:rPr>
      </w:pPr>
      <w:r>
        <w:rPr>
          <w:b/>
          <w:bCs/>
        </w:rPr>
        <w:t>MASLD and liver enzymes</w:t>
      </w:r>
    </w:p>
    <w:p w14:paraId="2C7DDFC3" w14:textId="0508B507" w:rsidR="00F455CD" w:rsidRPr="00A6487A" w:rsidRDefault="00F455CD" w:rsidP="00EB133A">
      <w:pPr>
        <w:pStyle w:val="NormalWeb"/>
      </w:pPr>
      <w:r>
        <w:rPr>
          <w:b/>
          <w:bCs/>
        </w:rPr>
        <w:t>LDL-Cholesterol levels</w:t>
      </w:r>
      <w:r w:rsidR="00A6487A">
        <w:t>.  Only a small number of participants with Cushing’s disease had LDL-C records within 30 days prior to treatment.</w:t>
      </w:r>
    </w:p>
    <w:p w14:paraId="26DFC1F7" w14:textId="377F7EFB" w:rsidR="00F455CD" w:rsidRPr="00F455CD" w:rsidRDefault="00F455CD" w:rsidP="00EB133A">
      <w:pPr>
        <w:pStyle w:val="NormalWeb"/>
        <w:rPr>
          <w:b/>
          <w:bCs/>
        </w:rPr>
      </w:pPr>
      <w:r>
        <w:rPr>
          <w:b/>
          <w:bCs/>
        </w:rPr>
        <w:t>Blood Pressure</w:t>
      </w:r>
      <w:commentRangeEnd w:id="7"/>
      <w:r w:rsidR="002E0B3A">
        <w:rPr>
          <w:rStyle w:val="CommentReference"/>
          <w:rFonts w:asciiTheme="minorHAnsi" w:eastAsiaTheme="minorHAnsi" w:hAnsiTheme="minorHAnsi" w:cstheme="minorBidi"/>
          <w:kern w:val="2"/>
          <w14:ligatures w14:val="standardContextual"/>
        </w:rPr>
        <w:commentReference w:id="7"/>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AD0067" w14:textId="5EBA3433" w:rsidR="005D57A7" w:rsidRDefault="005D57A7" w:rsidP="005D57A7">
      <w:pPr>
        <w:pStyle w:val="ListParagraph"/>
        <w:numPr>
          <w:ilvl w:val="0"/>
          <w:numId w:val="6"/>
        </w:numPr>
      </w:pPr>
      <w:r>
        <w:t>Consistency with prior studies on ALT/AST and blood glucose</w:t>
      </w:r>
    </w:p>
    <w:p w14:paraId="6D88CB01" w14:textId="71246078" w:rsidR="005D57A7" w:rsidRPr="005D57A7" w:rsidRDefault="005D57A7" w:rsidP="005D57A7">
      <w:pPr>
        <w:pStyle w:val="ListParagraph"/>
        <w:numPr>
          <w:ilvl w:val="0"/>
          <w:numId w:val="6"/>
        </w:numPr>
      </w:pPr>
      <w:r>
        <w:t>Why is blood pressure protective (is this true of general analyses)</w:t>
      </w:r>
    </w:p>
    <w:p w14:paraId="19AA1532" w14:textId="731B5160" w:rsidR="00EB133A" w:rsidRDefault="00AB7571" w:rsidP="00EB133A">
      <w:pPr>
        <w:pStyle w:val="Heading1"/>
      </w:pPr>
      <w:r>
        <w:lastRenderedPageBreak/>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w:t>
      </w:r>
      <w:r w:rsidR="004C3E7B">
        <w:lastRenderedPageBreak/>
        <w:t xml:space="preserve">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7T19:14:00Z" w:initials="DB">
    <w:p w14:paraId="30EA8164" w14:textId="77777777" w:rsidR="008610C9" w:rsidRDefault="008610C9" w:rsidP="008610C9">
      <w:r>
        <w:rPr>
          <w:rStyle w:val="CommentReference"/>
        </w:rPr>
        <w:annotationRef/>
      </w:r>
      <w:r>
        <w:rPr>
          <w:sz w:val="20"/>
          <w:szCs w:val="20"/>
        </w:rPr>
        <w:t>@trey can you add these</w:t>
      </w:r>
    </w:p>
  </w:comment>
  <w:comment w:id="2"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6"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 w:id="7" w:author="Dave Bridges" w:date="2025-09-07T20:08:00Z" w:initials="DB">
    <w:p w14:paraId="57ADD46F" w14:textId="77777777"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0EA8164" w15:done="0"/>
  <w15:commentEx w15:paraId="69A0B22F" w15:done="0"/>
  <w15:commentEx w15:paraId="1DD21AA1" w15:done="0"/>
  <w15:commentEx w15:paraId="2B4220B9" w15:done="0"/>
  <w15:commentEx w15:paraId="3F27DAC3" w15:done="0"/>
  <w15:commentEx w15:paraId="392E4D0B" w15:done="0"/>
  <w15:commentEx w15:paraId="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4FC4BC49" w16cex:dateUtc="2025-09-05T23:38:00Z"/>
  <w16cex:commentExtensible w16cex:durableId="4855A8FC" w16cex:dateUtc="2025-09-08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92E4D0B" w16cid:durableId="4FC4BC49"/>
  <w16cid:commentId w16cid:paraId="57ADD46F" w16cid:durableId="4855A8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25091"/>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76C5"/>
    <w:rsid w:val="00340CA3"/>
    <w:rsid w:val="00347044"/>
    <w:rsid w:val="00357A9C"/>
    <w:rsid w:val="00357D5C"/>
    <w:rsid w:val="00364B2E"/>
    <w:rsid w:val="00366F5C"/>
    <w:rsid w:val="003734AC"/>
    <w:rsid w:val="00382FE3"/>
    <w:rsid w:val="00383C2A"/>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63E3"/>
    <w:rsid w:val="0083381B"/>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9AA"/>
    <w:rsid w:val="00A066E7"/>
    <w:rsid w:val="00A12A68"/>
    <w:rsid w:val="00A4251B"/>
    <w:rsid w:val="00A458DF"/>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6</Pages>
  <Words>1993</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98</cp:revision>
  <dcterms:created xsi:type="dcterms:W3CDTF">2025-09-05T13:57:00Z</dcterms:created>
  <dcterms:modified xsi:type="dcterms:W3CDTF">2025-09-08T15:23:00Z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