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r w:rsidRPr="008E7573">
        <w:rPr>
          <w:vertAlign w:val="superscript"/>
        </w:rPr>
        <w:t>2</w:t>
      </w:r>
      <w:r>
        <w:t xml:space="preserve"> </w:t>
      </w:r>
      <w:r w:rsidRPr="00352766">
        <w:rPr>
          <w:highlight w:val="yellow"/>
        </w:rPr>
        <w:t>IRIT CAN YOU INCLUDE YOUR NEW AFFILIATION</w:t>
      </w:r>
    </w:p>
    <w:p w14:paraId="056F0D7A" w14:textId="77777777" w:rsidR="008E7573" w:rsidRDefault="008E7573" w:rsidP="0084083C"/>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between January 1</w:t>
      </w:r>
      <w:r w:rsidR="00E46078" w:rsidRPr="00E46078">
        <w:rPr>
          <w:vertAlign w:val="superscript"/>
        </w:rPr>
        <w:t>st</w:t>
      </w:r>
      <w:r w:rsidR="00E46078">
        <w:t xml:space="preserve"> 2000-2025</w:t>
      </w:r>
      <w:r w:rsidRPr="00C539D5">
        <w:t xml:space="preserve"> </w:t>
      </w:r>
      <w:r w:rsidR="00577146">
        <w:t xml:space="preserve">along </w:t>
      </w:r>
      <w:r w:rsidRPr="00C539D5">
        <w:t>with propensity-matched control cases. </w:t>
      </w:r>
    </w:p>
    <w:p w14:paraId="07919D53" w14:textId="272176E6" w:rsidR="00577146" w:rsidRPr="00184130" w:rsidRDefault="00C539D5">
      <w:r w:rsidRPr="00C539D5">
        <w:t xml:space="preserve">We stratified our participants by obesity status and into a Cushing’s disease group and a control group.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our non-obese and obese populations. </w:t>
      </w:r>
      <w:r>
        <w:t>In both our obese, and non-obese populations, we saw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r w:rsidR="00577146">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77513B01"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None of the investigators had access to identifiable patient data.</w:t>
      </w:r>
      <w:r w:rsidR="00820009">
        <w:rPr>
          <w:b/>
          <w:bCs/>
        </w:rPr>
        <w:t xml:space="preserve"> </w:t>
      </w:r>
      <w:r>
        <w:t xml:space="preserve">To identify patients with Cushing’s disease, we evaluated electronic health records </w:t>
      </w:r>
      <w:r w:rsidR="00575431">
        <w:t>for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D30BB1">
        <w:instrText xml:space="preserve"> ADDIN ZOTERO_ITEM CSL_CITATION {"citationID":"Bd97tZOS","properties":{"formattedCitation":"(Zhou et al., 2019)","plainCitation":"(Zhou et al., 2019)","noteIndex":0},"citationItems":[{"id":27440,"uris":["http://zotero.org/users/7317906/items/4UHHIV6Z"],"itemData":{"id":27440,"type":"article-journal","abstract":"Objective\nTo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D30BB1">
        <w:rPr>
          <w:rFonts w:ascii="Arial" w:hAnsi="Arial" w:cs="Arial"/>
        </w:rPr>
        <w:instrText> </w:instrText>
      </w:r>
      <w:r w:rsidR="00D30BB1">
        <w:instrText>=</w:instrText>
      </w:r>
      <w:r w:rsidR="00D30BB1">
        <w:rPr>
          <w:rFonts w:ascii="Arial" w:hAnsi="Arial" w:cs="Arial"/>
        </w:rPr>
        <w:instrText> </w:instrText>
      </w:r>
      <w:r w:rsidR="00D30BB1">
        <w:instrText>0.033). The same phenomenon was observed in the PPV for the BMAH code (100.0 vs 60.9%, P</w:instrText>
      </w:r>
      <w:r w:rsidR="00D30BB1">
        <w:rPr>
          <w:rFonts w:ascii="Arial" w:hAnsi="Arial" w:cs="Arial"/>
        </w:rPr>
        <w:instrText> </w:instrText>
      </w:r>
      <w:r w:rsidR="00D30BB1">
        <w:instrText>=</w:instrText>
      </w:r>
      <w:r w:rsidR="00D30BB1">
        <w:rPr>
          <w:rFonts w:ascii="Arial" w:hAnsi="Arial" w:cs="Arial"/>
        </w:rPr>
        <w:instrText> </w:instrText>
      </w:r>
      <w:r w:rsidR="00D30BB1">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etiologies.","container-title":"Endocrine Connections","DOI":"10.1530/EC-19-0312","ISSN":"2049-3614","issue":"8","journalAbbreviation":"Endocr Connect","note":"PMID: 31340196\nPMCID: PMC6709541","page":"1186-1194","source":"PubMed Central","title":"Validity of discharge ICD-10 codes in detecting the etiologies of endogenous Cushing’s syndrome","volume":"8","author":[{"family":"Zhou","given":"Jingya"},{"family":"Zhang","given":"Meng"},{"family":"Lu","given":"Lin"},{"family":"Guo","given":"Xiaopeng"},{"family":"Gao","given":"Lu"},{"family":"Yan","given":"Weigang"},{"family":"Pang","given":"Haiyu"},{"family":"Wang","given":"Yi"},{"family":"Xing","given":"Bing"}],"issued":{"date-parts":[["2019",7,24]]},"citation-key":"zhouValidityDischargeICD102019"}}],"schema":"https://github.com/citation-style-language/schema/raw/master/csl-citation.json"} </w:instrText>
      </w:r>
      <w:r w:rsidR="00D30BB1">
        <w:fldChar w:fldCharType="separate"/>
      </w:r>
      <w:r w:rsidR="00D30BB1">
        <w:rPr>
          <w:noProof/>
        </w:rPr>
        <w:t>(Zhou et al., 2019)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xml:space="preserve">, taking the most </w:t>
      </w:r>
      <w:r w:rsidR="00590F5F">
        <w:lastRenderedPageBreak/>
        <w:t>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19BD0B21"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All code used for this analysis is available at https://github.com/BridgesLab/CushingAcromegalyStudy.</w:t>
      </w:r>
      <w:r w:rsidR="000560F6" w:rsidRPr="000560F6">
        <w:rPr>
          <w:color w:val="000000" w:themeColor="text1"/>
        </w:rPr>
        <w:t xml:space="preserve"> </w:t>
      </w:r>
      <w:r w:rsidR="000560F6">
        <w:t>Individual patient data cannot be shared for this study.</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 xml:space="preserve">there were </w:t>
      </w:r>
      <w:r w:rsidR="003C6D54">
        <w:lastRenderedPageBreak/>
        <w:t>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 xml:space="preserve">Females with Cushing’s disease were </w:t>
      </w:r>
      <w:r w:rsidR="00AD3DB0" w:rsidRPr="00AD3DB0">
        <w:lastRenderedPageBreak/>
        <w:t>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 xml:space="preserve">=0.034).  </w:t>
      </w:r>
      <w:r w:rsidR="00E37D90">
        <w:lastRenderedPageBreak/>
        <w:t>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 xml:space="preserve">This analysis of the effects of obesity and Cushing’s disease demonstrate a complex set of interactions between the presence of obesity on Cushing’s disease- and obesity-related </w:t>
      </w:r>
      <w:r>
        <w:lastRenderedPageBreak/>
        <w:t>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w:t>
      </w:r>
      <w:r w:rsidR="00352766">
        <w:lastRenderedPageBreak/>
        <w:t>though obesity status was similar between groups, patients with Cushing’s disease had much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37EA5F5F"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has been previously reported</w:t>
      </w:r>
      <w:r w:rsidR="001B1040">
        <w:t xml:space="preserve"> and remains plausible </w:t>
      </w:r>
      <w:r w:rsidR="001B1040">
        <w:fldChar w:fldCharType="begin"/>
      </w:r>
      <w:r w:rsidR="001B1040">
        <w:instrText xml:space="preserve"> ADDIN ZOTERO_ITEM CSL_CITATION {"citationID":"oiVXcg68","properties":{"formattedCitation":"(Ioachimescu et al., 2022)","plainCitation":"(Ioachimescu et al., 2022)","noteIndex":0},"citationItems":[{"id":27032,"uris":["http://zotero.org/users/7317906/items/EVS87VVY"],"itemData":{"id":27032,"type":"article-journal","abstract":"Acromegaly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1B1040">
        <w:rPr>
          <w:rFonts w:ascii="Arial" w:hAnsi="Arial" w:cs="Arial"/>
        </w:rPr>
        <w:instrText> </w:instrText>
      </w:r>
      <w:r w:rsidR="001B1040">
        <w:instrText>=</w:instrText>
      </w:r>
      <w:r w:rsidR="001B1040">
        <w:rPr>
          <w:rFonts w:ascii="Arial" w:hAnsi="Arial" w:cs="Arial"/>
        </w:rPr>
        <w:instrText> </w:instrText>
      </w:r>
      <w:r w:rsidR="001B1040">
        <w:instrText>124) vs 2010 US census data, and(2) presentation and postoperative outcomes in Black vs White for patients from the entire catchment area (N</w:instrText>
      </w:r>
      <w:r w:rsidR="001B1040">
        <w:rPr>
          <w:rFonts w:ascii="Arial" w:hAnsi="Arial" w:cs="Arial"/>
        </w:rPr>
        <w:instrText> </w:instrText>
      </w:r>
      <w:r w:rsidR="001B1040">
        <w:instrText>=</w:instrText>
      </w:r>
      <w:r w:rsidR="001B1040">
        <w:rPr>
          <w:rFonts w:ascii="Arial" w:hAnsi="Arial" w:cs="Arial"/>
        </w:rPr>
        <w:instrText> </w:instrText>
      </w:r>
      <w:r w:rsidR="001B1040">
        <w:instrText>241).For Metro area (32.4% Black population), Black patients represented 16.75% ACM (P</w:instrText>
      </w:r>
      <w:r w:rsidR="001B1040">
        <w:rPr>
          <w:rFonts w:ascii="Arial" w:hAnsi="Arial" w:cs="Arial"/>
        </w:rPr>
        <w:instrText> </w:instrText>
      </w:r>
      <w:r w:rsidR="001B1040">
        <w:instrText>=</w:instrText>
      </w:r>
      <w:r w:rsidR="001B1040">
        <w:rPr>
          <w:rFonts w:ascii="Arial" w:hAnsi="Arial" w:cs="Arial"/>
        </w:rPr>
        <w:instrText> </w:instrText>
      </w:r>
      <w:r w:rsidR="001B1040">
        <w:instrText>.006) and 29.2% CD (P</w:instrText>
      </w:r>
      <w:r w:rsidR="001B1040">
        <w:rPr>
          <w:rFonts w:ascii="Arial" w:hAnsi="Arial" w:cs="Arial"/>
        </w:rPr>
        <w:instrText> </w:instrText>
      </w:r>
      <w:r w:rsidR="001B1040">
        <w:instrText>=</w:instrText>
      </w:r>
      <w:r w:rsidR="001B1040">
        <w:rPr>
          <w:rFonts w:ascii="Arial" w:hAnsi="Arial" w:cs="Arial"/>
        </w:rPr>
        <w:instrText> </w:instrText>
      </w:r>
      <w:r w:rsidR="001B1040">
        <w:instrText>.56). Among the total 112 patients with ACM, presentations with headaches or incidentaloma were more common in Black patients (76.9% vs 31%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.01). Black patients had a higher prevalence of diabetes (54% vs 16%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.005), significantly lower insulin-like growth factor (IGF)-1 deviation from normal (P</w:instrText>
      </w:r>
      <w:r w:rsidR="001B1040">
        <w:rPr>
          <w:rFonts w:ascii="Arial" w:hAnsi="Arial" w:cs="Arial"/>
        </w:rPr>
        <w:instrText> </w:instrText>
      </w:r>
      <w:r w:rsidR="001B1040">
        <w:instrText>=</w:instrText>
      </w:r>
      <w:r w:rsidR="001B1040">
        <w:rPr>
          <w:rFonts w:ascii="Arial" w:hAnsi="Arial" w:cs="Arial"/>
        </w:rPr>
        <w:instrText> </w:instrText>
      </w:r>
      <w:r w:rsidR="001B1040">
        <w:instrText>.03) and borderline lower median growth hormone levels (P</w:instrText>
      </w:r>
      <w:r w:rsidR="001B1040">
        <w:rPr>
          <w:rFonts w:ascii="Arial" w:hAnsi="Arial" w:cs="Arial"/>
        </w:rPr>
        <w:instrText> </w:instrText>
      </w:r>
      <w:r w:rsidR="001B1040">
        <w:instrText>=</w:instrText>
      </w:r>
      <w:r w:rsidR="001B1040">
        <w:rPr>
          <w:rFonts w:ascii="Arial" w:hAnsi="Arial" w:cs="Arial"/>
        </w:rPr>
        <w:instrText> </w:instrText>
      </w:r>
      <w:r w:rsidR="001B1040">
        <w:instrText>.09). Mean tumor diameter and proportion of tumors with cavernous sinus invasion were similar. Three-month biochemical remission (46% Black, 55%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.76) and long-term IGF-1 control by multimodality therapy (92.3% Black, 80.5%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.45) were similar. Among the total 129 patients with CD, Black patients had more hypopituitarism (69% vs 45%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.04) and macroadenomas (33% vs 15%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.05). At 3 months, remission rate was borderline higher in White (92% vs 78% Black, P</w:instrText>
      </w:r>
      <w:r w:rsidR="001B1040">
        <w:rPr>
          <w:rFonts w:ascii="Arial" w:hAnsi="Arial" w:cs="Arial"/>
        </w:rPr>
        <w:instrText> </w:instrText>
      </w:r>
      <w:r w:rsidR="001B1040">
        <w:instrText>=</w:instrText>
      </w:r>
      <w:r w:rsidR="001B1040">
        <w:rPr>
          <w:rFonts w:ascii="Arial" w:hAnsi="Arial" w:cs="Arial"/>
        </w:rPr>
        <w:instrText> </w:instrText>
      </w:r>
      <w:r w:rsidR="001B1040">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M"}],"issued":{"date-parts":[["2022",1,1]]},"citation-key":"ioachimescuRacialDisparitiesAcromegaly2022"}}],"schema":"https://github.com/citation-style-language/schema/raw/master/csl-citation.json"} </w:instrText>
      </w:r>
      <w:r w:rsidR="001B1040">
        <w:fldChar w:fldCharType="separate"/>
      </w:r>
      <w:r w:rsidR="001B1040">
        <w:rPr>
          <w:noProof/>
        </w:rPr>
        <w:t>(Ioachimescu et al., 2022)</w:t>
      </w:r>
      <w:r w:rsidR="001B1040">
        <w:fldChar w:fldCharType="end"/>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proofErr w:type="gramStart"/>
      <w:r w:rsidR="001B1040">
        <w:t>fairly routine</w:t>
      </w:r>
      <w:proofErr w:type="gramEnd"/>
      <w:r w:rsidR="001B1040">
        <w:t xml:space="preserve"> tests.  </w:t>
      </w:r>
      <w:r>
        <w:t>In most cases, only one laboratory value was available prior to treatment</w:t>
      </w:r>
      <w:r w:rsidR="001B1040">
        <w:t>, with the most recent value being used, but this precludes detailed time courses leading up to treatments</w:t>
      </w:r>
      <w: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w:t>
      </w:r>
      <w:r w:rsidR="005015D3">
        <w:lastRenderedPageBreak/>
        <w:t>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7E0F5D5C" w14:textId="1873ED59" w:rsidR="00577146" w:rsidRPr="00184130"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r w:rsidR="00577146">
        <w:br w:type="page"/>
      </w:r>
    </w:p>
    <w:p w14:paraId="19AA1532" w14:textId="0A126091" w:rsidR="00EB133A" w:rsidRDefault="00AB7571" w:rsidP="00C82FD0">
      <w:pPr>
        <w:pStyle w:val="Heading1"/>
      </w:pPr>
      <w:r>
        <w:lastRenderedPageBreak/>
        <w:t>References</w:t>
      </w:r>
    </w:p>
    <w:p w14:paraId="4B71A34C" w14:textId="77777777" w:rsidR="001B1040" w:rsidRPr="001B1040" w:rsidRDefault="00AB7571" w:rsidP="001B1040">
      <w:pPr>
        <w:pStyle w:val="Bibliography"/>
      </w:pPr>
      <w:r>
        <w:fldChar w:fldCharType="begin"/>
      </w:r>
      <w:r w:rsidR="00577146">
        <w:instrText xml:space="preserve"> ADDIN ZOTERO_BIBL {"uncited":[],"omitted":[],"custom":[]} CSL_BIBLIOGRAPHY </w:instrText>
      </w:r>
      <w:r>
        <w:fldChar w:fldCharType="separate"/>
      </w:r>
      <w:proofErr w:type="spellStart"/>
      <w:r w:rsidR="001B1040" w:rsidRPr="001B1040">
        <w:t>Alqeeq</w:t>
      </w:r>
      <w:proofErr w:type="spellEnd"/>
      <w:r w:rsidR="001B1040" w:rsidRPr="001B1040">
        <w:t xml:space="preserve">, B. F., Ayyad, M., </w:t>
      </w:r>
      <w:proofErr w:type="spellStart"/>
      <w:r w:rsidR="001B1040" w:rsidRPr="001B1040">
        <w:t>Almadhoun</w:t>
      </w:r>
      <w:proofErr w:type="spellEnd"/>
      <w:r w:rsidR="001B1040" w:rsidRPr="001B1040">
        <w:t xml:space="preserve">, W. J., </w:t>
      </w:r>
      <w:proofErr w:type="spellStart"/>
      <w:r w:rsidR="001B1040" w:rsidRPr="001B1040">
        <w:t>Aboabdo</w:t>
      </w:r>
      <w:proofErr w:type="spellEnd"/>
      <w:r w:rsidR="001B1040" w:rsidRPr="001B1040">
        <w:t xml:space="preserve">, M., </w:t>
      </w:r>
      <w:proofErr w:type="spellStart"/>
      <w:r w:rsidR="001B1040" w:rsidRPr="001B1040">
        <w:t>Aldahdouh</w:t>
      </w:r>
      <w:proofErr w:type="spellEnd"/>
      <w:r w:rsidR="001B1040" w:rsidRPr="001B1040">
        <w:t xml:space="preserve">, M. S., Al-Tawil, M., &amp; Al-Ghazali, A. M. (2024). Sex-related differences in Cushing’s disease: A systematic review and meta-analysis. </w:t>
      </w:r>
      <w:r w:rsidR="001B1040" w:rsidRPr="001B1040">
        <w:rPr>
          <w:i/>
          <w:iCs/>
        </w:rPr>
        <w:t>Annals of Saudi Medicine</w:t>
      </w:r>
      <w:r w:rsidR="001B1040" w:rsidRPr="001B1040">
        <w:t xml:space="preserve">, </w:t>
      </w:r>
      <w:r w:rsidR="001B1040" w:rsidRPr="001B1040">
        <w:rPr>
          <w:i/>
          <w:iCs/>
        </w:rPr>
        <w:t>44</w:t>
      </w:r>
      <w:r w:rsidR="001B1040" w:rsidRPr="001B1040">
        <w:t>(1), 55–65. https://doi.org/10.5144/0256-4947.2024.55</w:t>
      </w:r>
    </w:p>
    <w:p w14:paraId="619271E6" w14:textId="77777777" w:rsidR="001B1040" w:rsidRPr="001B1040" w:rsidRDefault="001B1040" w:rsidP="001B1040">
      <w:pPr>
        <w:pStyle w:val="Bibliography"/>
      </w:pPr>
      <w:r w:rsidRPr="001B1040">
        <w:t xml:space="preserve">Braun, L. T., Riester, A., Oßwald-Kopp, A., Fazel, J., Rubinstein, G., </w:t>
      </w:r>
      <w:proofErr w:type="spellStart"/>
      <w:r w:rsidRPr="001B1040">
        <w:t>Bidlingmaier</w:t>
      </w:r>
      <w:proofErr w:type="spellEnd"/>
      <w:r w:rsidRPr="001B1040">
        <w:t xml:space="preserve">, M., Beuschlein, F., &amp; Reincke, M. (2019). Toward a Diagnostic Score in Cushing’s Syndrome. </w:t>
      </w:r>
      <w:r w:rsidRPr="001B1040">
        <w:rPr>
          <w:i/>
          <w:iCs/>
        </w:rPr>
        <w:t>Frontiers in Endocrinology</w:t>
      </w:r>
      <w:r w:rsidRPr="001B1040">
        <w:t xml:space="preserve">, </w:t>
      </w:r>
      <w:r w:rsidRPr="001B1040">
        <w:rPr>
          <w:i/>
          <w:iCs/>
        </w:rPr>
        <w:t>10</w:t>
      </w:r>
      <w:r w:rsidRPr="001B1040">
        <w:t>, 766. https://doi.org/10.3389/fendo.2019.00766</w:t>
      </w:r>
    </w:p>
    <w:p w14:paraId="4A2875D9" w14:textId="77777777" w:rsidR="001B1040" w:rsidRPr="001B1040" w:rsidRDefault="001B1040" w:rsidP="001B1040">
      <w:pPr>
        <w:pStyle w:val="Bibliography"/>
      </w:pPr>
      <w:r w:rsidRPr="001B1040">
        <w:t xml:space="preserve">Broder, M. S., Neary, M. P., Chang, E., Cherepanov, D., &amp; Ludlam, W. H. (2015). Incidence of Cushing’s syndrome and Cushing’s disease in </w:t>
      </w:r>
      <w:proofErr w:type="gramStart"/>
      <w:r w:rsidRPr="001B1040">
        <w:t>commercially-insured</w:t>
      </w:r>
      <w:proofErr w:type="gramEnd"/>
      <w:r w:rsidRPr="001B1040">
        <w:t xml:space="preserve"> patients &lt;65 years old in the United States. </w:t>
      </w:r>
      <w:r w:rsidRPr="001B1040">
        <w:rPr>
          <w:i/>
          <w:iCs/>
        </w:rPr>
        <w:t>Pituitary</w:t>
      </w:r>
      <w:r w:rsidRPr="001B1040">
        <w:t xml:space="preserve">, </w:t>
      </w:r>
      <w:r w:rsidRPr="001B1040">
        <w:rPr>
          <w:i/>
          <w:iCs/>
        </w:rPr>
        <w:t>18</w:t>
      </w:r>
      <w:r w:rsidRPr="001B1040">
        <w:t>(3), 283–289. https://doi.org/10.1007/s11102-014-0569-6</w:t>
      </w:r>
    </w:p>
    <w:p w14:paraId="0D3DD1E3" w14:textId="77777777" w:rsidR="001B1040" w:rsidRPr="001B1040" w:rsidRDefault="001B1040" w:rsidP="001B1040">
      <w:pPr>
        <w:pStyle w:val="Bibliography"/>
      </w:pPr>
      <w:r w:rsidRPr="001B1040">
        <w:t xml:space="preserve">DeFronzo, R. A., &amp; </w:t>
      </w:r>
      <w:proofErr w:type="spellStart"/>
      <w:r w:rsidRPr="001B1040">
        <w:t>Auchus</w:t>
      </w:r>
      <w:proofErr w:type="spellEnd"/>
      <w:r w:rsidRPr="001B1040">
        <w:t xml:space="preserve">, R. J. (2025). Cushing Syndrome, Hypercortisolism, and Glucose Homeostasis: A Review. </w:t>
      </w:r>
      <w:r w:rsidRPr="001B1040">
        <w:rPr>
          <w:i/>
          <w:iCs/>
        </w:rPr>
        <w:t>Diabetes</w:t>
      </w:r>
      <w:r w:rsidRPr="001B1040">
        <w:t xml:space="preserve">, </w:t>
      </w:r>
      <w:r w:rsidRPr="001B1040">
        <w:rPr>
          <w:i/>
          <w:iCs/>
        </w:rPr>
        <w:t>74</w:t>
      </w:r>
      <w:r w:rsidRPr="001B1040">
        <w:t>(12), 2168–2178. https://doi.org/10.2337/db25-0120</w:t>
      </w:r>
    </w:p>
    <w:p w14:paraId="17A9B2F4" w14:textId="77777777" w:rsidR="001B1040" w:rsidRPr="001B1040" w:rsidRDefault="001B1040" w:rsidP="001B1040">
      <w:pPr>
        <w:pStyle w:val="Bibliography"/>
      </w:pPr>
      <w:proofErr w:type="spellStart"/>
      <w:r w:rsidRPr="001B1040">
        <w:t>Etxabe</w:t>
      </w:r>
      <w:proofErr w:type="spellEnd"/>
      <w:r w:rsidRPr="001B1040">
        <w:t xml:space="preserve">, J., &amp; Vazquez, J. A. (1994). Morbidity and mortality in Cushing’s disease: An epidemiological approach. </w:t>
      </w:r>
      <w:r w:rsidRPr="001B1040">
        <w:rPr>
          <w:i/>
          <w:iCs/>
        </w:rPr>
        <w:t>Clin Endocrinol (</w:t>
      </w:r>
      <w:proofErr w:type="spellStart"/>
      <w:r w:rsidRPr="001B1040">
        <w:rPr>
          <w:i/>
          <w:iCs/>
        </w:rPr>
        <w:t>Oxf</w:t>
      </w:r>
      <w:proofErr w:type="spellEnd"/>
      <w:r w:rsidRPr="001B1040">
        <w:rPr>
          <w:i/>
          <w:iCs/>
        </w:rPr>
        <w:t>)</w:t>
      </w:r>
      <w:r w:rsidRPr="001B1040">
        <w:t xml:space="preserve">, </w:t>
      </w:r>
      <w:r w:rsidRPr="001B1040">
        <w:rPr>
          <w:i/>
          <w:iCs/>
        </w:rPr>
        <w:t>40</w:t>
      </w:r>
      <w:r w:rsidRPr="001B1040">
        <w:t>(4), 479–484. https://doi.org/10.1111/j.1365-2265.1994.tb02486.x</w:t>
      </w:r>
    </w:p>
    <w:p w14:paraId="64430B09" w14:textId="77777777" w:rsidR="001B1040" w:rsidRPr="001B1040" w:rsidRDefault="001B1040" w:rsidP="001B1040">
      <w:pPr>
        <w:pStyle w:val="Bibliography"/>
      </w:pPr>
      <w:proofErr w:type="spellStart"/>
      <w:r w:rsidRPr="001B1040">
        <w:t>Fleseriu</w:t>
      </w:r>
      <w:proofErr w:type="spellEnd"/>
      <w:r w:rsidRPr="001B1040">
        <w:t xml:space="preserve">, M., </w:t>
      </w:r>
      <w:proofErr w:type="spellStart"/>
      <w:r w:rsidRPr="001B1040">
        <w:t>Auchus</w:t>
      </w:r>
      <w:proofErr w:type="spellEnd"/>
      <w:r w:rsidRPr="001B1040">
        <w:t xml:space="preserve">, R., Bancos, I., Ben-Shlomo, A., </w:t>
      </w:r>
      <w:proofErr w:type="spellStart"/>
      <w:r w:rsidRPr="001B1040">
        <w:t>Bertherat</w:t>
      </w:r>
      <w:proofErr w:type="spellEnd"/>
      <w:r w:rsidRPr="001B1040">
        <w:t xml:space="preserve">, J., </w:t>
      </w:r>
      <w:proofErr w:type="spellStart"/>
      <w:r w:rsidRPr="001B1040">
        <w:t>Biermasz</w:t>
      </w:r>
      <w:proofErr w:type="spellEnd"/>
      <w:r w:rsidRPr="001B1040">
        <w:t xml:space="preserve">, N. R., Boguszewski, C. L., Bronstein, M. D., </w:t>
      </w:r>
      <w:proofErr w:type="spellStart"/>
      <w:r w:rsidRPr="001B1040">
        <w:t>Buchfelder</w:t>
      </w:r>
      <w:proofErr w:type="spellEnd"/>
      <w:r w:rsidRPr="001B1040">
        <w:t xml:space="preserve">, M., Carmichael, J. D., Casanueva, F. F., Castinetti, F., Chanson, P., Findling, J., Gadelha, M., Geer, E. B., Giustina, A., </w:t>
      </w:r>
      <w:r w:rsidRPr="001B1040">
        <w:lastRenderedPageBreak/>
        <w:t xml:space="preserve">Grossman, A., Gurnell, M., … Biller, B. M. K. (2021). Consensus on Diagnosis and Management of Cushing’s Disease: A Guideline Update. </w:t>
      </w:r>
      <w:r w:rsidRPr="001B1040">
        <w:rPr>
          <w:i/>
          <w:iCs/>
        </w:rPr>
        <w:t>The Lancet. Diabetes &amp; Endocrinology</w:t>
      </w:r>
      <w:r w:rsidRPr="001B1040">
        <w:t xml:space="preserve">, </w:t>
      </w:r>
      <w:r w:rsidRPr="001B1040">
        <w:rPr>
          <w:i/>
          <w:iCs/>
        </w:rPr>
        <w:t>9</w:t>
      </w:r>
      <w:r w:rsidRPr="001B1040">
        <w:t>(12), 847–875. https://doi.org/10.1016/S2213-8587(21)00235-7</w:t>
      </w:r>
    </w:p>
    <w:p w14:paraId="7B0B54A6" w14:textId="77777777" w:rsidR="001B1040" w:rsidRPr="001B1040" w:rsidRDefault="001B1040" w:rsidP="001B1040">
      <w:pPr>
        <w:pStyle w:val="Bibliography"/>
      </w:pPr>
      <w:r w:rsidRPr="001B1040">
        <w:t xml:space="preserve">Gadelha, M., Gatto, F., Wildemberg, L. E., &amp; </w:t>
      </w:r>
      <w:proofErr w:type="spellStart"/>
      <w:r w:rsidRPr="001B1040">
        <w:t>Fleseriu</w:t>
      </w:r>
      <w:proofErr w:type="spellEnd"/>
      <w:r w:rsidRPr="001B1040">
        <w:t xml:space="preserve">, M. (2023). Cushing’s syndrome. </w:t>
      </w:r>
      <w:r w:rsidRPr="001B1040">
        <w:rPr>
          <w:i/>
          <w:iCs/>
        </w:rPr>
        <w:t>The Lancet</w:t>
      </w:r>
      <w:r w:rsidRPr="001B1040">
        <w:t xml:space="preserve">, </w:t>
      </w:r>
      <w:r w:rsidRPr="001B1040">
        <w:rPr>
          <w:i/>
          <w:iCs/>
        </w:rPr>
        <w:t>402</w:t>
      </w:r>
      <w:r w:rsidRPr="001B1040">
        <w:t>(10418), 2237–2252. https://doi.org/10.1016/S0140-6736(23)01961-X</w:t>
      </w:r>
    </w:p>
    <w:p w14:paraId="7CBB5239" w14:textId="77777777" w:rsidR="001B1040" w:rsidRPr="001B1040" w:rsidRDefault="001B1040" w:rsidP="001B1040">
      <w:pPr>
        <w:pStyle w:val="Bibliography"/>
      </w:pPr>
      <w:r w:rsidRPr="001B1040">
        <w:t xml:space="preserve">Giordano, R., </w:t>
      </w:r>
      <w:proofErr w:type="spellStart"/>
      <w:r w:rsidRPr="001B1040">
        <w:t>Picu</w:t>
      </w:r>
      <w:proofErr w:type="spellEnd"/>
      <w:r w:rsidRPr="001B1040">
        <w:t xml:space="preserve">, A., </w:t>
      </w:r>
      <w:proofErr w:type="spellStart"/>
      <w:r w:rsidRPr="001B1040">
        <w:t>Marinazzo</w:t>
      </w:r>
      <w:proofErr w:type="spellEnd"/>
      <w:r w:rsidRPr="001B1040">
        <w:t xml:space="preserve">, E., D’Angelo, V., Berardelli, R., </w:t>
      </w:r>
      <w:proofErr w:type="spellStart"/>
      <w:r w:rsidRPr="001B1040">
        <w:t>Karamouzis</w:t>
      </w:r>
      <w:proofErr w:type="spellEnd"/>
      <w:r w:rsidRPr="001B1040">
        <w:t xml:space="preserve">, I., Forno, D., </w:t>
      </w:r>
      <w:proofErr w:type="spellStart"/>
      <w:r w:rsidRPr="001B1040">
        <w:t>Zinnà</w:t>
      </w:r>
      <w:proofErr w:type="spellEnd"/>
      <w:r w:rsidRPr="001B1040">
        <w:t xml:space="preserve">, D., Maccario, M., Ghigo, E., &amp; </w:t>
      </w:r>
      <w:proofErr w:type="spellStart"/>
      <w:r w:rsidRPr="001B1040">
        <w:t>Arvat</w:t>
      </w:r>
      <w:proofErr w:type="spellEnd"/>
      <w:r w:rsidRPr="001B1040">
        <w:t xml:space="preserve">, E. (2011). Metabolic and cardiovascular outcomes in patients with Cushing’s syndrome of different </w:t>
      </w:r>
      <w:proofErr w:type="spellStart"/>
      <w:r w:rsidRPr="001B1040">
        <w:t>aetiologies</w:t>
      </w:r>
      <w:proofErr w:type="spellEnd"/>
      <w:r w:rsidRPr="001B1040">
        <w:t xml:space="preserve"> during active disease and 1 year after remission. </w:t>
      </w:r>
      <w:r w:rsidRPr="001B1040">
        <w:rPr>
          <w:i/>
          <w:iCs/>
        </w:rPr>
        <w:t>Clinical Endocrinology</w:t>
      </w:r>
      <w:r w:rsidRPr="001B1040">
        <w:t xml:space="preserve">, </w:t>
      </w:r>
      <w:r w:rsidRPr="001B1040">
        <w:rPr>
          <w:i/>
          <w:iCs/>
        </w:rPr>
        <w:t>75</w:t>
      </w:r>
      <w:r w:rsidRPr="001B1040">
        <w:t>(3), 354–360. https://doi.org/10.1111/j.1365-2265.2011.04055.x</w:t>
      </w:r>
    </w:p>
    <w:p w14:paraId="394E4088" w14:textId="77777777" w:rsidR="001B1040" w:rsidRPr="001B1040" w:rsidRDefault="001B1040" w:rsidP="001B1040">
      <w:pPr>
        <w:pStyle w:val="Bibliography"/>
      </w:pPr>
      <w:r w:rsidRPr="001B1040">
        <w:t xml:space="preserve">Gunder, L. C., Harvey, I., Redd, J. R., Davis, C. S., Al-Tamimi, A., Brooks, S. V., &amp; Bridges, D. (2020). Obesity augments glucocorticoid-dependent muscle atrophy in male c57bl/6j mice. </w:t>
      </w:r>
      <w:r w:rsidRPr="001B1040">
        <w:rPr>
          <w:i/>
          <w:iCs/>
        </w:rPr>
        <w:t>Biomedicines</w:t>
      </w:r>
      <w:r w:rsidRPr="001B1040">
        <w:t xml:space="preserve">, </w:t>
      </w:r>
      <w:r w:rsidRPr="001B1040">
        <w:rPr>
          <w:i/>
          <w:iCs/>
        </w:rPr>
        <w:t>8</w:t>
      </w:r>
      <w:r w:rsidRPr="001B1040">
        <w:t>(10). https://doi.org/10.3390/biomedicines8100420</w:t>
      </w:r>
    </w:p>
    <w:p w14:paraId="0A0E6392" w14:textId="77777777" w:rsidR="001B1040" w:rsidRPr="001B1040" w:rsidRDefault="001B1040" w:rsidP="001B1040">
      <w:pPr>
        <w:pStyle w:val="Bibliography"/>
      </w:pPr>
      <w:r w:rsidRPr="001B1040">
        <w:t xml:space="preserve">Harvey, I., Stephenson, E. J., Redd, J. R., Tran, Q. T., Hochberg, I., Qi, N., &amp; Bridges, D. (2018). Glucocorticoid-Induced Metabolic Disturbances Are Exacerbated in Obese Male Mice. </w:t>
      </w:r>
      <w:r w:rsidRPr="001B1040">
        <w:rPr>
          <w:i/>
          <w:iCs/>
        </w:rPr>
        <w:t>Endocrinology</w:t>
      </w:r>
      <w:r w:rsidRPr="001B1040">
        <w:t xml:space="preserve">, </w:t>
      </w:r>
      <w:r w:rsidRPr="001B1040">
        <w:rPr>
          <w:i/>
          <w:iCs/>
        </w:rPr>
        <w:t>159</w:t>
      </w:r>
      <w:r w:rsidRPr="001B1040">
        <w:t>(6). https://doi.org/10.1210/en.2018-00147</w:t>
      </w:r>
    </w:p>
    <w:p w14:paraId="650E9A6C" w14:textId="77777777" w:rsidR="001B1040" w:rsidRPr="001B1040" w:rsidRDefault="001B1040" w:rsidP="001B1040">
      <w:pPr>
        <w:pStyle w:val="Bibliography"/>
      </w:pPr>
      <w:r w:rsidRPr="001B1040">
        <w:t xml:space="preserve">Ho, D., Imai, K., King, G., &amp; Stuart, E. A. (2011). </w:t>
      </w:r>
      <w:proofErr w:type="spellStart"/>
      <w:r w:rsidRPr="001B1040">
        <w:t>MatchIt</w:t>
      </w:r>
      <w:proofErr w:type="spellEnd"/>
      <w:r w:rsidRPr="001B1040">
        <w:t xml:space="preserve">: Nonparametric Preprocessing for Parametric Causal Inference. </w:t>
      </w:r>
      <w:r w:rsidRPr="001B1040">
        <w:rPr>
          <w:i/>
          <w:iCs/>
        </w:rPr>
        <w:t>Journal of Statistical Software</w:t>
      </w:r>
      <w:r w:rsidRPr="001B1040">
        <w:t xml:space="preserve">, </w:t>
      </w:r>
      <w:r w:rsidRPr="001B1040">
        <w:rPr>
          <w:i/>
          <w:iCs/>
        </w:rPr>
        <w:t>42</w:t>
      </w:r>
      <w:r w:rsidRPr="001B1040">
        <w:t>, 1–28. https://doi.org/10.18637/jss.v042.i08</w:t>
      </w:r>
    </w:p>
    <w:p w14:paraId="7C471EE3" w14:textId="77777777" w:rsidR="001B1040" w:rsidRPr="001B1040" w:rsidRDefault="001B1040" w:rsidP="001B1040">
      <w:pPr>
        <w:pStyle w:val="Bibliography"/>
      </w:pPr>
      <w:r w:rsidRPr="001B1040">
        <w:t xml:space="preserve">Hochberg, I., Harvey, I., Tran, Q. T., Stephenson, E. J., Barkan, A. L., Saltiel, A. R., Chandler, W. F., &amp; Bridges, D. (2015). Gene expression changes in subcutaneous adipose </w:t>
      </w:r>
      <w:r w:rsidRPr="001B1040">
        <w:lastRenderedPageBreak/>
        <w:t xml:space="preserve">tissue due to Cushing’s disease. </w:t>
      </w:r>
      <w:r w:rsidRPr="001B1040">
        <w:rPr>
          <w:i/>
          <w:iCs/>
        </w:rPr>
        <w:t>Journal of Molecular Endocrinology</w:t>
      </w:r>
      <w:r w:rsidRPr="001B1040">
        <w:t xml:space="preserve">, </w:t>
      </w:r>
      <w:r w:rsidRPr="001B1040">
        <w:rPr>
          <w:i/>
          <w:iCs/>
        </w:rPr>
        <w:t>55</w:t>
      </w:r>
      <w:r w:rsidRPr="001B1040">
        <w:t>(2), 81–94. https://doi.org/10.1530/JME-15-0119</w:t>
      </w:r>
    </w:p>
    <w:p w14:paraId="4F78DBC1" w14:textId="77777777" w:rsidR="001B1040" w:rsidRPr="001B1040" w:rsidRDefault="001B1040" w:rsidP="001B1040">
      <w:pPr>
        <w:pStyle w:val="Bibliography"/>
      </w:pPr>
      <w:r w:rsidRPr="001B1040">
        <w:t xml:space="preserve">Ioachimescu, A. G., Goswami, N., Handa, T., Pappy, A., </w:t>
      </w:r>
      <w:proofErr w:type="spellStart"/>
      <w:r w:rsidRPr="001B1040">
        <w:t>Veledar</w:t>
      </w:r>
      <w:proofErr w:type="spellEnd"/>
      <w:r w:rsidRPr="001B1040">
        <w:t xml:space="preserve">, E., &amp; </w:t>
      </w:r>
      <w:proofErr w:type="spellStart"/>
      <w:r w:rsidRPr="001B1040">
        <w:t>Oyesiku</w:t>
      </w:r>
      <w:proofErr w:type="spellEnd"/>
      <w:r w:rsidRPr="001B1040">
        <w:t xml:space="preserve">, N. M. (2022). Racial Disparities in Acromegaly and Cushing’s Disease: A Referral Center Study in 241 Patients. </w:t>
      </w:r>
      <w:r w:rsidRPr="001B1040">
        <w:rPr>
          <w:i/>
          <w:iCs/>
        </w:rPr>
        <w:t>Journal of the Endocrine Society</w:t>
      </w:r>
      <w:r w:rsidRPr="001B1040">
        <w:t xml:space="preserve">, </w:t>
      </w:r>
      <w:r w:rsidRPr="001B1040">
        <w:rPr>
          <w:i/>
          <w:iCs/>
        </w:rPr>
        <w:t>6</w:t>
      </w:r>
      <w:r w:rsidRPr="001B1040">
        <w:t>(1), bvab176. https://doi.org/10.1210/jendso/bvab176</w:t>
      </w:r>
    </w:p>
    <w:p w14:paraId="6A936D87" w14:textId="77777777" w:rsidR="001B1040" w:rsidRPr="001B1040" w:rsidRDefault="001B1040" w:rsidP="001B1040">
      <w:pPr>
        <w:pStyle w:val="Bibliography"/>
      </w:pPr>
      <w:r w:rsidRPr="001B1040">
        <w:t xml:space="preserve">Isidori, A. M., </w:t>
      </w:r>
      <w:proofErr w:type="spellStart"/>
      <w:r w:rsidRPr="001B1040">
        <w:t>Graziadio</w:t>
      </w:r>
      <w:proofErr w:type="spellEnd"/>
      <w:r w:rsidRPr="001B1040">
        <w:t xml:space="preserve">, C., </w:t>
      </w:r>
      <w:proofErr w:type="spellStart"/>
      <w:r w:rsidRPr="001B1040">
        <w:t>Paragliola</w:t>
      </w:r>
      <w:proofErr w:type="spellEnd"/>
      <w:r w:rsidRPr="001B1040">
        <w:t xml:space="preserve">, R. M., Cozzolino, A., Ambrogio, A. G., Colao, A., Corsello, S. M., </w:t>
      </w:r>
      <w:proofErr w:type="spellStart"/>
      <w:r w:rsidRPr="001B1040">
        <w:t>Pivonello</w:t>
      </w:r>
      <w:proofErr w:type="spellEnd"/>
      <w:r w:rsidRPr="001B1040">
        <w:t xml:space="preserve">, R., &amp; </w:t>
      </w:r>
      <w:proofErr w:type="gramStart"/>
      <w:r w:rsidRPr="001B1040">
        <w:t>Group,  on</w:t>
      </w:r>
      <w:proofErr w:type="gramEnd"/>
      <w:r w:rsidRPr="001B1040">
        <w:t xml:space="preserve"> behalf of the A. S. (2015). The hypertension of Cushing’s syndrome: Controversies in..</w:t>
      </w:r>
      <w:proofErr w:type="gramStart"/>
      <w:r w:rsidRPr="001B1040">
        <w:t>.</w:t>
      </w:r>
      <w:r w:rsidRPr="001B1040">
        <w:rPr>
          <w:rFonts w:ascii="Arial" w:hAnsi="Arial" w:cs="Arial"/>
        </w:rPr>
        <w:t> </w:t>
      </w:r>
      <w:r w:rsidRPr="001B1040">
        <w:t>:</w:t>
      </w:r>
      <w:proofErr w:type="gramEnd"/>
      <w:r w:rsidRPr="001B1040">
        <w:t xml:space="preserve"> Journal of Hypertension. </w:t>
      </w:r>
      <w:r w:rsidRPr="001B1040">
        <w:rPr>
          <w:i/>
          <w:iCs/>
        </w:rPr>
        <w:t>Journal of Hypertension</w:t>
      </w:r>
      <w:r w:rsidRPr="001B1040">
        <w:t xml:space="preserve">, </w:t>
      </w:r>
      <w:r w:rsidRPr="001B1040">
        <w:rPr>
          <w:i/>
          <w:iCs/>
        </w:rPr>
        <w:t>33</w:t>
      </w:r>
      <w:r w:rsidRPr="001B1040">
        <w:t>(1), 44–60. https://doi.org/10.1097/HJH.0000000000000415</w:t>
      </w:r>
    </w:p>
    <w:p w14:paraId="34DDBBE5" w14:textId="77777777" w:rsidR="001B1040" w:rsidRPr="001B1040" w:rsidRDefault="001B1040" w:rsidP="001B1040">
      <w:pPr>
        <w:pStyle w:val="Bibliography"/>
      </w:pPr>
      <w:proofErr w:type="spellStart"/>
      <w:r w:rsidRPr="001B1040">
        <w:t>Magiakou</w:t>
      </w:r>
      <w:proofErr w:type="spellEnd"/>
      <w:r w:rsidRPr="001B1040">
        <w:t xml:space="preserve">, M. A., Smyrnaki, P., &amp; </w:t>
      </w:r>
      <w:proofErr w:type="spellStart"/>
      <w:r w:rsidRPr="001B1040">
        <w:t>Chrousos</w:t>
      </w:r>
      <w:proofErr w:type="spellEnd"/>
      <w:r w:rsidRPr="001B1040">
        <w:t xml:space="preserve">, G. P. (2006). Hypertension in Cushing’s syndrome. </w:t>
      </w:r>
      <w:r w:rsidRPr="001B1040">
        <w:rPr>
          <w:i/>
          <w:iCs/>
        </w:rPr>
        <w:t>Best Practice &amp; Research Clinical Endocrinology &amp; Metabolism</w:t>
      </w:r>
      <w:r w:rsidRPr="001B1040">
        <w:t xml:space="preserve">, </w:t>
      </w:r>
      <w:r w:rsidRPr="001B1040">
        <w:rPr>
          <w:i/>
          <w:iCs/>
        </w:rPr>
        <w:t>20</w:t>
      </w:r>
      <w:r w:rsidRPr="001B1040">
        <w:t>(3), 467–482. https://doi.org/10.1016/j.beem.2006.07.006</w:t>
      </w:r>
    </w:p>
    <w:p w14:paraId="397E1097" w14:textId="77777777" w:rsidR="001B1040" w:rsidRPr="001B1040" w:rsidRDefault="001B1040" w:rsidP="001B1040">
      <w:pPr>
        <w:pStyle w:val="Bibliography"/>
      </w:pPr>
      <w:proofErr w:type="spellStart"/>
      <w:r w:rsidRPr="001B1040">
        <w:t>Matthiasdottir</w:t>
      </w:r>
      <w:proofErr w:type="spellEnd"/>
      <w:r w:rsidRPr="001B1040">
        <w:t xml:space="preserve">, A. M., Hardarson, T. O., Arnardottir, S., &amp; Sigurjonsdottir, H. A. (2024). Cushing’s Disease May Have Higher Incidence than Previously Thought: A Nationwide Study in Iceland 2010–2019. </w:t>
      </w:r>
      <w:r w:rsidRPr="001B1040">
        <w:rPr>
          <w:i/>
          <w:iCs/>
        </w:rPr>
        <w:t>Neuroendocrinology</w:t>
      </w:r>
      <w:r w:rsidRPr="001B1040">
        <w:t xml:space="preserve">, </w:t>
      </w:r>
      <w:r w:rsidRPr="001B1040">
        <w:rPr>
          <w:i/>
          <w:iCs/>
        </w:rPr>
        <w:t>114</w:t>
      </w:r>
      <w:r w:rsidRPr="001B1040">
        <w:t>(10), 950–957. https://doi.org/10.1159/000540205</w:t>
      </w:r>
    </w:p>
    <w:p w14:paraId="344F46E0" w14:textId="77777777" w:rsidR="001B1040" w:rsidRPr="001B1040" w:rsidRDefault="001B1040" w:rsidP="001B1040">
      <w:pPr>
        <w:pStyle w:val="Bibliography"/>
      </w:pPr>
      <w:r w:rsidRPr="001B1040">
        <w:t xml:space="preserve">Nieman, L. K. (2002). Diagnostic Tests for Cushing’s Syndrome. </w:t>
      </w:r>
      <w:r w:rsidRPr="001B1040">
        <w:rPr>
          <w:i/>
          <w:iCs/>
        </w:rPr>
        <w:t>Annals of the New York Academy of Sciences</w:t>
      </w:r>
      <w:r w:rsidRPr="001B1040">
        <w:t xml:space="preserve">, </w:t>
      </w:r>
      <w:r w:rsidRPr="001B1040">
        <w:rPr>
          <w:i/>
          <w:iCs/>
        </w:rPr>
        <w:t>970</w:t>
      </w:r>
      <w:r w:rsidRPr="001B1040">
        <w:t>(1), 112–118. https://doi.org/10.1111/j.1749-6632.2002.tb04417.x</w:t>
      </w:r>
    </w:p>
    <w:p w14:paraId="605EC6EE" w14:textId="77777777" w:rsidR="001B1040" w:rsidRPr="001B1040" w:rsidRDefault="001B1040" w:rsidP="001B1040">
      <w:pPr>
        <w:pStyle w:val="Bibliography"/>
      </w:pPr>
      <w:r w:rsidRPr="001B1040">
        <w:lastRenderedPageBreak/>
        <w:t xml:space="preserve">Omotosho, Y. B., McGlotten, R., </w:t>
      </w:r>
      <w:proofErr w:type="spellStart"/>
      <w:r w:rsidRPr="001B1040">
        <w:t>Chittiboina</w:t>
      </w:r>
      <w:proofErr w:type="spellEnd"/>
      <w:r w:rsidRPr="001B1040">
        <w:t xml:space="preserve">, P., &amp; Nieman, L. (2024). MON-113 Racial Disparity in the Time to Diagnosis of Cushing’s Disease. </w:t>
      </w:r>
      <w:r w:rsidRPr="001B1040">
        <w:rPr>
          <w:i/>
          <w:iCs/>
        </w:rPr>
        <w:t>Journal of the Endocrine Society</w:t>
      </w:r>
      <w:r w:rsidRPr="001B1040">
        <w:t xml:space="preserve">, </w:t>
      </w:r>
      <w:r w:rsidRPr="001B1040">
        <w:rPr>
          <w:i/>
          <w:iCs/>
        </w:rPr>
        <w:t>8</w:t>
      </w:r>
      <w:r w:rsidRPr="001B1040">
        <w:t>(Supplement_1), bvae163.2408. https://doi.org/10.1210/jendso/bvae163.2408</w:t>
      </w:r>
    </w:p>
    <w:p w14:paraId="2F028436" w14:textId="77777777" w:rsidR="001B1040" w:rsidRPr="001B1040" w:rsidRDefault="001B1040" w:rsidP="001B1040">
      <w:pPr>
        <w:pStyle w:val="Bibliography"/>
      </w:pPr>
      <w:proofErr w:type="spellStart"/>
      <w:r w:rsidRPr="001B1040">
        <w:t>Parvanova</w:t>
      </w:r>
      <w:proofErr w:type="spellEnd"/>
      <w:r w:rsidRPr="001B1040">
        <w:t xml:space="preserve">, A., </w:t>
      </w:r>
      <w:proofErr w:type="spellStart"/>
      <w:r w:rsidRPr="001B1040">
        <w:t>Reseghetti</w:t>
      </w:r>
      <w:proofErr w:type="spellEnd"/>
      <w:r w:rsidRPr="001B1040">
        <w:t xml:space="preserve">, E., Abbate, M., &amp; </w:t>
      </w:r>
      <w:proofErr w:type="spellStart"/>
      <w:r w:rsidRPr="001B1040">
        <w:t>Ruggenenti</w:t>
      </w:r>
      <w:proofErr w:type="spellEnd"/>
      <w:r w:rsidRPr="001B1040">
        <w:t xml:space="preserve">, P. (2024). Mechanisms and treatment of obesity-related hypertension—Part 1: Mechanisms. </w:t>
      </w:r>
      <w:r w:rsidRPr="001B1040">
        <w:rPr>
          <w:i/>
          <w:iCs/>
        </w:rPr>
        <w:t>Clinical Kidney Journal</w:t>
      </w:r>
      <w:r w:rsidRPr="001B1040">
        <w:t xml:space="preserve">, </w:t>
      </w:r>
      <w:r w:rsidRPr="001B1040">
        <w:rPr>
          <w:i/>
          <w:iCs/>
        </w:rPr>
        <w:t>17</w:t>
      </w:r>
      <w:r w:rsidRPr="001B1040">
        <w:t>(1), sfad282. https://doi.org/10.1093/ckj/sfad282</w:t>
      </w:r>
    </w:p>
    <w:p w14:paraId="0E96C6BD" w14:textId="77777777" w:rsidR="001B1040" w:rsidRPr="001B1040" w:rsidRDefault="001B1040" w:rsidP="001B1040">
      <w:pPr>
        <w:pStyle w:val="Bibliography"/>
      </w:pPr>
      <w:r w:rsidRPr="001B1040">
        <w:t xml:space="preserve">R Core Team. (2019). </w:t>
      </w:r>
      <w:r w:rsidRPr="001B1040">
        <w:rPr>
          <w:i/>
          <w:iCs/>
        </w:rPr>
        <w:t>R: A Language and Environment for Statistical Computing</w:t>
      </w:r>
      <w:r w:rsidRPr="001B1040">
        <w:t>. R Foundation for Statistical Computing. http://www.r-project.org/</w:t>
      </w:r>
    </w:p>
    <w:p w14:paraId="49530033" w14:textId="77777777" w:rsidR="001B1040" w:rsidRPr="001B1040" w:rsidRDefault="001B1040" w:rsidP="001B1040">
      <w:pPr>
        <w:pStyle w:val="Bibliography"/>
      </w:pPr>
      <w:r w:rsidRPr="001B1040">
        <w:t xml:space="preserve">Sharma, S. T., Nieman, L. K., &amp; </w:t>
      </w:r>
      <w:proofErr w:type="spellStart"/>
      <w:r w:rsidRPr="001B1040">
        <w:t>Feelders</w:t>
      </w:r>
      <w:proofErr w:type="spellEnd"/>
      <w:r w:rsidRPr="001B1040">
        <w:t xml:space="preserve">, R. A. (2015). Cushing’s syndrome: Epidemiology and developments in disease management. </w:t>
      </w:r>
      <w:r w:rsidRPr="001B1040">
        <w:rPr>
          <w:i/>
          <w:iCs/>
        </w:rPr>
        <w:t>Clinical Epidemiology</w:t>
      </w:r>
      <w:r w:rsidRPr="001B1040">
        <w:t>, 281–293.</w:t>
      </w:r>
    </w:p>
    <w:p w14:paraId="103B7F92" w14:textId="77777777" w:rsidR="001B1040" w:rsidRPr="001B1040" w:rsidRDefault="001B1040" w:rsidP="001B1040">
      <w:pPr>
        <w:pStyle w:val="Bibliography"/>
      </w:pPr>
      <w:r w:rsidRPr="001B1040">
        <w:t xml:space="preserve">Steffensen, C., Bak, A. M., Zøylner Rubeck, K., &amp; Jørgensen, J. O. L. (2010). Epidemiology of Cushing’s Syndrome. </w:t>
      </w:r>
      <w:r w:rsidRPr="001B1040">
        <w:rPr>
          <w:i/>
          <w:iCs/>
        </w:rPr>
        <w:t>Neuroendocrinology</w:t>
      </w:r>
      <w:r w:rsidRPr="001B1040">
        <w:t xml:space="preserve">, </w:t>
      </w:r>
      <w:r w:rsidRPr="001B1040">
        <w:rPr>
          <w:i/>
          <w:iCs/>
        </w:rPr>
        <w:t>92</w:t>
      </w:r>
      <w:r w:rsidRPr="001B1040">
        <w:t>(Suppl. 1), 1–5. https://doi.org/10.1159/000314297</w:t>
      </w:r>
    </w:p>
    <w:p w14:paraId="5599ABC0" w14:textId="77777777" w:rsidR="001B1040" w:rsidRPr="001B1040" w:rsidRDefault="001B1040" w:rsidP="001B1040">
      <w:pPr>
        <w:pStyle w:val="Bibliography"/>
      </w:pPr>
      <w:r w:rsidRPr="001B1040">
        <w:t xml:space="preserve">Zhou, J., Zhang, M., Lu, L., Guo, X., Gao, L., Yan, W., Pang, H., Wang, Y., &amp; Xing, B. (2019). Validity of discharge ICD-10 codes in detecting the etiologies of endogenous Cushing’s syndrome. </w:t>
      </w:r>
      <w:r w:rsidRPr="001B1040">
        <w:rPr>
          <w:i/>
          <w:iCs/>
        </w:rPr>
        <w:t>Endocrine Connections</w:t>
      </w:r>
      <w:r w:rsidRPr="001B1040">
        <w:t xml:space="preserve">, </w:t>
      </w:r>
      <w:r w:rsidRPr="001B1040">
        <w:rPr>
          <w:i/>
          <w:iCs/>
        </w:rPr>
        <w:t>8</w:t>
      </w:r>
      <w:r w:rsidRPr="001B1040">
        <w:t>(8), 1186–1194. https://doi.org/10.1530/EC-19-0312</w:t>
      </w:r>
    </w:p>
    <w:p w14:paraId="035EC8EF" w14:textId="77777777" w:rsidR="001B1040" w:rsidRPr="001B1040" w:rsidRDefault="001B1040" w:rsidP="001B1040">
      <w:pPr>
        <w:pStyle w:val="Bibliography"/>
      </w:pPr>
      <w:proofErr w:type="spellStart"/>
      <w:r w:rsidRPr="001B1040">
        <w:t>Zillo</w:t>
      </w:r>
      <w:proofErr w:type="spellEnd"/>
      <w:r w:rsidRPr="001B1040">
        <w:t xml:space="preserve">, M., Barbot, M., Ceccato, F., Camozzi, C., </w:t>
      </w:r>
      <w:proofErr w:type="spellStart"/>
      <w:r w:rsidRPr="001B1040">
        <w:t>Bilora</w:t>
      </w:r>
      <w:proofErr w:type="spellEnd"/>
      <w:r w:rsidRPr="001B1040">
        <w:t xml:space="preserve">, F., </w:t>
      </w:r>
      <w:proofErr w:type="spellStart"/>
      <w:r w:rsidRPr="001B1040">
        <w:t>Casonato</w:t>
      </w:r>
      <w:proofErr w:type="spellEnd"/>
      <w:r w:rsidRPr="001B1040">
        <w:t xml:space="preserve">, A., Frigo, A., </w:t>
      </w:r>
      <w:proofErr w:type="spellStart"/>
      <w:r w:rsidRPr="001B1040">
        <w:t>Albiger</w:t>
      </w:r>
      <w:proofErr w:type="spellEnd"/>
      <w:r w:rsidRPr="001B1040">
        <w:t xml:space="preserve">, N., Daidone, V., Mazzai, M., </w:t>
      </w:r>
      <w:proofErr w:type="spellStart"/>
      <w:r w:rsidRPr="001B1040">
        <w:t>Mantero</w:t>
      </w:r>
      <w:proofErr w:type="spellEnd"/>
      <w:r w:rsidRPr="001B1040">
        <w:t xml:space="preserve">, F., &amp; </w:t>
      </w:r>
      <w:proofErr w:type="spellStart"/>
      <w:r w:rsidRPr="001B1040">
        <w:t>Scaroni</w:t>
      </w:r>
      <w:proofErr w:type="spellEnd"/>
      <w:r w:rsidRPr="001B1040">
        <w:t xml:space="preserve">, C. (2014). Diagnosis and complications of Cushing’s disease: Gender-related differences. </w:t>
      </w:r>
      <w:r w:rsidRPr="001B1040">
        <w:rPr>
          <w:i/>
          <w:iCs/>
        </w:rPr>
        <w:t>Clinical Endocrinology</w:t>
      </w:r>
      <w:r w:rsidRPr="001B1040">
        <w:t xml:space="preserve">, </w:t>
      </w:r>
      <w:r w:rsidRPr="001B1040">
        <w:rPr>
          <w:i/>
          <w:iCs/>
        </w:rPr>
        <w:t>80</w:t>
      </w:r>
      <w:r w:rsidRPr="001B1040">
        <w:t>(3), 403–410.</w:t>
      </w:r>
    </w:p>
    <w:p w14:paraId="04F28D51" w14:textId="1543A518" w:rsidR="00C82FD0" w:rsidRPr="00184130" w:rsidRDefault="00AB7571" w:rsidP="00184130">
      <w:pPr>
        <w:pStyle w:val="Bibliography"/>
        <w:ind w:left="0" w:firstLine="0"/>
      </w:pPr>
      <w:r>
        <w:lastRenderedPageBreak/>
        <w:fldChar w:fldCharType="end"/>
      </w:r>
      <w:r w:rsidR="00C82FD0">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rsidSect="00535F35">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84130"/>
    <w:rsid w:val="001A5301"/>
    <w:rsid w:val="001A623C"/>
    <w:rsid w:val="001B1040"/>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1341C"/>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2893"/>
    <w:rsid w:val="009E4E77"/>
    <w:rsid w:val="009F2F1E"/>
    <w:rsid w:val="00A01365"/>
    <w:rsid w:val="00A055E2"/>
    <w:rsid w:val="00A059AA"/>
    <w:rsid w:val="00A066E7"/>
    <w:rsid w:val="00A07C1D"/>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078"/>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vebrid@umi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603</TotalTime>
  <Pages>17</Pages>
  <Words>14730</Words>
  <Characters>83961</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188</cp:revision>
  <dcterms:created xsi:type="dcterms:W3CDTF">2025-09-05T13:57:00Z</dcterms:created>
  <dcterms:modified xsi:type="dcterms:W3CDTF">2026-01-16T18:06:00Z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id="4nJ1iBao"/&gt;&lt;style id="http://www.zotero.org/styles/apa" locale="en-US" hasBibliography="1" bibliographyStyleHasBeenSet="1"/&gt;&lt;prefs&gt;&lt;pref name="fieldType" value="Field"/&gt;&lt;/prefs&gt;&lt;/data&gt;</vt:lpwstr>
  </property>
</Properties>
</file>