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7403A25C" w14:textId="15340387" w:rsidR="00C82FD0" w:rsidRPr="00C82FD0" w:rsidRDefault="00C82FD0" w:rsidP="00C82FD0">
      <w:pPr>
        <w:pStyle w:val="Heading1"/>
      </w:pPr>
      <w:r w:rsidRPr="00C82FD0">
        <w:t>Abstract</w:t>
      </w:r>
    </w:p>
    <w:p w14:paraId="2538D14E" w14:textId="77777777" w:rsidR="00C82FD0" w:rsidRPr="00C82FD0" w:rsidRDefault="00C82FD0" w:rsidP="00C82FD0"/>
    <w:p w14:paraId="5B079A0E" w14:textId="79E8D36B" w:rsidR="0084083C" w:rsidRDefault="0084083C" w:rsidP="00C82FD0">
      <w:pPr>
        <w:pStyle w:val="Heading1"/>
      </w:pPr>
      <w:r>
        <w:t>Introduction</w:t>
      </w:r>
    </w:p>
    <w:p w14:paraId="0191F86F" w14:textId="7F74EA56" w:rsidR="001A623C" w:rsidRDefault="001A623C" w:rsidP="001A623C">
      <w:r>
        <w:t>Cushing’s disease is a rare endocrine disorder, with an incidence rate of 1.8-2.5 cases per million people per year</w:t>
      </w:r>
      <w:r w:rsidR="00526CE3">
        <w:t xml:space="preserve"> </w:t>
      </w:r>
      <w:r w:rsidR="00526CE3">
        <w:fldChar w:fldCharType="begin"/>
      </w:r>
      <w:r w:rsidR="00526CE3">
        <w:instrText xml:space="preserve"> ADDIN ZOTERO_ITEM CSL_CITATION {"citationID":"Q0k2p23E","properties":{"formattedCitation":"(Gadelha et al., 2023; Sharma, Susmeeta T. et al., 2015)","plainCitation":"(Gadelha et al., 2023; Sharma, Susmeeta T.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syndrome","author":[{"literal":"Sharma, Susmeeta T."},{"family":"Nieman","given":"Lynnette K."},{"family":"Feelders","given":"Richard A."}],"issued":{"date-parts":[["2015"]]},"citation-key":"sharmasusmeetat.CushingsSyndromeEpidemiology2015"}}],"schema":"https://github.com/citation-style-language/schema/raw/master/csl-citation.json"} </w:instrText>
      </w:r>
      <w:r w:rsidR="00526CE3">
        <w:fldChar w:fldCharType="separate"/>
      </w:r>
      <w:r w:rsidR="00526CE3">
        <w:rPr>
          <w:noProof/>
        </w:rPr>
        <w:t>(Gadelha et al., 2023; Sharma, Susmeeta T.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became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34641901"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820009">
        <w:rPr>
          <w:b/>
          <w:bCs/>
        </w:rPr>
        <w:t xml:space="preserve">  </w:t>
      </w:r>
      <w:r>
        <w:t xml:space="preserve">To identify patients with Cushing’s disease, we evaluated electronic health records </w:t>
      </w:r>
      <w:r w:rsidR="00575431">
        <w:t>for participants at</w:t>
      </w:r>
      <w:r>
        <w:t xml:space="preserve"> Michigan Medicine dating back to January 1, 2000, searching for diagnoses of Cushing’s disease </w:t>
      </w:r>
      <w:r w:rsidR="001F22CD">
        <w:t>(</w:t>
      </w:r>
      <w:r>
        <w:t xml:space="preserve">including ICD Codes </w:t>
      </w:r>
      <w:r w:rsidR="00995BC6">
        <w:t xml:space="preserve">E24.0, </w:t>
      </w:r>
      <w:r w:rsidR="001F22CD">
        <w:t xml:space="preserve">and </w:t>
      </w:r>
      <w:r w:rsidR="00995BC6">
        <w:t>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0"/>
      <w:r w:rsidR="004561B8">
        <w:t>YYY</w:t>
      </w:r>
      <w:commentRangeEnd w:id="0"/>
      <w:r w:rsidR="001F22CD">
        <w:rPr>
          <w:rStyle w:val="CommentReference"/>
          <w:sz w:val="24"/>
          <w:szCs w:val="24"/>
        </w:rPr>
        <w:commentReference w:id="0"/>
      </w:r>
      <w:r w:rsidR="004561B8">
        <w:t>.</w:t>
      </w:r>
      <w:r w:rsidR="004B0142">
        <w:t xml:space="preserve">  We excluded participants if they </w:t>
      </w:r>
      <w:r w:rsidR="00995BC6">
        <w:t xml:space="preserve">did not have a </w:t>
      </w:r>
      <w:r w:rsidR="00995BC6">
        <w:lastRenderedPageBreak/>
        <w:t>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4DECF7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BMI’s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2022-2025 year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4DF45D82" w:rsidR="0005218F" w:rsidRDefault="0005218F" w:rsidP="00B859CD">
      <w:r w:rsidRPr="0005218F">
        <w:t xml:space="preserve">Mean arterial pressure </w:t>
      </w:r>
      <w:r w:rsidR="00803AF3">
        <w:t xml:space="preserve">(MAP) </w:t>
      </w:r>
      <w:r w:rsidRPr="0005218F">
        <w:t>was directly measured in the majority of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C82FD0">
      <w:pPr>
        <w:pStyle w:val="Heading1"/>
      </w:pPr>
      <w:r>
        <w:lastRenderedPageBreak/>
        <w:t>Results</w:t>
      </w:r>
    </w:p>
    <w:p w14:paraId="7ED2150B" w14:textId="77777777" w:rsidR="004B0142" w:rsidRPr="00C82FD0" w:rsidRDefault="004B0142" w:rsidP="00C82FD0">
      <w:pPr>
        <w:pStyle w:val="Heading2"/>
      </w:pPr>
      <w:r w:rsidRPr="00C82FD0">
        <w:rPr>
          <w:rStyle w:val="Strong"/>
          <w:b w:val="0"/>
          <w:bCs w:val="0"/>
        </w:rPr>
        <w:t>Study population</w:t>
      </w:r>
    </w:p>
    <w:p w14:paraId="7017BF89" w14:textId="7C9A3E76" w:rsidR="009259D6" w:rsidRDefault="005D1B0C">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Next, we eliminated participants that did not have a documented treatment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r w:rsidR="00DF0342">
        <w:t xml:space="preserve">Of </w:t>
      </w:r>
      <w:r w:rsidR="00603279">
        <w:t xml:space="preserve">these 365 participants, we were able to get </w:t>
      </w:r>
      <w:r>
        <w:t xml:space="preserve">fating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The average age at diagnosis was 46.3 +/- 15.5 years. There were 287 female and 72 male patients.  This is consistent with the gender difference in diagnosis of 4:1 seen in previous studies   (</w:t>
      </w:r>
      <w:commentRangeStart w:id="1"/>
      <w:r w:rsidR="00211F2C">
        <w:t>sources</w:t>
      </w:r>
      <w:commentRangeEnd w:id="1"/>
      <w:r w:rsidR="00211F2C">
        <w:rPr>
          <w:rStyle w:val="CommentReference"/>
          <w:sz w:val="24"/>
          <w:szCs w:val="24"/>
        </w:rPr>
        <w:commentReference w:id="1"/>
      </w:r>
      <w:r w:rsidR="00211F2C">
        <w:t xml:space="preserve">).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58440E6C"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w:t>
      </w:r>
      <w:r w:rsidR="00A46BC5">
        <w:lastRenderedPageBreak/>
        <w:t xml:space="preserve">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 xml:space="preserve">We found that 232 patients had a BMI above 30 </w:t>
      </w:r>
      <w:r w:rsidR="00E55817">
        <w:t>kg/m</w:t>
      </w:r>
      <w:r w:rsidR="00E55817" w:rsidRPr="00E3456B">
        <w:rPr>
          <w:vertAlign w:val="superscript"/>
        </w:rPr>
        <w:t>2</w:t>
      </w:r>
      <w:r w:rsidR="00E55817">
        <w:rPr>
          <w:vertAlign w:val="superscript"/>
        </w:rPr>
        <w:t xml:space="preserve"> </w:t>
      </w:r>
      <w:r w:rsidR="00E55817">
        <w:t xml:space="preserve">and 128 had a BMI below 30 </w:t>
      </w:r>
      <w:r w:rsidR="00E55817">
        <w:t>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7069DC58" w:rsidR="00F455CD" w:rsidRDefault="00F455CD" w:rsidP="00161005">
      <w:r>
        <w:t>To identify how obesity alters metabolic outcomes related to Cushing’s disease, we evaluated the effects of Cushing’s disease on several key metabolic variables including 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464FA170"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w:t>
      </w:r>
      <w:r w:rsidR="00514AC5">
        <w:lastRenderedPageBreak/>
        <w:t xml:space="preserve">levels </w:t>
      </w:r>
      <w:r w:rsidR="006F7B40">
        <w:t xml:space="preserve">in patients with obesity </w:t>
      </w:r>
      <w:r w:rsidR="00514AC5">
        <w:t>(</w:t>
      </w:r>
      <w:r w:rsidR="006F7B40">
        <w:t xml:space="preserve">1.38% </w:t>
      </w:r>
      <w:r w:rsidR="00514AC5">
        <w:t>p</w:t>
      </w:r>
      <w:r w:rsidR="00995BC6">
        <w:t>&lt;0.01</w:t>
      </w:r>
      <w:r w:rsidR="00514AC5">
        <w:t xml:space="preserve">). </w:t>
      </w:r>
      <w:r w:rsidR="006F7B40">
        <w:t xml:space="preserve">  Again</w:t>
      </w:r>
      <w:r w:rsidR="00F51B95">
        <w:t>.</w:t>
      </w:r>
      <w:r w:rsidR="006F7B40">
        <w:t xml:space="preserve"> there was no evidence of effect modification by obesity (p=0.41)</w:t>
      </w:r>
      <w:r>
        <w:t>.  This suggests that blood glucose increases with Cushing’s disease are largely additive.</w:t>
      </w:r>
    </w:p>
    <w:p w14:paraId="561F3983" w14:textId="28E16CE8" w:rsidR="00F455CD" w:rsidRDefault="00F455CD" w:rsidP="00C82FD0">
      <w:pPr>
        <w:pStyle w:val="Heading3"/>
      </w:pPr>
      <w:r>
        <w:t>MASLD and liver enzymes</w:t>
      </w:r>
    </w:p>
    <w:p w14:paraId="0C7D6550" w14:textId="2D968ABA"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In this case,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C82FD0">
      <w:pPr>
        <w:pStyle w:val="Heading3"/>
      </w:pPr>
      <w:r>
        <w:t>Blood Pressure</w:t>
      </w:r>
    </w:p>
    <w:p w14:paraId="50829F1A" w14:textId="1BD2F1D9" w:rsidR="003868BC" w:rsidRPr="00F455CD" w:rsidRDefault="00A250E3" w:rsidP="00547E80">
      <w:r>
        <w:t xml:space="preserve">We </w:t>
      </w:r>
      <w:r w:rsidR="00807321">
        <w:t>evaluated</w:t>
      </w:r>
      <w:r w:rsidR="00547E80">
        <w:t xml:space="preserve"> blood pressure readings as systolic, diastolic and mean arterial pressure</w:t>
      </w:r>
      <w:r w:rsidR="00EB0CB1">
        <w:t>s</w:t>
      </w:r>
      <w:r w:rsidR="00547E80">
        <w:t xml:space="preserve"> </w:t>
      </w:r>
      <w:r>
        <w:t xml:space="preserve">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xml:space="preserve">.  For example, in terms of systolic blood pressure, Cushing’s disease was associated with an increase of 11.97 mm Hg in patients without obesity but 3.08 mm Hg.  This attenuation of the effect of Cushing’s disease with obesity was significant </w:t>
      </w:r>
      <w:r w:rsidR="00746609">
        <w:t>for mean, systolic, and diastolic bood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5DB96449"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increased as obesity increased.  For example, the interaction between Class I obesity and Cushing’s disease on ALT levels was -12.8 mg/dL but increased to 30.3 for Class II obesity and 80.7 for class III obesity.  Since this analysis already accounted for a main effect of obesity status, this suggest that as obesity increases, the negative effect of Cushing’s disease on liver enzymes increased, while the protective effect on blood </w:t>
      </w:r>
      <w:r w:rsidR="000E4E9E">
        <w:lastRenderedPageBreak/>
        <w:t xml:space="preserve">pressure was also trended to increase in magnitude.  Stratifying by gender, we noticed that female patients generally had worsened but more variable effect estimates.  In the case of AST, the interaction between obesity and Cushings’s was estimated at 41.9 [-3.7-87.5] mg/dL but for males it was 25.8 [11.4-40.1] mg/dL.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62970D2B" w:rsidR="00D82F2C" w:rsidRDefault="008B790B" w:rsidP="00D82F2C">
      <w:pPr>
        <w:pStyle w:val="ListParagraph"/>
        <w:ind w:left="0"/>
      </w:pPr>
      <w:r>
        <w:t>This analysis of the effects of obesity and Cushing’s disease demonstrate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analysis.</w:t>
      </w:r>
    </w:p>
    <w:p w14:paraId="4CBEDEE2" w14:textId="77777777" w:rsidR="008B790B" w:rsidRDefault="008B790B" w:rsidP="00D82F2C">
      <w:pPr>
        <w:pStyle w:val="ListParagraph"/>
        <w:ind w:left="0"/>
      </w:pPr>
    </w:p>
    <w:p w14:paraId="38971267" w14:textId="6FFD3162" w:rsidR="008B790B" w:rsidRDefault="008B790B" w:rsidP="00D82F2C">
      <w:pPr>
        <w:pStyle w:val="ListParagraph"/>
        <w:ind w:left="0"/>
      </w:pPr>
      <w:r>
        <w:t xml:space="preserve">These data are in part consistent with experimental animal studies in our group where pre-existing obesity aggravated liver steatosis and muscle function </w:t>
      </w:r>
      <w:commentRangeStart w:id="2"/>
      <w:r>
        <w:t xml:space="preserve">loss </w:t>
      </w:r>
      <w:commentRangeEnd w:id="2"/>
      <w:r w:rsidR="006970D5">
        <w:rPr>
          <w:rStyle w:val="CommentReference"/>
          <w:sz w:val="24"/>
          <w:szCs w:val="24"/>
        </w:rPr>
        <w:commentReference w:id="2"/>
      </w:r>
      <w:r>
        <w:t xml:space="preserve">.  These data are also consistent with our previous report demonstrating that obesity modifies Cushing’s-induced transcriptional changes in adipose </w:t>
      </w:r>
      <w:commentRangeStart w:id="3"/>
      <w:r>
        <w:t xml:space="preserve">tissue </w:t>
      </w:r>
      <w:commentRangeEnd w:id="3"/>
      <w:r w:rsidR="006970D5">
        <w:rPr>
          <w:rStyle w:val="CommentReference"/>
          <w:sz w:val="24"/>
          <w:szCs w:val="24"/>
        </w:rPr>
        <w:commentReference w:id="3"/>
      </w:r>
      <w:r w:rsidR="006970D5">
        <w:t>.  We remain interested in Cushing’s induced bone and muscle loss, as well as the effect of obesity and Cushing’s disease on blood lipids and kidney function, but did not have sufficient laboratory results in these participants to make reliable conclusions.</w:t>
      </w:r>
    </w:p>
    <w:p w14:paraId="5AEEC314" w14:textId="77777777" w:rsidR="00AF2CDB" w:rsidRDefault="00AF2CDB" w:rsidP="00D82F2C">
      <w:pPr>
        <w:pStyle w:val="ListParagraph"/>
        <w:ind w:left="0"/>
      </w:pPr>
    </w:p>
    <w:p w14:paraId="72ECA82D" w14:textId="53163CC3" w:rsidR="00AF2CDB" w:rsidRDefault="00AF2CDB" w:rsidP="00D82F2C">
      <w:pPr>
        <w:pStyle w:val="ListParagraph"/>
        <w:ind w:left="0"/>
      </w:pPr>
      <w:r>
        <w:t xml:space="preserve">Pathophysiologically, the induction of adipocyte lipolysis by cortisol’s direct effects on adipocytes, as well as its indirect effects on insulin signaling in adipocytes may explain increased liver disease in patients with obesity and Cushing’s disease.  This could be due to a confluence of increased triglyceride stores available for release, increased signaling, and decreased hepatic triglyceride export due to hepatic insulin resistance.  It is less clear to us why blood pressure is not augmented.  We report that both obesity and Cushing’s disease increase systolic, diastolic and mean arterial pressure, but when both are combined the effect is strongly attenuated (Figure 2 and Table 3).  Obesity is a well-known risk factor for </w:t>
      </w:r>
      <w:commentRangeStart w:id="4"/>
      <w:r>
        <w:t>hypertension</w:t>
      </w:r>
      <w:commentRangeEnd w:id="4"/>
      <w:r>
        <w:rPr>
          <w:rStyle w:val="CommentReference"/>
          <w:sz w:val="24"/>
          <w:szCs w:val="24"/>
        </w:rPr>
        <w:commentReference w:id="4"/>
      </w:r>
      <w:r>
        <w:t xml:space="preserve"> .  Prior studies have shown </w:t>
      </w:r>
      <w:commentRangeStart w:id="5"/>
      <w:r>
        <w:t xml:space="preserve">XXXX </w:t>
      </w:r>
      <w:commentRangeEnd w:id="5"/>
      <w:r>
        <w:rPr>
          <w:rStyle w:val="CommentReference"/>
          <w:sz w:val="24"/>
          <w:szCs w:val="24"/>
        </w:rPr>
        <w:commentReference w:id="5"/>
      </w:r>
      <w:r>
        <w:t xml:space="preserve">regarding blood pressure in Cushing’s disease patients.  One possibility is that patients with obesity and Cushing’s disease are already medicated to control their hypertension </w:t>
      </w:r>
      <w:commentRangeStart w:id="6"/>
      <w:r>
        <w:t>levels</w:t>
      </w:r>
      <w:commentRangeEnd w:id="6"/>
      <w:r w:rsidR="00691E73">
        <w:rPr>
          <w:rStyle w:val="CommentReference"/>
          <w:sz w:val="24"/>
          <w:szCs w:val="24"/>
        </w:rPr>
        <w:commentReference w:id="6"/>
      </w:r>
      <w:r>
        <w:t xml:space="preserve">.  </w:t>
      </w:r>
    </w:p>
    <w:p w14:paraId="25264937" w14:textId="77777777" w:rsidR="00AF2CDB" w:rsidRDefault="00AF2CDB" w:rsidP="00D82F2C">
      <w:pPr>
        <w:pStyle w:val="ListParagraph"/>
        <w:ind w:left="0"/>
      </w:pPr>
    </w:p>
    <w:p w14:paraId="7379F7EA" w14:textId="0632B6F5" w:rsidR="00AF2CDB" w:rsidRPr="00AF2CDB" w:rsidRDefault="00AF2CDB" w:rsidP="00D82F2C">
      <w:pPr>
        <w:pStyle w:val="ListParagraph"/>
        <w:ind w:left="0"/>
      </w:pPr>
      <w:r>
        <w:t xml:space="preserve">We also report several interesting gender differences in how obesity and Cushing’s disease interact.  We find, as others have before, that Cushing’s disease affects women at a higher </w:t>
      </w:r>
      <w:r>
        <w:lastRenderedPageBreak/>
        <w:t>rate.  We also find that among the pool of Cushing’s disease patients with obesity, that is also more likely to be female.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5B36C0C9" w:rsidR="00691E73" w:rsidRDefault="00691E73" w:rsidP="00D82F2C">
      <w:pPr>
        <w:pStyle w:val="ListParagraph"/>
        <w:ind w:left="0"/>
      </w:pPr>
      <w:r>
        <w:t>There are however several other limitations to this work.  A large number of patients were diagnosed with Cushing’s but their procedure date was not indicated.  Second, this patient cohort was relatively homogeneous, consisting of mostly White patients, limiting our ability to evaluate race- or ancestry-specific differences.  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In most cases, only one laboratory value was available prior to treatment.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lastRenderedPageBreak/>
        <w:t>Acknowledgements</w:t>
      </w:r>
      <w:r w:rsidR="00037451">
        <w:t xml:space="preserve"> and Funding</w:t>
      </w:r>
    </w:p>
    <w:p w14:paraId="485FAA9E" w14:textId="11F72BC3" w:rsidR="007F2D3D" w:rsidRPr="007F2D3D" w:rsidRDefault="007F2D3D" w:rsidP="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19AA1532" w14:textId="406AF5E9" w:rsidR="00EB133A" w:rsidRDefault="00AB7571" w:rsidP="00C82FD0">
      <w:pPr>
        <w:pStyle w:val="Heading1"/>
      </w:pPr>
      <w:r>
        <w:t>References</w:t>
      </w:r>
    </w:p>
    <w:p w14:paraId="6355FE01" w14:textId="77777777" w:rsidR="0074215A" w:rsidRPr="0074215A" w:rsidRDefault="00AB7571" w:rsidP="00C82FD0">
      <w:pPr>
        <w:pStyle w:val="Bibliography"/>
        <w:spacing w:line="240" w:lineRule="auto"/>
        <w:rPr>
          <w:rFonts w:ascii="Aptos"/>
        </w:rPr>
      </w:pPr>
      <w:r>
        <w:fldChar w:fldCharType="begin"/>
      </w:r>
      <w:r w:rsidR="00526CE3">
        <w:instrText xml:space="preserve"> ADDIN ZOTERO_BIBL {"uncited":[],"omitted":[],"custom":[]} CSL_BIBLIOGRAPHY </w:instrText>
      </w:r>
      <w:r>
        <w:fldChar w:fldCharType="separate"/>
      </w:r>
      <w:r w:rsidR="0074215A" w:rsidRPr="0074215A">
        <w:rPr>
          <w:rFonts w:ascii="Aptos"/>
        </w:rPr>
        <w:t xml:space="preserve">Alqeeq, B. F., Ayyad, M., Almadhoun, W. J., Aboabdo, M., Aldahdouh, M. S., Al-Tawil, M., &amp; Al-Ghazali, A. M. (2024). Sex-related differences in Cushing’s disease: A systematic review and meta-analysis. </w:t>
      </w:r>
      <w:r w:rsidR="0074215A" w:rsidRPr="0074215A">
        <w:rPr>
          <w:rFonts w:ascii="Aptos"/>
          <w:i/>
          <w:iCs/>
        </w:rPr>
        <w:t>Annals of Saudi Medicine</w:t>
      </w:r>
      <w:r w:rsidR="0074215A" w:rsidRPr="0074215A">
        <w:rPr>
          <w:rFonts w:ascii="Aptos"/>
        </w:rPr>
        <w:t xml:space="preserve">, </w:t>
      </w:r>
      <w:r w:rsidR="0074215A" w:rsidRPr="0074215A">
        <w:rPr>
          <w:rFonts w:ascii="Aptos"/>
          <w:i/>
          <w:iCs/>
        </w:rPr>
        <w:t>44</w:t>
      </w:r>
      <w:r w:rsidR="0074215A" w:rsidRPr="0074215A">
        <w:rPr>
          <w:rFonts w:ascii="Aptos"/>
        </w:rPr>
        <w:t>(1), 55–65. https://doi.org/10.5144/0256-4947.2024.55</w:t>
      </w:r>
    </w:p>
    <w:p w14:paraId="74FE5EA0" w14:textId="77777777" w:rsidR="0074215A" w:rsidRPr="0074215A" w:rsidRDefault="0074215A" w:rsidP="00C82FD0">
      <w:pPr>
        <w:pStyle w:val="Bibliography"/>
        <w:spacing w:line="240" w:lineRule="auto"/>
        <w:rPr>
          <w:rFonts w:ascii="Aptos"/>
        </w:rPr>
      </w:pPr>
      <w:r w:rsidRPr="0074215A">
        <w:rPr>
          <w:rFonts w:ascii="Aptos"/>
        </w:rPr>
        <w:t xml:space="preserve">Braun, L. T., Riester, A., Oßwald-Kopp, A., Fazel, J., Rubinstein, G., Bidlingmaier, M., Beuschlein, F., &amp; Reincke, M. (2019). Toward a Diagnostic Score in Cushing’s Syndrome. </w:t>
      </w:r>
      <w:r w:rsidRPr="0074215A">
        <w:rPr>
          <w:rFonts w:ascii="Aptos"/>
          <w:i/>
          <w:iCs/>
        </w:rPr>
        <w:t>Frontiers in Endocrinology</w:t>
      </w:r>
      <w:r w:rsidRPr="0074215A">
        <w:rPr>
          <w:rFonts w:ascii="Aptos"/>
        </w:rPr>
        <w:t xml:space="preserve">, </w:t>
      </w:r>
      <w:r w:rsidRPr="0074215A">
        <w:rPr>
          <w:rFonts w:ascii="Aptos"/>
          <w:i/>
          <w:iCs/>
        </w:rPr>
        <w:t>10</w:t>
      </w:r>
      <w:r w:rsidRPr="0074215A">
        <w:rPr>
          <w:rFonts w:ascii="Aptos"/>
        </w:rPr>
        <w:t>, 766. https://doi.org/10.3389/fendo.2019.00766</w:t>
      </w:r>
    </w:p>
    <w:p w14:paraId="5D812067" w14:textId="77777777" w:rsidR="0074215A" w:rsidRPr="0074215A" w:rsidRDefault="0074215A" w:rsidP="00C82FD0">
      <w:pPr>
        <w:pStyle w:val="Bibliography"/>
        <w:spacing w:line="240" w:lineRule="auto"/>
        <w:rPr>
          <w:rFonts w:ascii="Aptos"/>
        </w:rPr>
      </w:pPr>
      <w:r w:rsidRPr="0074215A">
        <w:rPr>
          <w:rFonts w:ascii="Aptos"/>
        </w:rPr>
        <w:t xml:space="preserve">Broder, M. S., Neary, M. P., Chang, E., Cherepanov, D., &amp; Ludlam, W. H. (2015). Incidence of Cushing’s syndrome and Cushing’s disease in commercially-insured patients &lt;65 years old in the United States. </w:t>
      </w:r>
      <w:r w:rsidRPr="0074215A">
        <w:rPr>
          <w:rFonts w:ascii="Aptos"/>
          <w:i/>
          <w:iCs/>
        </w:rPr>
        <w:t>Pituitary</w:t>
      </w:r>
      <w:r w:rsidRPr="0074215A">
        <w:rPr>
          <w:rFonts w:ascii="Aptos"/>
        </w:rPr>
        <w:t xml:space="preserve">, </w:t>
      </w:r>
      <w:r w:rsidRPr="0074215A">
        <w:rPr>
          <w:rFonts w:ascii="Aptos"/>
          <w:i/>
          <w:iCs/>
        </w:rPr>
        <w:t>18</w:t>
      </w:r>
      <w:r w:rsidRPr="0074215A">
        <w:rPr>
          <w:rFonts w:ascii="Aptos"/>
        </w:rPr>
        <w:t>(3), 283–289. https://doi.org/10.1007/s11102-014-0569-6</w:t>
      </w:r>
    </w:p>
    <w:p w14:paraId="3DC4E80F" w14:textId="77777777" w:rsidR="0074215A" w:rsidRPr="0074215A" w:rsidRDefault="0074215A" w:rsidP="00C82FD0">
      <w:pPr>
        <w:pStyle w:val="Bibliography"/>
        <w:spacing w:line="240" w:lineRule="auto"/>
        <w:rPr>
          <w:rFonts w:ascii="Aptos"/>
        </w:rPr>
      </w:pPr>
      <w:r w:rsidRPr="0074215A">
        <w:rPr>
          <w:rFonts w:ascii="Aptos"/>
        </w:rPr>
        <w:t xml:space="preserve">DeFronzo, R. A., &amp; Auchus, R. J. (2025). Cushing Syndrome, Hypercortisolism, and Glucose Homeostasis: A Review. </w:t>
      </w:r>
      <w:r w:rsidRPr="0074215A">
        <w:rPr>
          <w:rFonts w:ascii="Aptos"/>
          <w:i/>
          <w:iCs/>
        </w:rPr>
        <w:t>Diabetes</w:t>
      </w:r>
      <w:r w:rsidRPr="0074215A">
        <w:rPr>
          <w:rFonts w:ascii="Aptos"/>
        </w:rPr>
        <w:t xml:space="preserve">, </w:t>
      </w:r>
      <w:r w:rsidRPr="0074215A">
        <w:rPr>
          <w:rFonts w:ascii="Aptos"/>
          <w:i/>
          <w:iCs/>
        </w:rPr>
        <w:t>74</w:t>
      </w:r>
      <w:r w:rsidRPr="0074215A">
        <w:rPr>
          <w:rFonts w:ascii="Aptos"/>
        </w:rPr>
        <w:t>(12), 2168–2178. https://doi.org/10.2337/db25-0120</w:t>
      </w:r>
    </w:p>
    <w:p w14:paraId="46075CB8" w14:textId="77777777" w:rsidR="0074215A" w:rsidRPr="0074215A" w:rsidRDefault="0074215A" w:rsidP="00C82FD0">
      <w:pPr>
        <w:pStyle w:val="Bibliography"/>
        <w:spacing w:line="240" w:lineRule="auto"/>
        <w:rPr>
          <w:rFonts w:ascii="Aptos"/>
        </w:rPr>
      </w:pPr>
      <w:r w:rsidRPr="0074215A">
        <w:rPr>
          <w:rFonts w:ascii="Aptos"/>
        </w:rPr>
        <w:t xml:space="preserve">Etxabe, J., &amp; Vazquez, J. A. (1994). Morbidity and mortality in Cushing’s disease: An epidemiological approach. </w:t>
      </w:r>
      <w:r w:rsidRPr="0074215A">
        <w:rPr>
          <w:rFonts w:ascii="Aptos"/>
          <w:i/>
          <w:iCs/>
        </w:rPr>
        <w:t>Clin Endocrinol (Oxf)</w:t>
      </w:r>
      <w:r w:rsidRPr="0074215A">
        <w:rPr>
          <w:rFonts w:ascii="Aptos"/>
        </w:rPr>
        <w:t xml:space="preserve">, </w:t>
      </w:r>
      <w:r w:rsidRPr="0074215A">
        <w:rPr>
          <w:rFonts w:ascii="Aptos"/>
          <w:i/>
          <w:iCs/>
        </w:rPr>
        <w:t>40</w:t>
      </w:r>
      <w:r w:rsidRPr="0074215A">
        <w:rPr>
          <w:rFonts w:ascii="Aptos"/>
        </w:rPr>
        <w:t>(4), 479–484. https://doi.org/10.1111/j.1365-2265.1994.tb02486.x</w:t>
      </w:r>
    </w:p>
    <w:p w14:paraId="237CCD72" w14:textId="77777777" w:rsidR="0074215A" w:rsidRPr="0074215A" w:rsidRDefault="0074215A" w:rsidP="00C82FD0">
      <w:pPr>
        <w:pStyle w:val="Bibliography"/>
        <w:spacing w:line="240" w:lineRule="auto"/>
        <w:rPr>
          <w:rFonts w:ascii="Aptos"/>
        </w:rPr>
      </w:pPr>
      <w:r w:rsidRPr="0074215A">
        <w:rPr>
          <w:rFonts w:ascii="Aptos"/>
        </w:rPr>
        <w:t xml:space="preserve">Fleseriu, M., Auchus, R., Bancos, I., Ben-Shlomo, A., Bertherat, J., Biermasz, N. R., Boguszewski, C. L., Bronstein, M. D., Buchfelder, M., Carmichael, J. D., Casanueva, F. F., Castinetti, F., Chanson, P., Findling, J., Gadelha, M., Geer, E. B., Giustina, A., Grossman, A., Gurnell, M., … Biller, B. M. K. (2021). Consensus on Diagnosis and Management of Cushing’s Disease: A Guideline Update. </w:t>
      </w:r>
      <w:r w:rsidRPr="0074215A">
        <w:rPr>
          <w:rFonts w:ascii="Aptos"/>
          <w:i/>
          <w:iCs/>
        </w:rPr>
        <w:t>The Lancet. Diabetes &amp; Endocrinology</w:t>
      </w:r>
      <w:r w:rsidRPr="0074215A">
        <w:rPr>
          <w:rFonts w:ascii="Aptos"/>
        </w:rPr>
        <w:t xml:space="preserve">, </w:t>
      </w:r>
      <w:r w:rsidRPr="0074215A">
        <w:rPr>
          <w:rFonts w:ascii="Aptos"/>
          <w:i/>
          <w:iCs/>
        </w:rPr>
        <w:t>9</w:t>
      </w:r>
      <w:r w:rsidRPr="0074215A">
        <w:rPr>
          <w:rFonts w:ascii="Aptos"/>
        </w:rPr>
        <w:t>(12), 847–875. https://doi.org/10.1016/S2213-8587(21)00235-7</w:t>
      </w:r>
    </w:p>
    <w:p w14:paraId="05E256A6" w14:textId="77777777" w:rsidR="0074215A" w:rsidRPr="0074215A" w:rsidRDefault="0074215A" w:rsidP="00C82FD0">
      <w:pPr>
        <w:pStyle w:val="Bibliography"/>
        <w:spacing w:line="240" w:lineRule="auto"/>
        <w:rPr>
          <w:rFonts w:ascii="Aptos"/>
        </w:rPr>
      </w:pPr>
      <w:r w:rsidRPr="0074215A">
        <w:rPr>
          <w:rFonts w:ascii="Aptos"/>
        </w:rPr>
        <w:t xml:space="preserve">Gadelha, M., Gatto, F., Wildemberg, L. E., &amp; Fleseriu, M. (2023). Cushing’s syndrome. </w:t>
      </w:r>
      <w:r w:rsidRPr="0074215A">
        <w:rPr>
          <w:rFonts w:ascii="Aptos"/>
          <w:i/>
          <w:iCs/>
        </w:rPr>
        <w:t>The Lancet</w:t>
      </w:r>
      <w:r w:rsidRPr="0074215A">
        <w:rPr>
          <w:rFonts w:ascii="Aptos"/>
        </w:rPr>
        <w:t xml:space="preserve">, </w:t>
      </w:r>
      <w:r w:rsidRPr="0074215A">
        <w:rPr>
          <w:rFonts w:ascii="Aptos"/>
          <w:i/>
          <w:iCs/>
        </w:rPr>
        <w:t>402</w:t>
      </w:r>
      <w:r w:rsidRPr="0074215A">
        <w:rPr>
          <w:rFonts w:ascii="Aptos"/>
        </w:rPr>
        <w:t>(10418), 2237–2252. https://doi.org/10.1016/S0140-6736(23)01961-X</w:t>
      </w:r>
    </w:p>
    <w:p w14:paraId="5722D5AD" w14:textId="77777777" w:rsidR="0074215A" w:rsidRPr="0074215A" w:rsidRDefault="0074215A" w:rsidP="00C82FD0">
      <w:pPr>
        <w:pStyle w:val="Bibliography"/>
        <w:spacing w:line="240" w:lineRule="auto"/>
        <w:rPr>
          <w:rFonts w:ascii="Aptos"/>
        </w:rPr>
      </w:pPr>
      <w:r w:rsidRPr="0074215A">
        <w:rPr>
          <w:rFonts w:ascii="Aptos"/>
        </w:rPr>
        <w:t xml:space="preserve">Giordano, R., Picu, A., Marinazzo, E., D’Angelo, V., Berardelli, R., Karamouzis, I., Forno, D., Zinnà, D., Maccario, M., Ghigo, E., &amp; Arvat, E. (2011). Metabolic and cardiovascular </w:t>
      </w:r>
      <w:r w:rsidRPr="0074215A">
        <w:rPr>
          <w:rFonts w:ascii="Aptos"/>
        </w:rPr>
        <w:lastRenderedPageBreak/>
        <w:t xml:space="preserve">outcomes in patients with Cushing’s syndrome of different aetiologies during active disease and 1 year after remission. </w:t>
      </w:r>
      <w:r w:rsidRPr="0074215A">
        <w:rPr>
          <w:rFonts w:ascii="Aptos"/>
          <w:i/>
          <w:iCs/>
        </w:rPr>
        <w:t>Clinical Endocrinology</w:t>
      </w:r>
      <w:r w:rsidRPr="0074215A">
        <w:rPr>
          <w:rFonts w:ascii="Aptos"/>
        </w:rPr>
        <w:t xml:space="preserve">, </w:t>
      </w:r>
      <w:r w:rsidRPr="0074215A">
        <w:rPr>
          <w:rFonts w:ascii="Aptos"/>
          <w:i/>
          <w:iCs/>
        </w:rPr>
        <w:t>75</w:t>
      </w:r>
      <w:r w:rsidRPr="0074215A">
        <w:rPr>
          <w:rFonts w:ascii="Aptos"/>
        </w:rPr>
        <w:t>(3), 354–360. https://doi.org/10.1111/j.1365-2265.2011.04055.x</w:t>
      </w:r>
    </w:p>
    <w:p w14:paraId="6E6C309A" w14:textId="77777777" w:rsidR="0074215A" w:rsidRPr="0074215A" w:rsidRDefault="0074215A" w:rsidP="00C82FD0">
      <w:pPr>
        <w:pStyle w:val="Bibliography"/>
        <w:spacing w:line="240" w:lineRule="auto"/>
        <w:rPr>
          <w:rFonts w:ascii="Aptos"/>
        </w:rPr>
      </w:pPr>
      <w:r w:rsidRPr="0074215A">
        <w:rPr>
          <w:rFonts w:ascii="Aptos"/>
        </w:rPr>
        <w:t xml:space="preserve">Ho, D., Imai, K., King, G., &amp; Stuart, E. A. (2011). MatchIt: Nonparametric Preprocessing for Parametric Causal Inference. </w:t>
      </w:r>
      <w:r w:rsidRPr="0074215A">
        <w:rPr>
          <w:rFonts w:ascii="Aptos"/>
          <w:i/>
          <w:iCs/>
        </w:rPr>
        <w:t>Journal of Statistical Software</w:t>
      </w:r>
      <w:r w:rsidRPr="0074215A">
        <w:rPr>
          <w:rFonts w:ascii="Aptos"/>
        </w:rPr>
        <w:t xml:space="preserve">, </w:t>
      </w:r>
      <w:r w:rsidRPr="0074215A">
        <w:rPr>
          <w:rFonts w:ascii="Aptos"/>
          <w:i/>
          <w:iCs/>
        </w:rPr>
        <w:t>42</w:t>
      </w:r>
      <w:r w:rsidRPr="0074215A">
        <w:rPr>
          <w:rFonts w:ascii="Aptos"/>
        </w:rPr>
        <w:t>, 1–28. https://doi.org/10.18637/jss.v042.i08</w:t>
      </w:r>
    </w:p>
    <w:p w14:paraId="47916D38" w14:textId="77777777" w:rsidR="0074215A" w:rsidRPr="0074215A" w:rsidRDefault="0074215A" w:rsidP="00C82FD0">
      <w:pPr>
        <w:pStyle w:val="Bibliography"/>
        <w:spacing w:line="240" w:lineRule="auto"/>
        <w:rPr>
          <w:rFonts w:ascii="Aptos"/>
        </w:rPr>
      </w:pPr>
      <w:r w:rsidRPr="0074215A">
        <w:rPr>
          <w:rFonts w:ascii="Aptos"/>
        </w:rPr>
        <w:t xml:space="preserve">Ioachimescu, A. G., Goswami, N., Handa, T., Pappy, A., Veledar, E., &amp; Oyesiku, N. M. (2022). Racial Disparities in Acromegaly and Cushing’s Disease: A Referral Center Study in 241 Patients. </w:t>
      </w:r>
      <w:r w:rsidRPr="0074215A">
        <w:rPr>
          <w:rFonts w:ascii="Aptos"/>
          <w:i/>
          <w:iCs/>
        </w:rPr>
        <w:t>Journal of the Endocrine Society</w:t>
      </w:r>
      <w:r w:rsidRPr="0074215A">
        <w:rPr>
          <w:rFonts w:ascii="Aptos"/>
        </w:rPr>
        <w:t xml:space="preserve">, </w:t>
      </w:r>
      <w:r w:rsidRPr="0074215A">
        <w:rPr>
          <w:rFonts w:ascii="Aptos"/>
          <w:i/>
          <w:iCs/>
        </w:rPr>
        <w:t>6</w:t>
      </w:r>
      <w:r w:rsidRPr="0074215A">
        <w:rPr>
          <w:rFonts w:ascii="Aptos"/>
        </w:rPr>
        <w:t>(1), bvab176. https://doi.org/10.1210/jendso/bvab176</w:t>
      </w:r>
    </w:p>
    <w:p w14:paraId="3117DF20" w14:textId="77777777" w:rsidR="0074215A" w:rsidRPr="0074215A" w:rsidRDefault="0074215A" w:rsidP="00C82FD0">
      <w:pPr>
        <w:pStyle w:val="Bibliography"/>
        <w:spacing w:line="240" w:lineRule="auto"/>
        <w:rPr>
          <w:rFonts w:ascii="Aptos"/>
        </w:rPr>
      </w:pPr>
      <w:r w:rsidRPr="0074215A">
        <w:rPr>
          <w:rFonts w:ascii="Aptos"/>
        </w:rPr>
        <w:t xml:space="preserve">Matthiasdottir, A. M., Hardarson, T. O., Arnardottir, S., &amp; Sigurjonsdottir, H. A. (2024). Cushing’s Disease May Have Higher Incidence than Previously Thought: A Nationwide Study in Iceland 2010–2019. </w:t>
      </w:r>
      <w:r w:rsidRPr="0074215A">
        <w:rPr>
          <w:rFonts w:ascii="Aptos"/>
          <w:i/>
          <w:iCs/>
        </w:rPr>
        <w:t>Neuroendocrinology</w:t>
      </w:r>
      <w:r w:rsidRPr="0074215A">
        <w:rPr>
          <w:rFonts w:ascii="Aptos"/>
        </w:rPr>
        <w:t xml:space="preserve">, </w:t>
      </w:r>
      <w:r w:rsidRPr="0074215A">
        <w:rPr>
          <w:rFonts w:ascii="Aptos"/>
          <w:i/>
          <w:iCs/>
        </w:rPr>
        <w:t>114</w:t>
      </w:r>
      <w:r w:rsidRPr="0074215A">
        <w:rPr>
          <w:rFonts w:ascii="Aptos"/>
        </w:rPr>
        <w:t>(10), 950–957. https://doi.org/10.1159/000540205</w:t>
      </w:r>
    </w:p>
    <w:p w14:paraId="7BD7AA09" w14:textId="77777777" w:rsidR="0074215A" w:rsidRPr="0074215A" w:rsidRDefault="0074215A" w:rsidP="00C82FD0">
      <w:pPr>
        <w:pStyle w:val="Bibliography"/>
        <w:spacing w:line="240" w:lineRule="auto"/>
        <w:rPr>
          <w:rFonts w:ascii="Aptos"/>
        </w:rPr>
      </w:pPr>
      <w:r w:rsidRPr="0074215A">
        <w:rPr>
          <w:rFonts w:ascii="Aptos"/>
        </w:rPr>
        <w:t xml:space="preserve">Nieman, L. K. (2002). Diagnostic Tests for Cushing’s Syndrome. </w:t>
      </w:r>
      <w:r w:rsidRPr="0074215A">
        <w:rPr>
          <w:rFonts w:ascii="Aptos"/>
          <w:i/>
          <w:iCs/>
        </w:rPr>
        <w:t>Annals of the New York Academy of Sciences</w:t>
      </w:r>
      <w:r w:rsidRPr="0074215A">
        <w:rPr>
          <w:rFonts w:ascii="Aptos"/>
        </w:rPr>
        <w:t xml:space="preserve">, </w:t>
      </w:r>
      <w:r w:rsidRPr="0074215A">
        <w:rPr>
          <w:rFonts w:ascii="Aptos"/>
          <w:i/>
          <w:iCs/>
        </w:rPr>
        <w:t>970</w:t>
      </w:r>
      <w:r w:rsidRPr="0074215A">
        <w:rPr>
          <w:rFonts w:ascii="Aptos"/>
        </w:rPr>
        <w:t>(1), 112–118. https://doi.org/10.1111/j.1749-6632.2002.tb04417.x</w:t>
      </w:r>
    </w:p>
    <w:p w14:paraId="1BA30C30" w14:textId="77777777" w:rsidR="0074215A" w:rsidRPr="0074215A" w:rsidRDefault="0074215A" w:rsidP="00C82FD0">
      <w:pPr>
        <w:pStyle w:val="Bibliography"/>
        <w:spacing w:line="240" w:lineRule="auto"/>
        <w:rPr>
          <w:rFonts w:ascii="Aptos"/>
        </w:rPr>
      </w:pPr>
      <w:r w:rsidRPr="0074215A">
        <w:rPr>
          <w:rFonts w:ascii="Aptos"/>
        </w:rPr>
        <w:t xml:space="preserve">Omotosho, Y. B., McGlotten, R., Chittiboina, P., &amp; Nieman, L. (2024). MON-113 Racial Disparity in the Time to Diagnosis of Cushing’s Disease. </w:t>
      </w:r>
      <w:r w:rsidRPr="0074215A">
        <w:rPr>
          <w:rFonts w:ascii="Aptos"/>
          <w:i/>
          <w:iCs/>
        </w:rPr>
        <w:t>Journal of the Endocrine Society</w:t>
      </w:r>
      <w:r w:rsidRPr="0074215A">
        <w:rPr>
          <w:rFonts w:ascii="Aptos"/>
        </w:rPr>
        <w:t xml:space="preserve">, </w:t>
      </w:r>
      <w:r w:rsidRPr="0074215A">
        <w:rPr>
          <w:rFonts w:ascii="Aptos"/>
          <w:i/>
          <w:iCs/>
        </w:rPr>
        <w:t>8</w:t>
      </w:r>
      <w:r w:rsidRPr="0074215A">
        <w:rPr>
          <w:rFonts w:ascii="Aptos"/>
        </w:rPr>
        <w:t>(Supplement_1), bvae163.2408. https://doi.org/10.1210/jendso/bvae163.2408</w:t>
      </w:r>
    </w:p>
    <w:p w14:paraId="59175D16" w14:textId="77777777" w:rsidR="0074215A" w:rsidRPr="0074215A" w:rsidRDefault="0074215A" w:rsidP="00C82FD0">
      <w:pPr>
        <w:pStyle w:val="Bibliography"/>
        <w:spacing w:line="240" w:lineRule="auto"/>
        <w:rPr>
          <w:rFonts w:ascii="Aptos"/>
        </w:rPr>
      </w:pPr>
      <w:r w:rsidRPr="0074215A">
        <w:rPr>
          <w:rFonts w:ascii="Aptos"/>
        </w:rPr>
        <w:t xml:space="preserve">R Core Team. (2019). </w:t>
      </w:r>
      <w:r w:rsidRPr="0074215A">
        <w:rPr>
          <w:rFonts w:ascii="Aptos"/>
          <w:i/>
          <w:iCs/>
        </w:rPr>
        <w:t>R: A Language and Environment for Statistical Computing</w:t>
      </w:r>
      <w:r w:rsidRPr="0074215A">
        <w:rPr>
          <w:rFonts w:ascii="Aptos"/>
        </w:rPr>
        <w:t>. R Foundation for Statistical Computing. http://www.r-project.org/</w:t>
      </w:r>
    </w:p>
    <w:p w14:paraId="705AF20D" w14:textId="77777777" w:rsidR="0074215A" w:rsidRPr="0074215A" w:rsidRDefault="0074215A" w:rsidP="00C82FD0">
      <w:pPr>
        <w:pStyle w:val="Bibliography"/>
        <w:spacing w:line="240" w:lineRule="auto"/>
        <w:rPr>
          <w:rFonts w:ascii="Aptos"/>
        </w:rPr>
      </w:pPr>
      <w:r w:rsidRPr="0074215A">
        <w:rPr>
          <w:rFonts w:ascii="Aptos"/>
        </w:rPr>
        <w:t xml:space="preserve">Sharma, Susmeeta T., Nieman, L. K., &amp; Feelders, R. A. (2015). Cushing’s syndrome: Epidemiology and developments in disease management. </w:t>
      </w:r>
      <w:r w:rsidRPr="0074215A">
        <w:rPr>
          <w:rFonts w:ascii="Aptos"/>
          <w:i/>
          <w:iCs/>
        </w:rPr>
        <w:t>Clinical Epidemiology</w:t>
      </w:r>
      <w:r w:rsidRPr="0074215A">
        <w:rPr>
          <w:rFonts w:ascii="Aptos"/>
        </w:rPr>
        <w:t>, 281–293.</w:t>
      </w:r>
    </w:p>
    <w:p w14:paraId="6C04CD7D" w14:textId="77777777" w:rsidR="0074215A" w:rsidRPr="0074215A" w:rsidRDefault="0074215A" w:rsidP="00C82FD0">
      <w:pPr>
        <w:pStyle w:val="Bibliography"/>
        <w:spacing w:line="240" w:lineRule="auto"/>
        <w:rPr>
          <w:rFonts w:ascii="Aptos"/>
        </w:rPr>
      </w:pPr>
      <w:r w:rsidRPr="0074215A">
        <w:rPr>
          <w:rFonts w:ascii="Aptos"/>
        </w:rPr>
        <w:t xml:space="preserve">Steffensen, C., Bak, A. M., Zøylner Rubeck, K., &amp; Jørgensen, J. O. L. (2010). Epidemiology of Cushing’s Syndrome. </w:t>
      </w:r>
      <w:r w:rsidRPr="0074215A">
        <w:rPr>
          <w:rFonts w:ascii="Aptos"/>
          <w:i/>
          <w:iCs/>
        </w:rPr>
        <w:t>Neuroendocrinology</w:t>
      </w:r>
      <w:r w:rsidRPr="0074215A">
        <w:rPr>
          <w:rFonts w:ascii="Aptos"/>
        </w:rPr>
        <w:t xml:space="preserve">, </w:t>
      </w:r>
      <w:r w:rsidRPr="0074215A">
        <w:rPr>
          <w:rFonts w:ascii="Aptos"/>
          <w:i/>
          <w:iCs/>
        </w:rPr>
        <w:t>92</w:t>
      </w:r>
      <w:r w:rsidRPr="0074215A">
        <w:rPr>
          <w:rFonts w:ascii="Aptos"/>
        </w:rPr>
        <w:t>(Suppl. 1), 1–5. https://doi.org/10.1159/000314297</w:t>
      </w:r>
    </w:p>
    <w:p w14:paraId="0F4C1C7D" w14:textId="77777777" w:rsidR="0074215A" w:rsidRPr="0074215A" w:rsidRDefault="0074215A" w:rsidP="00C82FD0">
      <w:pPr>
        <w:pStyle w:val="Bibliography"/>
        <w:spacing w:line="240" w:lineRule="auto"/>
        <w:rPr>
          <w:rFonts w:ascii="Aptos"/>
        </w:rPr>
      </w:pPr>
      <w:r w:rsidRPr="0074215A">
        <w:rPr>
          <w:rFonts w:ascii="Aptos"/>
        </w:rPr>
        <w:t xml:space="preserve">Zillo, M., Barbot, M., Ceccato, F., Camozzi, C., Bilora, F., Casonato, A., Frigo, A., Albiger, N., Daidone, V., Mazzai, M., Mantero, F., &amp; Scaroni, C. (2014). Diagnosis and complications of Cushing’s disease: Gender-related differences. </w:t>
      </w:r>
      <w:r w:rsidRPr="0074215A">
        <w:rPr>
          <w:rFonts w:ascii="Aptos"/>
          <w:i/>
          <w:iCs/>
        </w:rPr>
        <w:t>Clinical Endocrinology</w:t>
      </w:r>
      <w:r w:rsidRPr="0074215A">
        <w:rPr>
          <w:rFonts w:ascii="Aptos"/>
        </w:rPr>
        <w:t xml:space="preserve">, </w:t>
      </w:r>
      <w:r w:rsidRPr="0074215A">
        <w:rPr>
          <w:rFonts w:ascii="Aptos"/>
          <w:i/>
          <w:iCs/>
        </w:rPr>
        <w:t>80</w:t>
      </w:r>
      <w:r w:rsidRPr="0074215A">
        <w:rPr>
          <w:rFonts w:ascii="Aptos"/>
        </w:rPr>
        <w:t>(3), 403–410.</w:t>
      </w:r>
    </w:p>
    <w:p w14:paraId="26F9D85B" w14:textId="75EDA66C" w:rsidR="00AB7571" w:rsidRPr="00AB7571" w:rsidRDefault="00AB7571" w:rsidP="00C82FD0">
      <w:pPr>
        <w:pStyle w:val="Bibliography"/>
        <w:spacing w:line="240" w:lineRule="auto"/>
      </w:pPr>
      <w:r>
        <w:fldChar w:fldCharType="end"/>
      </w:r>
    </w:p>
    <w:p w14:paraId="04F28D51" w14:textId="77777777" w:rsidR="00C82FD0" w:rsidRDefault="00C82FD0">
      <w:pPr>
        <w:rPr>
          <w:rFonts w:asciiTheme="majorHAnsi" w:eastAsiaTheme="majorEastAsia" w:hAnsiTheme="majorHAnsi" w:cstheme="majorBidi"/>
          <w:color w:val="000000" w:themeColor="text1"/>
          <w:sz w:val="40"/>
          <w:szCs w:val="40"/>
        </w:rPr>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EB133A">
      <w:pPr>
        <w:pStyle w:val="NormalWeb"/>
      </w:pPr>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EB133A">
      <w:pPr>
        <w:pStyle w:val="NormalWeb"/>
      </w:pPr>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EB133A">
      <w:pPr>
        <w:pStyle w:val="NormalWeb"/>
      </w:pPr>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EB133A">
      <w:pPr>
        <w:pStyle w:val="NormalWeb"/>
      </w:pPr>
      <w:r w:rsidRPr="00AB6DA4">
        <w:rPr>
          <w:b/>
          <w:bCs/>
        </w:rPr>
        <w:lastRenderedPageBreak/>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characteristics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and  [S6] </w:t>
      </w:r>
      <w:r>
        <w:t>Blood Pressure</w:t>
      </w:r>
      <w:r w:rsidR="00C37945">
        <w:t>.</w:t>
      </w:r>
      <w:r>
        <w:t xml:space="preserve"> </w:t>
      </w: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2-12T11:23:00Z" w:initials="DB">
    <w:p w14:paraId="1A4606F5" w14:textId="77777777" w:rsidR="001F22CD" w:rsidRDefault="001F22CD" w:rsidP="001F22CD">
      <w:r>
        <w:rPr>
          <w:rStyle w:val="CommentReference"/>
        </w:rPr>
        <w:annotationRef/>
      </w:r>
      <w:r>
        <w:rPr>
          <w:sz w:val="20"/>
          <w:szCs w:val="20"/>
        </w:rPr>
        <w:t>Need to add</w:t>
      </w:r>
    </w:p>
  </w:comment>
  <w:comment w:id="1" w:author="Carr, Treyton" w:date="2025-12-01T15:54:00Z" w:initials="CT">
    <w:p w14:paraId="445B2449" w14:textId="77777777" w:rsidR="00211F2C" w:rsidRDefault="00211F2C" w:rsidP="00211F2C">
      <w:r>
        <w:rPr>
          <w:rStyle w:val="CommentReference"/>
        </w:rPr>
        <w:annotationRef/>
      </w:r>
      <w:hyperlink r:id="rId1" w:history="1">
        <w:r w:rsidRPr="00144BE0">
          <w:rPr>
            <w:rStyle w:val="Hyperlink"/>
            <w:sz w:val="20"/>
            <w:szCs w:val="20"/>
          </w:rPr>
          <w:t>https://pubmed-ncbi-nlm-nih-gov.proxy.lib.umich.edu/23889360/</w:t>
        </w:r>
      </w:hyperlink>
    </w:p>
    <w:p w14:paraId="778BE240" w14:textId="77777777" w:rsidR="00211F2C" w:rsidRDefault="00211F2C" w:rsidP="00211F2C"/>
    <w:p w14:paraId="4C73BA5E" w14:textId="77777777" w:rsidR="00211F2C" w:rsidRDefault="00211F2C" w:rsidP="00211F2C">
      <w:hyperlink r:id="rId2" w:history="1">
        <w:r w:rsidRPr="00144BE0">
          <w:rPr>
            <w:rStyle w:val="Hyperlink"/>
            <w:sz w:val="20"/>
            <w:szCs w:val="20"/>
          </w:rPr>
          <w:t>https://www.sciencedirect.com/science/article/abs/pii/S014067362301961X</w:t>
        </w:r>
      </w:hyperlink>
    </w:p>
  </w:comment>
  <w:comment w:id="2" w:author="Dave Bridges" w:date="2025-12-13T09:34:00Z" w:initials="DB">
    <w:p w14:paraId="634B6532" w14:textId="77777777" w:rsidR="00AF2CDB" w:rsidRDefault="006970D5" w:rsidP="00AF2CDB">
      <w:r>
        <w:rPr>
          <w:rStyle w:val="CommentReference"/>
        </w:rPr>
        <w:annotationRef/>
      </w:r>
      <w:r w:rsidR="00AF2CDB">
        <w:rPr>
          <w:sz w:val="20"/>
          <w:szCs w:val="20"/>
        </w:rPr>
        <w:t>Harvey, Gunder</w:t>
      </w:r>
    </w:p>
  </w:comment>
  <w:comment w:id="3" w:author="Dave Bridges" w:date="2025-12-13T09:34:00Z" w:initials="DB">
    <w:p w14:paraId="6B4E3D78" w14:textId="77777777" w:rsidR="006970D5" w:rsidRDefault="006970D5" w:rsidP="006970D5">
      <w:r>
        <w:rPr>
          <w:rStyle w:val="CommentReference"/>
        </w:rPr>
        <w:annotationRef/>
      </w:r>
      <w:r>
        <w:rPr>
          <w:sz w:val="20"/>
          <w:szCs w:val="20"/>
        </w:rPr>
        <w:t>Hochberg</w:t>
      </w:r>
    </w:p>
  </w:comment>
  <w:comment w:id="4" w:author="Dave Bridges" w:date="2025-12-13T09:46:00Z" w:initials="DB">
    <w:p w14:paraId="76A58E14" w14:textId="77777777" w:rsidR="00AF2CDB" w:rsidRDefault="00AF2CDB" w:rsidP="00AF2CDB">
      <w:r>
        <w:rPr>
          <w:rStyle w:val="CommentReference"/>
        </w:rPr>
        <w:annotationRef/>
      </w:r>
      <w:r>
        <w:rPr>
          <w:sz w:val="20"/>
          <w:szCs w:val="20"/>
        </w:rPr>
        <w:t>parvanovaMechanismsTreatmentObesityrelated2024</w:t>
      </w:r>
    </w:p>
  </w:comment>
  <w:comment w:id="5" w:author="Dave Bridges" w:date="2025-12-13T09:39:00Z" w:initials="DB">
    <w:p w14:paraId="6BA12295" w14:textId="77777777" w:rsidR="00AF2CDB" w:rsidRDefault="00AF2CDB" w:rsidP="00AF2CDB">
      <w:r>
        <w:rPr>
          <w:rStyle w:val="CommentReference"/>
        </w:rPr>
        <w:annotationRef/>
      </w:r>
      <w:r>
        <w:rPr>
          <w:sz w:val="20"/>
          <w:szCs w:val="20"/>
        </w:rPr>
        <w:t>Trey can you summarize</w:t>
      </w:r>
    </w:p>
  </w:comment>
  <w:comment w:id="6" w:author="Dave Bridges" w:date="2025-12-13T09:46:00Z" w:initials="DB">
    <w:p w14:paraId="1725DB63" w14:textId="77777777" w:rsidR="00691E73" w:rsidRDefault="00691E73" w:rsidP="00691E73">
      <w:r>
        <w:rPr>
          <w:rStyle w:val="CommentReference"/>
        </w:rPr>
        <w:annotationRef/>
      </w:r>
      <w:r>
        <w:rPr>
          <w:sz w:val="20"/>
          <w:szCs w:val="20"/>
        </w:rPr>
        <w:t>Look into sex differences in obesity and salt-sensitive hypertension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4606F5" w15:done="0"/>
  <w15:commentEx w15:paraId="4C73BA5E" w15:done="0"/>
  <w15:commentEx w15:paraId="634B6532" w15:done="0"/>
  <w15:commentEx w15:paraId="6B4E3D78" w15:done="0"/>
  <w15:commentEx w15:paraId="76A58E14" w15:done="0"/>
  <w15:commentEx w15:paraId="6BA12295" w15:done="0"/>
  <w15:commentEx w15:paraId="1725DB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CF6BFD" w16cex:dateUtc="2025-12-12T16:23:00Z"/>
  <w16cex:commentExtensible w16cex:durableId="5D090D3A" w16cex:dateUtc="2025-12-01T20:54:00Z"/>
  <w16cex:commentExtensible w16cex:durableId="38E76C14" w16cex:dateUtc="2025-12-13T14:34:00Z"/>
  <w16cex:commentExtensible w16cex:durableId="5031C284" w16cex:dateUtc="2025-12-13T14:34:00Z"/>
  <w16cex:commentExtensible w16cex:durableId="42B8B1D8" w16cex:dateUtc="2025-12-13T14:46:00Z"/>
  <w16cex:commentExtensible w16cex:durableId="3B45A1F1" w16cex:dateUtc="2025-12-13T14:39:00Z"/>
  <w16cex:commentExtensible w16cex:durableId="6C701679" w16cex:dateUtc="2025-12-13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4606F5" w16cid:durableId="00CF6BFD"/>
  <w16cid:commentId w16cid:paraId="4C73BA5E" w16cid:durableId="5D090D3A"/>
  <w16cid:commentId w16cid:paraId="634B6532" w16cid:durableId="38E76C14"/>
  <w16cid:commentId w16cid:paraId="6B4E3D78" w16cid:durableId="5031C284"/>
  <w16cid:commentId w16cid:paraId="76A58E14" w16cid:durableId="42B8B1D8"/>
  <w16cid:commentId w16cid:paraId="6BA12295" w16cid:durableId="3B45A1F1"/>
  <w16cid:commentId w16cid:paraId="1725DB63" w16cid:durableId="6C70167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3"/>
  </w:num>
  <w:num w:numId="2" w16cid:durableId="278075531">
    <w:abstractNumId w:val="5"/>
  </w:num>
  <w:num w:numId="3" w16cid:durableId="759060415">
    <w:abstractNumId w:val="6"/>
  </w:num>
  <w:num w:numId="4" w16cid:durableId="702511983">
    <w:abstractNumId w:val="9"/>
  </w:num>
  <w:num w:numId="5" w16cid:durableId="178588088">
    <w:abstractNumId w:val="4"/>
  </w:num>
  <w:num w:numId="6" w16cid:durableId="142549117">
    <w:abstractNumId w:val="0"/>
  </w:num>
  <w:num w:numId="7" w16cid:durableId="360321715">
    <w:abstractNumId w:val="1"/>
  </w:num>
  <w:num w:numId="8" w16cid:durableId="1722634927">
    <w:abstractNumId w:val="7"/>
  </w:num>
  <w:num w:numId="9" w16cid:durableId="641931215">
    <w:abstractNumId w:val="2"/>
  </w:num>
  <w:num w:numId="10" w16cid:durableId="11475620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7451"/>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115D9B"/>
    <w:rsid w:val="0011718F"/>
    <w:rsid w:val="00117948"/>
    <w:rsid w:val="00141C21"/>
    <w:rsid w:val="00146173"/>
    <w:rsid w:val="0015020F"/>
    <w:rsid w:val="001515AD"/>
    <w:rsid w:val="001525EE"/>
    <w:rsid w:val="001558E0"/>
    <w:rsid w:val="00161005"/>
    <w:rsid w:val="00165647"/>
    <w:rsid w:val="00176674"/>
    <w:rsid w:val="001A5301"/>
    <w:rsid w:val="001A623C"/>
    <w:rsid w:val="001B5BA8"/>
    <w:rsid w:val="001C5750"/>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D16DC"/>
    <w:rsid w:val="003E5857"/>
    <w:rsid w:val="003F09D7"/>
    <w:rsid w:val="003F6B95"/>
    <w:rsid w:val="003F6EB0"/>
    <w:rsid w:val="004056E9"/>
    <w:rsid w:val="00406C2E"/>
    <w:rsid w:val="004323ED"/>
    <w:rsid w:val="00445280"/>
    <w:rsid w:val="004561B8"/>
    <w:rsid w:val="004709DD"/>
    <w:rsid w:val="004777E7"/>
    <w:rsid w:val="00477D86"/>
    <w:rsid w:val="00484144"/>
    <w:rsid w:val="00484410"/>
    <w:rsid w:val="00487A21"/>
    <w:rsid w:val="004A05EE"/>
    <w:rsid w:val="004A06E2"/>
    <w:rsid w:val="004A23A7"/>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7BCF"/>
    <w:rsid w:val="00544AC6"/>
    <w:rsid w:val="00547E80"/>
    <w:rsid w:val="00552455"/>
    <w:rsid w:val="00556C78"/>
    <w:rsid w:val="00575431"/>
    <w:rsid w:val="00576DB5"/>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B483A"/>
    <w:rsid w:val="007C0841"/>
    <w:rsid w:val="007C359B"/>
    <w:rsid w:val="007C7FAA"/>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B790B"/>
    <w:rsid w:val="008C3302"/>
    <w:rsid w:val="008E0C96"/>
    <w:rsid w:val="008E145A"/>
    <w:rsid w:val="008E3845"/>
    <w:rsid w:val="008F4A4D"/>
    <w:rsid w:val="008F5172"/>
    <w:rsid w:val="008F51CB"/>
    <w:rsid w:val="008F5461"/>
    <w:rsid w:val="009030CE"/>
    <w:rsid w:val="00906A0F"/>
    <w:rsid w:val="00907390"/>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2C"/>
    <w:rsid w:val="00A12A68"/>
    <w:rsid w:val="00A15DB0"/>
    <w:rsid w:val="00A250E3"/>
    <w:rsid w:val="00A326D8"/>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6731"/>
    <w:rsid w:val="00C6034C"/>
    <w:rsid w:val="00C60D56"/>
    <w:rsid w:val="00C6526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55817"/>
    <w:rsid w:val="00E644BF"/>
    <w:rsid w:val="00E90D91"/>
    <w:rsid w:val="00EA0B24"/>
    <w:rsid w:val="00EA6CE9"/>
    <w:rsid w:val="00EB0CB1"/>
    <w:rsid w:val="00EB133A"/>
    <w:rsid w:val="00ED1443"/>
    <w:rsid w:val="00EE4FAC"/>
    <w:rsid w:val="00EF21C3"/>
    <w:rsid w:val="00F01EE3"/>
    <w:rsid w:val="00F02252"/>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sciencedirect.com/science/article/abs/pii/S014067362301961X" TargetMode="External"/><Relationship Id="rId1" Type="http://schemas.openxmlformats.org/officeDocument/2006/relationships/hyperlink" Target="https://pubmed-ncbi-nlm-nih-gov.proxy.lib.umich.edu/23889360/"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537</TotalTime>
  <Pages>11</Pages>
  <Words>11147</Words>
  <Characters>63539</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172</cp:revision>
  <dcterms:created xsi:type="dcterms:W3CDTF">2025-09-05T13:57:00Z</dcterms:created>
  <dcterms:modified xsi:type="dcterms:W3CDTF">2025-12-13T15:29:00Z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id="dXZmAYDT"/&gt;&lt;style id="http://www.zotero.org/styles/apa" locale="en-US" hasBibliography="1" bibliographyStyleHasBeenSet="1"/&gt;&lt;prefs&gt;&lt;pref name="fieldType" value="Field"/&gt;&lt;/prefs&gt;&lt;/data&gt;</vt:lpwstr>
  </property>
</Properties>
</file>