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5B079A0E" w14:textId="1D9E2059" w:rsidR="0084083C" w:rsidRDefault="0084083C" w:rsidP="0084083C">
      <w:pPr>
        <w:pStyle w:val="Heading1"/>
      </w:pPr>
      <w:r>
        <w:t>Introduction</w:t>
      </w:r>
    </w:p>
    <w:p w14:paraId="3389D029" w14:textId="2B9712C1" w:rsidR="0084083C" w:rsidRDefault="0084083C" w:rsidP="0084083C">
      <w:r>
        <w:t>Cushing’s disease</w:t>
      </w:r>
      <w:r w:rsidR="00892425">
        <w:t xml:space="preserve"> is a rare endocrine disorder</w:t>
      </w:r>
      <w:r w:rsidR="00995BC6">
        <w:t xml:space="preserve"> caused by the overproduction of cortisol, resulting in chronic hypercortisolism.</w:t>
      </w:r>
      <w:r w:rsidR="00892425">
        <w:t xml:space="preserve"> The sickness affects women disproportionally to men and is most often caused by a tumor on the anterior pituitary gland, or the adrenal gland. The effects of sustained elevation of cortisol in the body can present in a variety of ways in humans, but they are generally well known in a general population. These can include high blood pressure, diabetes, and weight gain. Many of these symptoms are caused by both obesity and metabolic related symptoms, and it is difficult to discern from the obesity-dependent from the obesity-independent mechanisms of Cushing’s </w:t>
      </w:r>
      <w:commentRangeStart w:id="0"/>
      <w:r w:rsidR="00892425">
        <w:t xml:space="preserve">disease. </w:t>
      </w:r>
      <w:commentRangeEnd w:id="0"/>
      <w:r w:rsidR="00892425">
        <w:rPr>
          <w:rStyle w:val="CommentReference"/>
        </w:rPr>
        <w:commentReference w:id="0"/>
      </w:r>
    </w:p>
    <w:p w14:paraId="2172536D" w14:textId="77777777" w:rsidR="0084083C" w:rsidRDefault="0084083C" w:rsidP="0084083C"/>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74DDF0DC"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r w:rsidR="00995BC6">
        <w:t>E24.0, 255.0</w:t>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1"/>
      <w:commentRangeStart w:id="2"/>
      <w:r w:rsidR="004561B8">
        <w:t>YYY</w:t>
      </w:r>
      <w:commentRangeEnd w:id="1"/>
      <w:r w:rsidR="008610C9">
        <w:rPr>
          <w:rStyle w:val="CommentReference"/>
        </w:rPr>
        <w:commentReference w:id="1"/>
      </w:r>
      <w:commentRangeEnd w:id="2"/>
      <w:r w:rsidR="00995BC6">
        <w:rPr>
          <w:rStyle w:val="CommentReference"/>
        </w:rPr>
        <w:commentReference w:id="2"/>
      </w:r>
      <w:r w:rsidR="004561B8">
        <w:t>.</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16AF4C65"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53238C">
        <w:t xml:space="preserve">30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 xml:space="preserve">any of the </w:t>
      </w:r>
      <w:r w:rsidR="00575431">
        <w:lastRenderedPageBreak/>
        <w:t>laboratory results we tested (glucose, HbA1c, ALT, blood pressure, r LDL-cholesterol)</w:t>
      </w:r>
      <w:r w:rsidR="004B0142" w:rsidRPr="007A4F25">
        <w:t xml:space="preserve"> and </w:t>
      </w:r>
      <w:commentRangeStart w:id="3"/>
      <w:r w:rsidR="004B0142" w:rsidRPr="007A4F25">
        <w:t xml:space="preserve">repeated all outcome models </w:t>
      </w:r>
      <w:r w:rsidR="004C3E7B">
        <w:t>with that dataset</w:t>
      </w:r>
      <w:r w:rsidR="004B0142" w:rsidRPr="007A4F25">
        <w:t>.</w:t>
      </w:r>
      <w:commentRangeEnd w:id="3"/>
      <w:r w:rsidR="00575431">
        <w:rPr>
          <w:rStyle w:val="CommentReference"/>
        </w:rPr>
        <w:commentReference w:id="3"/>
      </w:r>
      <w:r w:rsidR="003318B0">
        <w:t xml:space="preserve"> In our search, we only included patients with BMI’s within the 5-75 range, and between 5-75 years of age. Finally, we also only included patients within the </w:t>
      </w:r>
      <w:proofErr w:type="gramStart"/>
      <w:r w:rsidR="003318B0">
        <w:t>2022-2025 year</w:t>
      </w:r>
      <w:proofErr w:type="gramEnd"/>
      <w:r w:rsidR="003318B0">
        <w:t xml:space="preserve"> range. This was done to create a data pull request that was less than 100,000 people, which was necessary with the Data Direct software </w:t>
      </w:r>
      <w:proofErr w:type="gramStart"/>
      <w:r w:rsidR="003318B0">
        <w:t>used.*</w:t>
      </w:r>
      <w:proofErr w:type="gramEnd"/>
      <w:r w:rsidR="003318B0">
        <w:t>**talk about this more</w:t>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6952D17" w:rsidR="00EB133A" w:rsidRDefault="004561B8">
      <w:commentRangeStart w:id="4"/>
      <w:r>
        <w:t xml:space="preserve">As shown in Figure 1, we identified YYYY participants with diagnoses of Cushing’s disease.  </w:t>
      </w:r>
      <w:r w:rsidR="00E16C92">
        <w:t xml:space="preserve">This included YYYY adrenal tumors and ZZZ pituitary tumors.  </w:t>
      </w:r>
      <w:r>
        <w:t>Their average age at diagnosis was XXX (+/- XXX).  They</w:t>
      </w:r>
      <w:commentRangeEnd w:id="4"/>
      <w:r w:rsidR="00846B21">
        <w:rPr>
          <w:rStyle w:val="CommentReference"/>
        </w:rPr>
        <w:commentReference w:id="4"/>
      </w:r>
      <w:r w:rsidR="00FB26BE">
        <w:t xml:space="preserve"> </w:t>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0A7EECDB"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(284 vs 72</w:t>
      </w:r>
      <w:r w:rsidR="0084083C">
        <w:t>, p&lt;0.00</w:t>
      </w:r>
      <w:r w:rsidR="0084083C" w:rsidRPr="0084083C">
        <w:t>1</w:t>
      </w:r>
      <w:r w:rsidR="00934570" w:rsidRPr="0084083C">
        <w:t>)</w:t>
      </w:r>
      <w:r w:rsidR="0084083C" w:rsidRPr="0084083C">
        <w:t xml:space="preserve">, </w:t>
      </w:r>
      <w:r w:rsidR="0084083C" w:rsidRPr="0084083C">
        <w:lastRenderedPageBreak/>
        <w:t>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xml:space="preserve">.  As </w:t>
      </w:r>
      <w:proofErr w:type="gramStart"/>
      <w:r w:rsidR="0084083C" w:rsidRPr="0084083C">
        <w:t>expected</w:t>
      </w:r>
      <w:proofErr w:type="gramEnd"/>
      <w:r w:rsidR="0084083C" w:rsidRPr="0084083C">
        <w:t xml:space="preserve"> we also observed</w:t>
      </w:r>
      <w:r w:rsidR="0084083C">
        <w:rPr>
          <w:rStyle w:val="CommentReference"/>
        </w:rPr>
        <w:t xml:space="preserve"> </w:t>
      </w:r>
      <w:r w:rsidR="00934570">
        <w:t>a higher body mass index for patients with Cushing’s disease (both p&lt;0.001).</w:t>
      </w:r>
      <w:r w:rsidR="00B019BA">
        <w:t xml:space="preserve">  </w:t>
      </w:r>
      <w:commentRangeStart w:id="5"/>
      <w:commentRangeStart w:id="6"/>
      <w:commentRangeStart w:id="7"/>
      <w:commentRangeStart w:id="8"/>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commentRangeEnd w:id="5"/>
      <w:r w:rsidR="00B87243">
        <w:rPr>
          <w:rStyle w:val="CommentReference"/>
        </w:rPr>
        <w:commentReference w:id="5"/>
      </w:r>
      <w:commentRangeEnd w:id="6"/>
      <w:r w:rsidR="001F1825">
        <w:rPr>
          <w:rStyle w:val="CommentReference"/>
        </w:rPr>
        <w:commentReference w:id="6"/>
      </w:r>
      <w:commentRangeEnd w:id="7"/>
      <w:r w:rsidR="00B623DA">
        <w:rPr>
          <w:rStyle w:val="CommentReference"/>
        </w:rPr>
        <w:commentReference w:id="7"/>
      </w:r>
      <w:commentRangeEnd w:id="8"/>
      <w:r w:rsidR="004C5BA6">
        <w:rPr>
          <w:rStyle w:val="CommentReference"/>
        </w:rPr>
        <w:commentReference w:id="8"/>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 xml:space="preserve">To identify how obesity alters metabolic outcomes related to Cushing’s disease, we evaluated the effects of Cushing’s disease on several key metabolic variables including </w:t>
      </w:r>
      <w:proofErr w:type="spellStart"/>
      <w:r>
        <w:t>glycemica</w:t>
      </w:r>
      <w:proofErr w:type="spellEnd"/>
      <w:r>
        <w:t xml:space="preserve">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547E80">
      <w:pPr>
        <w:pStyle w:val="Heading3"/>
      </w:pPr>
      <w:commentRangeStart w:id="9"/>
      <w:commentRangeStart w:id="10"/>
      <w:r>
        <w:t>Dysglycemia</w:t>
      </w:r>
    </w:p>
    <w:p w14:paraId="6B1BCFC7" w14:textId="6F36A7FB" w:rsidR="00794C81" w:rsidRPr="00794C81" w:rsidRDefault="00794C81" w:rsidP="004C5BA6">
      <w:r>
        <w:t>As aforementioned, our first metabolic variable of interest was the fasting glucose levels of our obese and non-obese populations. As shown in Table 3a, we observed a</w:t>
      </w:r>
      <w:r w:rsidR="00C75CF8">
        <w:t xml:space="preserve"> significant </w:t>
      </w:r>
      <w:r>
        <w:t xml:space="preserve">increase in </w:t>
      </w:r>
      <w:r w:rsidR="004C5BA6">
        <w:t xml:space="preserve">fasting </w:t>
      </w:r>
      <w:r>
        <w:t xml:space="preserve">blood glucose levels </w:t>
      </w:r>
      <w:r w:rsidR="00C75CF8">
        <w:t xml:space="preserve">among </w:t>
      </w:r>
      <w:r w:rsidR="004C5BA6">
        <w:t>participants</w:t>
      </w:r>
      <w:r w:rsidR="00C75CF8">
        <w:t xml:space="preserve"> with Cushing’s disease, regardless of </w:t>
      </w:r>
      <w:commentRangeStart w:id="11"/>
      <w:r w:rsidR="00C75CF8">
        <w:t>obesity status</w:t>
      </w:r>
      <w:r w:rsidR="00514AC5">
        <w:t xml:space="preserve"> (p</w:t>
      </w:r>
      <w:r w:rsidR="00995BC6">
        <w:t>&lt;0.01</w:t>
      </w:r>
      <w:r w:rsidR="00514AC5">
        <w:t xml:space="preserve">, </w:t>
      </w:r>
      <w:r w:rsidR="00995BC6">
        <w:t>&lt;0.01</w:t>
      </w:r>
      <w:r w:rsidR="00514AC5">
        <w:t>)</w:t>
      </w:r>
      <w:r w:rsidR="00C75CF8">
        <w:t xml:space="preserve">. </w:t>
      </w:r>
      <w:commentRangeEnd w:id="11"/>
      <w:r w:rsidR="00547E80">
        <w:rPr>
          <w:rStyle w:val="CommentReference"/>
        </w:rPr>
        <w:commentReference w:id="11"/>
      </w:r>
      <w:r w:rsidR="00C75CF8">
        <w:t xml:space="preserve">The non-obese population had a slightly larger </w:t>
      </w:r>
      <w:r w:rsidR="00C75CF8">
        <w:lastRenderedPageBreak/>
        <w:t xml:space="preserve">increase (26.95 vs. 26.18) than the obese population, but this was not a large enough difference to provide any significant evidence of an effect modification for obesity. </w:t>
      </w:r>
      <w:proofErr w:type="gramStart"/>
      <w:r w:rsidR="00C75CF8">
        <w:t>Also</w:t>
      </w:r>
      <w:proofErr w:type="gramEnd"/>
      <w:r w:rsidR="00C75CF8">
        <w:t xml:space="preserve"> in Table 3a, our collected HbA1c data indicated a</w:t>
      </w:r>
      <w:r w:rsidR="00514AC5">
        <w:t xml:space="preserve"> slightly insignificant increase in HbA1c levels between the non-obese, and the non-obese with Cushing’s population (p=0.056). However, there was evidence of a significant increase in HbA1c levels of our obese, and obese with Cushing’s population (p</w:t>
      </w:r>
      <w:r w:rsidR="00995BC6">
        <w:t>&lt;0.01</w:t>
      </w:r>
      <w:r w:rsidR="00514AC5">
        <w:t>). This leads us to believe that there is evidence for obesity being a positive modifier in patients with Cushing’s disease****.</w:t>
      </w:r>
    </w:p>
    <w:p w14:paraId="561F3983" w14:textId="28E16CE8" w:rsidR="00F455CD" w:rsidRDefault="00F455CD" w:rsidP="00547E80">
      <w:pPr>
        <w:pStyle w:val="Heading3"/>
      </w:pPr>
      <w:r>
        <w:t>MASLD and liver enzymes</w:t>
      </w:r>
    </w:p>
    <w:p w14:paraId="0C7D6550" w14:textId="0DAC032B" w:rsidR="00C75CF8" w:rsidRPr="00547E80" w:rsidRDefault="003868BC" w:rsidP="00547E80">
      <w:r>
        <w:t xml:space="preserve">To </w:t>
      </w:r>
      <w:r w:rsidR="00547E80">
        <w:t>assess</w:t>
      </w:r>
      <w:r>
        <w:t xml:space="preserve"> </w:t>
      </w:r>
      <w:r w:rsidR="00547E80">
        <w:t>MASLD</w:t>
      </w:r>
      <w:r>
        <w:t xml:space="preserve"> we looked at </w:t>
      </w:r>
      <w:commentRangeStart w:id="12"/>
      <w:r>
        <w:t xml:space="preserve">ALT </w:t>
      </w:r>
      <w:commentRangeEnd w:id="12"/>
      <w:r w:rsidR="00547E80">
        <w:rPr>
          <w:rStyle w:val="CommentReference"/>
        </w:rPr>
        <w:commentReference w:id="12"/>
      </w:r>
      <w:r>
        <w:t>test results for our population. In both our obese, and non-obese populations, we saw an increase in ALT levels regardless of Cushing’s disease status</w:t>
      </w:r>
      <w:r w:rsidR="00547E80">
        <w:t xml:space="preserve"> </w:t>
      </w:r>
      <w:commentRangeStart w:id="13"/>
      <w:r>
        <w:t>(p</w:t>
      </w:r>
      <w:r w:rsidR="00995BC6">
        <w:t>&lt;0.01</w:t>
      </w:r>
      <w:r>
        <w:t xml:space="preserve">, </w:t>
      </w:r>
      <w:r w:rsidR="00995BC6">
        <w:t>&lt;0.01</w:t>
      </w:r>
      <w:r>
        <w:t xml:space="preserve">). </w:t>
      </w:r>
      <w:commentRangeEnd w:id="13"/>
      <w:r w:rsidR="00547E80">
        <w:rPr>
          <w:rStyle w:val="CommentReference"/>
        </w:rPr>
        <w:commentReference w:id="13"/>
      </w:r>
      <w:r>
        <w:t>However, the increase in the obese population’s control group and Cushing’s patient population was far greater than the non-obese group’s increase (33.07 vs. 69.23). This suggests that obesity could have a positive effect modification on ALT levels.</w:t>
      </w:r>
    </w:p>
    <w:p w14:paraId="2AA90CE4" w14:textId="77777777" w:rsidR="00547E80" w:rsidRDefault="00547E80" w:rsidP="00547E80">
      <w:pPr>
        <w:pStyle w:val="Heading3"/>
      </w:pPr>
      <w:commentRangeStart w:id="14"/>
      <w:r>
        <w:t>Dyslipidemia</w:t>
      </w:r>
      <w:r w:rsidR="00A6487A">
        <w:t xml:space="preserve"> </w:t>
      </w:r>
      <w:commentRangeEnd w:id="14"/>
      <w:r>
        <w:rPr>
          <w:rStyle w:val="CommentReference"/>
          <w:rFonts w:eastAsiaTheme="minorHAnsi" w:cstheme="minorBidi"/>
          <w:color w:val="auto"/>
        </w:rPr>
        <w:commentReference w:id="14"/>
      </w:r>
    </w:p>
    <w:p w14:paraId="56C4A3E0" w14:textId="52B74E6E" w:rsidR="003868BC" w:rsidRPr="00A6487A" w:rsidRDefault="00547E80" w:rsidP="00EB133A">
      <w:pPr>
        <w:pStyle w:val="NormalWeb"/>
      </w:pPr>
      <w:r>
        <w:t>L</w:t>
      </w:r>
      <w:r w:rsidR="00A6487A">
        <w:t xml:space="preserve"> Only a small number of participants with Cushing’s disease had LDL-C records within 30 days prior to treatment.</w:t>
      </w:r>
      <w:r w:rsidR="003868BC">
        <w:t xml:space="preserve"> With this in mind, we did not observe any significant increase or decrease in LDL levels between our control and Cushing’s population, regardless of obesity status. This gives us no evidence of obesity being a modifier for Cushing’s disease patients.</w:t>
      </w:r>
    </w:p>
    <w:p w14:paraId="26DFC1F7" w14:textId="377F7EFB" w:rsidR="00F455CD" w:rsidRDefault="00F455CD" w:rsidP="00547E80">
      <w:pPr>
        <w:pStyle w:val="Heading3"/>
      </w:pPr>
      <w:r>
        <w:t>Blood Pressure</w:t>
      </w:r>
      <w:commentRangeEnd w:id="9"/>
      <w:r w:rsidR="002E0B3A">
        <w:rPr>
          <w:rStyle w:val="CommentReference"/>
          <w:rFonts w:eastAsiaTheme="minorHAnsi" w:cstheme="minorBidi"/>
        </w:rPr>
        <w:commentReference w:id="9"/>
      </w:r>
      <w:commentRangeEnd w:id="10"/>
      <w:r w:rsidR="00A250E3">
        <w:rPr>
          <w:rStyle w:val="CommentReference"/>
          <w:rFonts w:eastAsiaTheme="minorHAnsi" w:cstheme="minorBidi"/>
        </w:rPr>
        <w:commentReference w:id="10"/>
      </w:r>
    </w:p>
    <w:p w14:paraId="50829F1A" w14:textId="2FD8F4D3" w:rsidR="003868BC" w:rsidRPr="00F455CD" w:rsidRDefault="00A250E3" w:rsidP="00547E80">
      <w:r>
        <w:t xml:space="preserve">We </w:t>
      </w:r>
      <w:r w:rsidR="00547E80">
        <w:t xml:space="preserve">parameterized blood pressure readings as systolic, diastolic and mean arterial </w:t>
      </w:r>
      <w:proofErr w:type="gramStart"/>
      <w:r w:rsidR="00547E80">
        <w:t xml:space="preserve">pressure </w:t>
      </w:r>
      <w:r>
        <w:t xml:space="preserve"> (</w:t>
      </w:r>
      <w:proofErr w:type="gramEnd"/>
      <w:r>
        <w:t xml:space="preserve">Table 3A). In our data regarding the mean arteriole pressure, we did see a significant increase in our non-obese population between the patients with and without Cushing’s disease (p=0.010). We did not, however, </w:t>
      </w:r>
      <w:r w:rsidR="00547E80">
        <w:t>observe</w:t>
      </w:r>
      <w:r>
        <w:t xml:space="preserve"> this same significant increase in the obese population (p=0.072). We saw this same relationship in our diastolic blood measurement, with a significant increase in the non-obese population, but not a significant increase in the obese population (p</w:t>
      </w:r>
      <w:r w:rsidR="00995BC6">
        <w:t>&lt;0.01</w:t>
      </w:r>
      <w:r>
        <w:t xml:space="preserve">, </w:t>
      </w:r>
      <w:r w:rsidR="00995BC6">
        <w:t>&lt;0.01</w:t>
      </w:r>
      <w:r>
        <w:t>). This pattern changed in our recorded measurements for systolic blood pressure. In this metric, we saw a significant increase in both the non-obese and obese populations between the control and Cushing’s patient populations (p</w:t>
      </w:r>
      <w:r w:rsidR="00995BC6">
        <w:t>&lt;0.01</w:t>
      </w:r>
      <w:r>
        <w:t xml:space="preserve">, </w:t>
      </w:r>
      <w:r w:rsidR="00995BC6">
        <w:t>&lt;0.01</w:t>
      </w:r>
      <w:r>
        <w:t xml:space="preserve">). This increase was much larger in the non-obese population (10.88 vs. 4.50), which suggests that obesity could be a negative effect modifier </w:t>
      </w:r>
      <w:proofErr w:type="gramStart"/>
      <w:r>
        <w:t>in regards to</w:t>
      </w:r>
      <w:proofErr w:type="gramEnd"/>
      <w:r>
        <w:t xml:space="preserve"> systolic blood pressure.</w:t>
      </w:r>
    </w:p>
    <w:p w14:paraId="5FBE0530" w14:textId="06123D21" w:rsidR="00EB133A" w:rsidRDefault="00EB133A" w:rsidP="00EB133A">
      <w:pPr>
        <w:pStyle w:val="NormalWeb"/>
        <w:numPr>
          <w:ilvl w:val="0"/>
          <w:numId w:val="3"/>
        </w:numPr>
      </w:pPr>
      <w:r>
        <w:t>Refer to Table 3</w:t>
      </w:r>
      <w:r w:rsidR="008F51CB">
        <w:t>A/B</w:t>
      </w:r>
      <w:r>
        <w:t xml:space="preserve"> and Figure </w:t>
      </w:r>
      <w:r w:rsidR="008F51CB">
        <w:t>2</w:t>
      </w:r>
      <w:r w:rsidR="002E219B">
        <w:t xml:space="preserve"> and 3 (not done yet)</w:t>
      </w:r>
      <w:r>
        <w:t>.</w:t>
      </w:r>
    </w:p>
    <w:p w14:paraId="2505785D" w14:textId="0B94B029" w:rsidR="00EB133A" w:rsidRDefault="00EB133A" w:rsidP="00EB133A">
      <w:pPr>
        <w:pStyle w:val="NormalWeb"/>
      </w:pPr>
      <w:r w:rsidRPr="00EB133A">
        <w:rPr>
          <w:rStyle w:val="Heading2Char"/>
        </w:rPr>
        <w:lastRenderedPageBreak/>
        <w:t>Sensitivity and secondary analyses</w:t>
      </w:r>
    </w:p>
    <w:p w14:paraId="4F7724D9" w14:textId="6555D82E" w:rsidR="002E219B" w:rsidRDefault="002E219B" w:rsidP="00EB133A">
      <w:pPr>
        <w:pStyle w:val="NormalWeb"/>
        <w:numPr>
          <w:ilvl w:val="0"/>
          <w:numId w:val="5"/>
        </w:numPr>
      </w:pPr>
      <w:r>
        <w:t>Not done yet</w:t>
      </w:r>
    </w:p>
    <w:p w14:paraId="5DE75FD3" w14:textId="04BFDC68"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09B8670F" w14:textId="4C0F69D0" w:rsidR="00552455" w:rsidRDefault="00552455" w:rsidP="00EB133A">
      <w:pPr>
        <w:pStyle w:val="NormalWeb"/>
        <w:numPr>
          <w:ilvl w:val="0"/>
          <w:numId w:val="5"/>
        </w:numPr>
      </w:pPr>
      <w:r>
        <w:t>No covariates</w:t>
      </w:r>
    </w:p>
    <w:p w14:paraId="51C13DB4" w14:textId="7EF5F95D" w:rsidR="002D6593" w:rsidRDefault="002D6593" w:rsidP="00EB133A">
      <w:pPr>
        <w:pStyle w:val="NormalWeb"/>
        <w:numPr>
          <w:ilvl w:val="0"/>
          <w:numId w:val="5"/>
        </w:numPr>
      </w:pPr>
      <w:r>
        <w:t xml:space="preserve">BMI instead of Obesity, </w:t>
      </w:r>
      <w:proofErr w:type="gramStart"/>
      <w:r>
        <w:t>ns(</w:t>
      </w:r>
      <w:proofErr w:type="gramEnd"/>
      <w:r>
        <w:t xml:space="preserve">BMI, </w:t>
      </w:r>
      <w:proofErr w:type="spellStart"/>
      <w:r>
        <w:t>df</w:t>
      </w:r>
      <w:proofErr w:type="spellEnd"/>
      <w:r>
        <w:t>=3) instead of Obesity</w:t>
      </w:r>
    </w:p>
    <w:p w14:paraId="42FF89E9" w14:textId="1D04F0BD" w:rsidR="004A06E2" w:rsidRDefault="004A06E2" w:rsidP="00EB133A">
      <w:pPr>
        <w:pStyle w:val="NormalWeb"/>
        <w:numPr>
          <w:ilvl w:val="0"/>
          <w:numId w:val="5"/>
        </w:numPr>
      </w:pPr>
      <w:proofErr w:type="spellStart"/>
      <w:r>
        <w:t>Cushings</w:t>
      </w:r>
      <w:proofErr w:type="spellEnd"/>
      <w:r>
        <w:t xml:space="preserve"> x Sex</w:t>
      </w:r>
    </w:p>
    <w:p w14:paraId="0F5D9DD6" w14:textId="337FCC66" w:rsidR="004A06E2" w:rsidRDefault="004A06E2" w:rsidP="00EB133A">
      <w:pPr>
        <w:pStyle w:val="NormalWeb"/>
        <w:numPr>
          <w:ilvl w:val="0"/>
          <w:numId w:val="5"/>
        </w:numPr>
      </w:pPr>
      <w:r>
        <w:t>Different matching ratios</w:t>
      </w:r>
    </w:p>
    <w:p w14:paraId="6FDF5E5A" w14:textId="127FE382" w:rsidR="00552455" w:rsidRDefault="00552455" w:rsidP="00EB133A">
      <w:pPr>
        <w:pStyle w:val="NormalWeb"/>
        <w:numPr>
          <w:ilvl w:val="0"/>
          <w:numId w:val="5"/>
        </w:numPr>
      </w:pPr>
      <w:r>
        <w:t>IPTW</w:t>
      </w:r>
    </w:p>
    <w:p w14:paraId="7A0DC80F" w14:textId="4FED67FE" w:rsidR="005D57A7" w:rsidRDefault="005D57A7" w:rsidP="00EB133A">
      <w:pPr>
        <w:pStyle w:val="Heading1"/>
      </w:pPr>
      <w:r>
        <w:t>Discussion</w:t>
      </w:r>
    </w:p>
    <w:p w14:paraId="64033048" w14:textId="77777777" w:rsidR="0084083C" w:rsidRDefault="0084083C" w:rsidP="0084083C">
      <w:pPr>
        <w:pStyle w:val="ListParagraph"/>
      </w:pPr>
    </w:p>
    <w:p w14:paraId="64AD0067" w14:textId="71019021" w:rsidR="005D57A7" w:rsidRDefault="005D57A7" w:rsidP="005D57A7">
      <w:pPr>
        <w:pStyle w:val="ListParagraph"/>
        <w:numPr>
          <w:ilvl w:val="0"/>
          <w:numId w:val="6"/>
        </w:numPr>
      </w:pPr>
      <w:r>
        <w:t>Consistency with prior studies on ALT/AST and blood glucose</w:t>
      </w:r>
    </w:p>
    <w:p w14:paraId="6D88CB01" w14:textId="71246078" w:rsidR="005D57A7" w:rsidRDefault="005D57A7" w:rsidP="005D57A7">
      <w:pPr>
        <w:pStyle w:val="ListParagraph"/>
        <w:numPr>
          <w:ilvl w:val="0"/>
          <w:numId w:val="6"/>
        </w:numPr>
      </w:pPr>
      <w:r>
        <w:t>Why is blood pressure protective (is this true of general analyses)</w:t>
      </w:r>
    </w:p>
    <w:p w14:paraId="44A12D8F" w14:textId="6DBF5D42" w:rsidR="001A5301" w:rsidRDefault="001A5301" w:rsidP="005D57A7">
      <w:pPr>
        <w:pStyle w:val="ListParagraph"/>
        <w:numPr>
          <w:ilvl w:val="0"/>
          <w:numId w:val="6"/>
        </w:numPr>
      </w:pPr>
      <w:r>
        <w:t>Gender difference is interesting – increasing fivefold (probably something biological and not a social aspect of doctor frequency)</w:t>
      </w:r>
    </w:p>
    <w:p w14:paraId="6A6DD923" w14:textId="5DDB585D" w:rsidR="00547E80" w:rsidRDefault="00547E80" w:rsidP="005D57A7">
      <w:pPr>
        <w:pStyle w:val="ListParagraph"/>
        <w:numPr>
          <w:ilvl w:val="0"/>
          <w:numId w:val="6"/>
        </w:numPr>
      </w:pPr>
      <w:r>
        <w:t>Race could be under-diagnosis (given previous papers of time to treatment)</w:t>
      </w:r>
    </w:p>
    <w:p w14:paraId="2CAD0053" w14:textId="4478397D" w:rsidR="001A5301" w:rsidRDefault="008255C6" w:rsidP="005D57A7">
      <w:pPr>
        <w:pStyle w:val="ListParagraph"/>
        <w:numPr>
          <w:ilvl w:val="0"/>
          <w:numId w:val="6"/>
        </w:numPr>
      </w:pPr>
      <w:r>
        <w:t>Control population has more recent labs</w:t>
      </w:r>
    </w:p>
    <w:p w14:paraId="2F3BC10A" w14:textId="621FFE69" w:rsidR="008255C6" w:rsidRDefault="004B6782" w:rsidP="005D57A7">
      <w:pPr>
        <w:pStyle w:val="ListParagraph"/>
        <w:numPr>
          <w:ilvl w:val="0"/>
          <w:numId w:val="6"/>
        </w:numPr>
      </w:pPr>
      <w:r>
        <w:t xml:space="preserve">BMI Higher in </w:t>
      </w:r>
      <w:proofErr w:type="spellStart"/>
      <w:r>
        <w:t>cushings</w:t>
      </w:r>
      <w:proofErr w:type="spellEnd"/>
      <w:r>
        <w:t xml:space="preserve"> case</w:t>
      </w:r>
    </w:p>
    <w:p w14:paraId="600F076F" w14:textId="77971886" w:rsidR="004B6782" w:rsidRDefault="00B442E2" w:rsidP="005D57A7">
      <w:pPr>
        <w:pStyle w:val="ListParagraph"/>
        <w:numPr>
          <w:ilvl w:val="0"/>
          <w:numId w:val="6"/>
        </w:numPr>
      </w:pPr>
      <w:r>
        <w:t>Limitations:</w:t>
      </w:r>
    </w:p>
    <w:p w14:paraId="38489A13" w14:textId="5352F233" w:rsidR="00B442E2" w:rsidRDefault="00B442E2" w:rsidP="00B442E2">
      <w:pPr>
        <w:pStyle w:val="ListParagraph"/>
        <w:numPr>
          <w:ilvl w:val="1"/>
          <w:numId w:val="6"/>
        </w:numPr>
      </w:pPr>
      <w:r>
        <w:t>Lost a seemingly large amount of people in the patient selection process between diagnoses, and treatments.</w:t>
      </w:r>
    </w:p>
    <w:p w14:paraId="46610DFB" w14:textId="0F23577B" w:rsidR="00B442E2" w:rsidRDefault="00B442E2" w:rsidP="00B442E2">
      <w:pPr>
        <w:pStyle w:val="ListParagraph"/>
        <w:numPr>
          <w:ilvl w:val="1"/>
          <w:numId w:val="6"/>
        </w:numPr>
      </w:pPr>
      <w:r>
        <w:t>Possibly disproportionate number of white patients in our population, fewer patients from other ethic/racial backgrounds.</w:t>
      </w:r>
    </w:p>
    <w:p w14:paraId="0FEE6F11" w14:textId="14106388" w:rsidR="00B442E2" w:rsidRDefault="00B442E2" w:rsidP="00B442E2">
      <w:pPr>
        <w:pStyle w:val="ListParagraph"/>
        <w:numPr>
          <w:ilvl w:val="1"/>
          <w:numId w:val="6"/>
        </w:numPr>
      </w:pPr>
      <w:r>
        <w:t>**When selecting our control groups, we could only pull from ~5 years ago due to DataDirect only being able to pull 100k people at one time.</w:t>
      </w:r>
    </w:p>
    <w:p w14:paraId="63C73B69" w14:textId="416D60C7" w:rsidR="00B442E2" w:rsidRDefault="00B442E2" w:rsidP="00B442E2">
      <w:pPr>
        <w:pStyle w:val="ListParagraph"/>
        <w:numPr>
          <w:ilvl w:val="1"/>
          <w:numId w:val="6"/>
        </w:numPr>
      </w:pPr>
      <w:r>
        <w:t>Relatively small n value for some lab results such as LDL cholesterol, osteoporosis (although we probably just will not use any of that data in our final paper anyways)</w:t>
      </w:r>
    </w:p>
    <w:p w14:paraId="19AA1532" w14:textId="731B5160" w:rsidR="00EB133A" w:rsidRDefault="00AB7571" w:rsidP="00EB133A">
      <w:pPr>
        <w:pStyle w:val="Heading1"/>
      </w:pPr>
      <w:r>
        <w:t>References</w:t>
      </w:r>
    </w:p>
    <w:p w14:paraId="3CC2FCB8" w14:textId="77777777" w:rsidR="00B623DA" w:rsidRPr="00B623DA" w:rsidRDefault="00AB7571" w:rsidP="00B623DA">
      <w:pPr>
        <w:pStyle w:val="Bibliography"/>
        <w:rPr>
          <w:rFonts w:ascii="Aptos"/>
        </w:rPr>
      </w:pPr>
      <w:r>
        <w:fldChar w:fldCharType="begin"/>
      </w:r>
      <w:r>
        <w:instrText xml:space="preserve"> ADDIN ZOTERO_BIBL {"uncited":[],"omitted":[],"custom":[]} CSL_BIBLIOGRAPHY </w:instrText>
      </w:r>
      <w:r>
        <w:fldChar w:fldCharType="separate"/>
      </w:r>
      <w:r w:rsidR="00B623DA" w:rsidRPr="00B623DA">
        <w:rPr>
          <w:rFonts w:ascii="Aptos"/>
        </w:rPr>
        <w:t xml:space="preserve">Alqeeq, B. F., Ayyad, M., Almadhoun, W. J., Aboabdo, M., Aldahdouh, M. S., Al-Tawil, M., &amp; Al-Ghazali, A. M. (2024). Sex-related differences in Cushing’s disease: A systematic </w:t>
      </w:r>
      <w:r w:rsidR="00B623DA" w:rsidRPr="00B623DA">
        <w:rPr>
          <w:rFonts w:ascii="Aptos"/>
        </w:rPr>
        <w:lastRenderedPageBreak/>
        <w:t xml:space="preserve">review and meta-analysis. </w:t>
      </w:r>
      <w:r w:rsidR="00B623DA" w:rsidRPr="00B623DA">
        <w:rPr>
          <w:rFonts w:ascii="Aptos"/>
          <w:i/>
          <w:iCs/>
        </w:rPr>
        <w:t>Annals of Saudi Medicine</w:t>
      </w:r>
      <w:r w:rsidR="00B623DA" w:rsidRPr="00B623DA">
        <w:rPr>
          <w:rFonts w:ascii="Aptos"/>
        </w:rPr>
        <w:t xml:space="preserve">, </w:t>
      </w:r>
      <w:r w:rsidR="00B623DA" w:rsidRPr="00B623DA">
        <w:rPr>
          <w:rFonts w:ascii="Aptos"/>
          <w:i/>
          <w:iCs/>
        </w:rPr>
        <w:t>44</w:t>
      </w:r>
      <w:r w:rsidR="00B623DA" w:rsidRPr="00B623DA">
        <w:rPr>
          <w:rFonts w:ascii="Aptos"/>
        </w:rPr>
        <w:t>(1), 55–65. https://doi.org/10.5144/0256-4947.2024.55</w:t>
      </w:r>
    </w:p>
    <w:p w14:paraId="1F6604F9" w14:textId="77777777" w:rsidR="00B623DA" w:rsidRPr="00B623DA" w:rsidRDefault="00B623DA" w:rsidP="00B623DA">
      <w:pPr>
        <w:pStyle w:val="Bibliography"/>
        <w:rPr>
          <w:rFonts w:ascii="Aptos"/>
        </w:rPr>
      </w:pPr>
      <w:r w:rsidRPr="00B623DA">
        <w:rPr>
          <w:rFonts w:ascii="Aptos"/>
        </w:rPr>
        <w:t xml:space="preserve">Broder, M. S., Neary, M. P., Chang, E., Cherepanov, D., &amp; Ludlam, W. H. (2015). Incidence of Cushing’s syndrome and Cushing’s disease in commercially-insured patients &lt;65 years old in the United States. </w:t>
      </w:r>
      <w:r w:rsidRPr="00B623DA">
        <w:rPr>
          <w:rFonts w:ascii="Aptos"/>
          <w:i/>
          <w:iCs/>
        </w:rPr>
        <w:t>Pituitary</w:t>
      </w:r>
      <w:r w:rsidRPr="00B623DA">
        <w:rPr>
          <w:rFonts w:ascii="Aptos"/>
        </w:rPr>
        <w:t xml:space="preserve">, </w:t>
      </w:r>
      <w:r w:rsidRPr="00B623DA">
        <w:rPr>
          <w:rFonts w:ascii="Aptos"/>
          <w:i/>
          <w:iCs/>
        </w:rPr>
        <w:t>18</w:t>
      </w:r>
      <w:r w:rsidRPr="00B623DA">
        <w:rPr>
          <w:rFonts w:ascii="Aptos"/>
        </w:rPr>
        <w:t>(3), 283–289. https://doi.org/10.1007/s11102-014-0569-6</w:t>
      </w:r>
    </w:p>
    <w:p w14:paraId="27D98E0A" w14:textId="77777777" w:rsidR="00B623DA" w:rsidRPr="00B623DA" w:rsidRDefault="00B623DA" w:rsidP="00B623DA">
      <w:pPr>
        <w:pStyle w:val="Bibliography"/>
        <w:rPr>
          <w:rFonts w:ascii="Aptos"/>
        </w:rPr>
      </w:pPr>
      <w:r w:rsidRPr="00B623DA">
        <w:rPr>
          <w:rFonts w:ascii="Aptos"/>
        </w:rPr>
        <w:t xml:space="preserve">Etxabe, J., &amp; Vazquez, J. A. (1994). Morbidity and mortality in Cushing’s disease: An epidemiological approach. </w:t>
      </w:r>
      <w:r w:rsidRPr="00B623DA">
        <w:rPr>
          <w:rFonts w:ascii="Aptos"/>
          <w:i/>
          <w:iCs/>
        </w:rPr>
        <w:t>Clin Endocrinol (Oxf)</w:t>
      </w:r>
      <w:r w:rsidRPr="00B623DA">
        <w:rPr>
          <w:rFonts w:ascii="Aptos"/>
        </w:rPr>
        <w:t xml:space="preserve">, </w:t>
      </w:r>
      <w:r w:rsidRPr="00B623DA">
        <w:rPr>
          <w:rFonts w:ascii="Aptos"/>
          <w:i/>
          <w:iCs/>
        </w:rPr>
        <w:t>40</w:t>
      </w:r>
      <w:r w:rsidRPr="00B623DA">
        <w:rPr>
          <w:rFonts w:ascii="Aptos"/>
        </w:rPr>
        <w:t>(4), 479–484. https://doi.org/10.1111/j.1365-2265.1994.tb02486.x</w:t>
      </w:r>
    </w:p>
    <w:p w14:paraId="602AD758" w14:textId="77777777" w:rsidR="00B623DA" w:rsidRPr="00B623DA" w:rsidRDefault="00B623DA" w:rsidP="00B623DA">
      <w:pPr>
        <w:pStyle w:val="Bibliography"/>
        <w:rPr>
          <w:rFonts w:ascii="Aptos"/>
        </w:rPr>
      </w:pPr>
      <w:r w:rsidRPr="00B623DA">
        <w:rPr>
          <w:rFonts w:ascii="Aptos"/>
        </w:rPr>
        <w:t xml:space="preserve">Ho, D., Imai, K., King, G., &amp; Stuart, E. A. (2011). MatchIt: Nonparametric Preprocessing for Parametric Causal Inference. </w:t>
      </w:r>
      <w:r w:rsidRPr="00B623DA">
        <w:rPr>
          <w:rFonts w:ascii="Aptos"/>
          <w:i/>
          <w:iCs/>
        </w:rPr>
        <w:t>Journal of Statistical Software</w:t>
      </w:r>
      <w:r w:rsidRPr="00B623DA">
        <w:rPr>
          <w:rFonts w:ascii="Aptos"/>
        </w:rPr>
        <w:t xml:space="preserve">, </w:t>
      </w:r>
      <w:r w:rsidRPr="00B623DA">
        <w:rPr>
          <w:rFonts w:ascii="Aptos"/>
          <w:i/>
          <w:iCs/>
        </w:rPr>
        <w:t>42</w:t>
      </w:r>
      <w:r w:rsidRPr="00B623DA">
        <w:rPr>
          <w:rFonts w:ascii="Aptos"/>
        </w:rPr>
        <w:t>, 1–28. https://doi.org/10.18637/jss.v042.i08</w:t>
      </w:r>
    </w:p>
    <w:p w14:paraId="66943045" w14:textId="77777777" w:rsidR="00B623DA" w:rsidRPr="00B623DA" w:rsidRDefault="00B623DA" w:rsidP="00B623DA">
      <w:pPr>
        <w:pStyle w:val="Bibliography"/>
        <w:rPr>
          <w:rFonts w:ascii="Aptos"/>
        </w:rPr>
      </w:pPr>
      <w:r w:rsidRPr="00B623DA">
        <w:rPr>
          <w:rFonts w:ascii="Aptos"/>
        </w:rPr>
        <w:t xml:space="preserve">Ioachimescu, A. G., Goswami, N., Handa, T., Pappy, A., Veledar, E., &amp; Oyesiku, N. M. (2022). Racial Disparities in Acromegaly and Cushing’s Disease: A Referral Center Study in 241 Patients. </w:t>
      </w:r>
      <w:r w:rsidRPr="00B623DA">
        <w:rPr>
          <w:rFonts w:ascii="Aptos"/>
          <w:i/>
          <w:iCs/>
        </w:rPr>
        <w:t>Journal of the Endocrine Society</w:t>
      </w:r>
      <w:r w:rsidRPr="00B623DA">
        <w:rPr>
          <w:rFonts w:ascii="Aptos"/>
        </w:rPr>
        <w:t xml:space="preserve">, </w:t>
      </w:r>
      <w:r w:rsidRPr="00B623DA">
        <w:rPr>
          <w:rFonts w:ascii="Aptos"/>
          <w:i/>
          <w:iCs/>
        </w:rPr>
        <w:t>6</w:t>
      </w:r>
      <w:r w:rsidRPr="00B623DA">
        <w:rPr>
          <w:rFonts w:ascii="Aptos"/>
        </w:rPr>
        <w:t>(1), bvab176. https://doi.org/10.1210/jendso/bvab176</w:t>
      </w:r>
    </w:p>
    <w:p w14:paraId="5E0CB715" w14:textId="77777777" w:rsidR="00B623DA" w:rsidRPr="00B623DA" w:rsidRDefault="00B623DA" w:rsidP="00B623DA">
      <w:pPr>
        <w:pStyle w:val="Bibliography"/>
        <w:rPr>
          <w:rFonts w:ascii="Aptos"/>
        </w:rPr>
      </w:pPr>
      <w:r w:rsidRPr="00B623DA">
        <w:rPr>
          <w:rFonts w:ascii="Aptos"/>
        </w:rPr>
        <w:t xml:space="preserve">Matthiasdottir, A. M., Hardarson, T. O., Arnardottir, S., &amp; Sigurjonsdottir, H. A. (2024). Cushing’s Disease May Have Higher Incidence than Previously Thought: A Nationwide Study in Iceland 2010–2019. </w:t>
      </w:r>
      <w:r w:rsidRPr="00B623DA">
        <w:rPr>
          <w:rFonts w:ascii="Aptos"/>
          <w:i/>
          <w:iCs/>
        </w:rPr>
        <w:t>Neuroendocrinology</w:t>
      </w:r>
      <w:r w:rsidRPr="00B623DA">
        <w:rPr>
          <w:rFonts w:ascii="Aptos"/>
        </w:rPr>
        <w:t xml:space="preserve">, </w:t>
      </w:r>
      <w:r w:rsidRPr="00B623DA">
        <w:rPr>
          <w:rFonts w:ascii="Aptos"/>
          <w:i/>
          <w:iCs/>
        </w:rPr>
        <w:t>114</w:t>
      </w:r>
      <w:r w:rsidRPr="00B623DA">
        <w:rPr>
          <w:rFonts w:ascii="Aptos"/>
        </w:rPr>
        <w:t>(10), 950–957. https://doi.org/10.1159/000540205</w:t>
      </w:r>
    </w:p>
    <w:p w14:paraId="28D88FAD" w14:textId="77777777" w:rsidR="00B623DA" w:rsidRPr="00B623DA" w:rsidRDefault="00B623DA" w:rsidP="00B623DA">
      <w:pPr>
        <w:pStyle w:val="Bibliography"/>
        <w:rPr>
          <w:rFonts w:ascii="Aptos"/>
        </w:rPr>
      </w:pPr>
      <w:r w:rsidRPr="00B623DA">
        <w:rPr>
          <w:rFonts w:ascii="Aptos"/>
        </w:rPr>
        <w:t xml:space="preserve">Omotosho, Y. B., McGlotten, R., Chittiboina, P., &amp; Nieman, L. (2024). MON-113 Racial Disparity in the Time to Diagnosis of Cushing’s Disease. </w:t>
      </w:r>
      <w:r w:rsidRPr="00B623DA">
        <w:rPr>
          <w:rFonts w:ascii="Aptos"/>
          <w:i/>
          <w:iCs/>
        </w:rPr>
        <w:t xml:space="preserve">Journal of the Endocrine </w:t>
      </w:r>
      <w:r w:rsidRPr="00B623DA">
        <w:rPr>
          <w:rFonts w:ascii="Aptos"/>
          <w:i/>
          <w:iCs/>
        </w:rPr>
        <w:lastRenderedPageBreak/>
        <w:t>Society</w:t>
      </w:r>
      <w:r w:rsidRPr="00B623DA">
        <w:rPr>
          <w:rFonts w:ascii="Aptos"/>
        </w:rPr>
        <w:t xml:space="preserve">, </w:t>
      </w:r>
      <w:r w:rsidRPr="00B623DA">
        <w:rPr>
          <w:rFonts w:ascii="Aptos"/>
          <w:i/>
          <w:iCs/>
        </w:rPr>
        <w:t>8</w:t>
      </w:r>
      <w:r w:rsidRPr="00B623DA">
        <w:rPr>
          <w:rFonts w:ascii="Aptos"/>
        </w:rPr>
        <w:t>(Supplement_1), bvae163.2408. https://doi.org/10.1210/jendso/bvae163.2408</w:t>
      </w:r>
    </w:p>
    <w:p w14:paraId="170C9AAB" w14:textId="77777777" w:rsidR="00B623DA" w:rsidRPr="00B623DA" w:rsidRDefault="00B623DA" w:rsidP="00B623DA">
      <w:pPr>
        <w:pStyle w:val="Bibliography"/>
        <w:rPr>
          <w:rFonts w:ascii="Aptos"/>
        </w:rPr>
      </w:pPr>
      <w:r w:rsidRPr="00B623DA">
        <w:rPr>
          <w:rFonts w:ascii="Aptos"/>
        </w:rPr>
        <w:t xml:space="preserve">R Core Team. (2019). </w:t>
      </w:r>
      <w:r w:rsidRPr="00B623DA">
        <w:rPr>
          <w:rFonts w:ascii="Aptos"/>
          <w:i/>
          <w:iCs/>
        </w:rPr>
        <w:t>R: A Language and Environment for Statistical Computing</w:t>
      </w:r>
      <w:r w:rsidRPr="00B623DA">
        <w:rPr>
          <w:rFonts w:ascii="Aptos"/>
        </w:rPr>
        <w:t>. R Foundation for Statistical Computing. http://www.r-project.org/</w:t>
      </w:r>
    </w:p>
    <w:p w14:paraId="59965C26" w14:textId="77777777" w:rsidR="00B623DA" w:rsidRPr="00B623DA" w:rsidRDefault="00B623DA" w:rsidP="00B623DA">
      <w:pPr>
        <w:pStyle w:val="Bibliography"/>
        <w:rPr>
          <w:rFonts w:ascii="Aptos"/>
        </w:rPr>
      </w:pPr>
      <w:r w:rsidRPr="00B623DA">
        <w:rPr>
          <w:rFonts w:ascii="Aptos"/>
        </w:rPr>
        <w:t xml:space="preserve">Steffensen, C., Bak, A. M., Zøylner Rubeck, K., &amp; Jørgensen, J. O. L. (2010). Epidemiology of Cushing’s Syndrome. </w:t>
      </w:r>
      <w:r w:rsidRPr="00B623DA">
        <w:rPr>
          <w:rFonts w:ascii="Aptos"/>
          <w:i/>
          <w:iCs/>
        </w:rPr>
        <w:t>Neuroendocrinology</w:t>
      </w:r>
      <w:r w:rsidRPr="00B623DA">
        <w:rPr>
          <w:rFonts w:ascii="Aptos"/>
        </w:rPr>
        <w:t xml:space="preserve">, </w:t>
      </w:r>
      <w:r w:rsidRPr="00B623DA">
        <w:rPr>
          <w:rFonts w:ascii="Aptos"/>
          <w:i/>
          <w:iCs/>
        </w:rPr>
        <w:t>92</w:t>
      </w:r>
      <w:r w:rsidRPr="00B623DA">
        <w:rPr>
          <w:rFonts w:ascii="Aptos"/>
        </w:rPr>
        <w:t>(Suppl. 1), 1–5. https://doi.org/10.1159/000314297</w:t>
      </w:r>
    </w:p>
    <w:p w14:paraId="26F9D85B" w14:textId="785A0953" w:rsidR="00AB7571" w:rsidRPr="00AB7571" w:rsidRDefault="00AB7571" w:rsidP="00B623DA">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Laboratory values were within 30 days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w:t>
      </w:r>
      <w:proofErr w:type="gramStart"/>
      <w:r>
        <w:t xml:space="preserve">both </w:t>
      </w:r>
      <w:r w:rsidR="009B1202">
        <w:t>of these</w:t>
      </w:r>
      <w:proofErr w:type="gramEnd"/>
      <w:r w:rsidR="009B1202">
        <w:t xml:space="preserv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lastRenderedPageBreak/>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lastRenderedPageBreak/>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r, Treyton" w:date="2025-11-08T23:56:00Z" w:initials="CT">
    <w:p w14:paraId="3048B1C6" w14:textId="77777777" w:rsidR="00892425" w:rsidRDefault="00892425" w:rsidP="00892425">
      <w:r>
        <w:rPr>
          <w:rStyle w:val="CommentReference"/>
        </w:rPr>
        <w:annotationRef/>
      </w:r>
      <w:r>
        <w:rPr>
          <w:sz w:val="20"/>
          <w:szCs w:val="20"/>
        </w:rPr>
        <w:t>@dave So from here I was thinking about going more into study design/what this study aims to do, but I feel like that is more of the abstract's goal? Also, should I add on more at the beginning about more symptoms of cushings (moon face, weight holding, hump on neck, etc.)?</w:t>
      </w:r>
    </w:p>
  </w:comment>
  <w:comment w:id="1" w:author="Dave Bridges" w:date="2025-09-07T19:14:00Z" w:initials="DB">
    <w:p w14:paraId="30EA8164" w14:textId="44E22D45" w:rsidR="008610C9" w:rsidRDefault="008610C9" w:rsidP="008610C9">
      <w:r>
        <w:rPr>
          <w:rStyle w:val="CommentReference"/>
        </w:rPr>
        <w:annotationRef/>
      </w:r>
      <w:r>
        <w:rPr>
          <w:sz w:val="20"/>
          <w:szCs w:val="20"/>
        </w:rPr>
        <w:t>@trey can you add these</w:t>
      </w:r>
    </w:p>
  </w:comment>
  <w:comment w:id="2" w:author="Carr, Treyton" w:date="2025-11-08T23:41:00Z" w:initials="CT">
    <w:p w14:paraId="03BC0566" w14:textId="77777777" w:rsidR="00995BC6" w:rsidRDefault="00995BC6" w:rsidP="00995BC6">
      <w:r>
        <w:rPr>
          <w:rStyle w:val="CommentReference"/>
        </w:rPr>
        <w:annotationRef/>
      </w:r>
      <w:r>
        <w:rPr>
          <w:sz w:val="20"/>
          <w:szCs w:val="20"/>
        </w:rPr>
        <w:t>Because we have a total of 86 codes for this category, should we list them somewhere else in the document in an appendix?</w:t>
      </w:r>
    </w:p>
  </w:comment>
  <w:comment w:id="3" w:author="Dave Bridges" w:date="2025-09-05T19:50:00Z" w:initials="DB">
    <w:p w14:paraId="1DD21AA1" w14:textId="14B54E0A" w:rsidR="00575431" w:rsidRDefault="00575431" w:rsidP="00575431">
      <w:r>
        <w:rPr>
          <w:rStyle w:val="CommentReference"/>
        </w:rPr>
        <w:annotationRef/>
      </w:r>
      <w:r>
        <w:rPr>
          <w:sz w:val="20"/>
          <w:szCs w:val="20"/>
        </w:rPr>
        <w:t>todo</w:t>
      </w:r>
    </w:p>
  </w:comment>
  <w:comment w:id="4" w:author="Dave Bridges" w:date="2025-09-07T14:40:00Z" w:initials="DB">
    <w:p w14:paraId="2B4220B9" w14:textId="77777777" w:rsidR="00846B21" w:rsidRDefault="00846B21" w:rsidP="00846B21">
      <w:r>
        <w:rPr>
          <w:rStyle w:val="CommentReference"/>
        </w:rPr>
        <w:annotationRef/>
      </w:r>
      <w:r>
        <w:rPr>
          <w:sz w:val="20"/>
          <w:szCs w:val="20"/>
        </w:rPr>
        <w:t>@trey can you describe this part, and enter details in the methods of how this was done</w:t>
      </w:r>
    </w:p>
  </w:comment>
  <w:comment w:id="5" w:author="Dave Bridges" w:date="2025-09-05T19:38:00Z" w:initials="DB">
    <w:p w14:paraId="392E4D0B" w14:textId="3CD351D4" w:rsidR="00B87243" w:rsidRDefault="00B87243" w:rsidP="00B87243">
      <w:r>
        <w:rPr>
          <w:rStyle w:val="CommentReference"/>
        </w:rPr>
        <w:annotationRef/>
      </w:r>
      <w:r>
        <w:rPr>
          <w:sz w:val="20"/>
          <w:szCs w:val="20"/>
        </w:rPr>
        <w:t>@trey also any data on demographic propensities towards Cushings we can cite?</w:t>
      </w:r>
    </w:p>
  </w:comment>
  <w:comment w:id="6" w:author="Carr, Treyton" w:date="2025-09-16T11:51:00Z" w:initials="CT">
    <w:p w14:paraId="6C23150B" w14:textId="77777777" w:rsidR="001F1825" w:rsidRDefault="001F1825" w:rsidP="001F1825">
      <w:r>
        <w:rPr>
          <w:rStyle w:val="CommentReference"/>
        </w:rPr>
        <w:annotationRef/>
      </w:r>
      <w:r>
        <w:rPr>
          <w:sz w:val="20"/>
          <w:szCs w:val="20"/>
        </w:rPr>
        <w:t>Some articles that include race in their analysis:</w:t>
      </w:r>
    </w:p>
    <w:p w14:paraId="18EB2509" w14:textId="77777777" w:rsidR="001F1825" w:rsidRDefault="001F1825" w:rsidP="001F1825">
      <w:hyperlink r:id="rId1" w:history="1">
        <w:r w:rsidRPr="004E6203">
          <w:rPr>
            <w:rStyle w:val="Hyperlink"/>
            <w:sz w:val="20"/>
            <w:szCs w:val="20"/>
          </w:rPr>
          <w:t>https://doi-org.proxy.lib.umich.edu/10.1210/jendso/bvab176</w:t>
        </w:r>
      </w:hyperlink>
    </w:p>
    <w:p w14:paraId="0FF87C40" w14:textId="77777777" w:rsidR="001F1825" w:rsidRDefault="001F1825" w:rsidP="001F1825"/>
    <w:p w14:paraId="4AC35CA5" w14:textId="77777777" w:rsidR="001F1825" w:rsidRDefault="001F1825" w:rsidP="001F1825">
      <w:hyperlink r:id="rId2" w:history="1">
        <w:r w:rsidRPr="004E6203">
          <w:rPr>
            <w:rStyle w:val="Hyperlink"/>
            <w:sz w:val="20"/>
            <w:szCs w:val="20"/>
          </w:rPr>
          <w:t>https://doi.org/10.3171/2014.11.FOCUS14694</w:t>
        </w:r>
      </w:hyperlink>
    </w:p>
    <w:p w14:paraId="43C60507" w14:textId="77777777" w:rsidR="001F1825" w:rsidRDefault="001F1825" w:rsidP="001F1825"/>
    <w:p w14:paraId="1EBBA447" w14:textId="77777777" w:rsidR="001F1825" w:rsidRDefault="001F1825" w:rsidP="001F1825">
      <w:r>
        <w:rPr>
          <w:sz w:val="20"/>
          <w:szCs w:val="20"/>
        </w:rPr>
        <w:t xml:space="preserve"> </w:t>
      </w:r>
      <w:hyperlink r:id="rId3" w:history="1">
        <w:r w:rsidRPr="004E6203">
          <w:rPr>
            <w:rStyle w:val="Hyperlink"/>
            <w:sz w:val="20"/>
            <w:szCs w:val="20"/>
          </w:rPr>
          <w:t>https://doi.org/10.1111/cen.12644</w:t>
        </w:r>
      </w:hyperlink>
    </w:p>
    <w:p w14:paraId="1F99FD41" w14:textId="77777777" w:rsidR="001F1825" w:rsidRDefault="001F1825" w:rsidP="001F1825"/>
    <w:p w14:paraId="719568B3" w14:textId="77777777" w:rsidR="001F1825" w:rsidRDefault="001F1825" w:rsidP="001F1825">
      <w:hyperlink r:id="rId4" w:history="1">
        <w:r w:rsidRPr="004E6203">
          <w:rPr>
            <w:rStyle w:val="Hyperlink"/>
            <w:sz w:val="20"/>
            <w:szCs w:val="20"/>
          </w:rPr>
          <w:t>https://doi.org/10.1038/pr.2017.58</w:t>
        </w:r>
      </w:hyperlink>
    </w:p>
    <w:p w14:paraId="0BDE7CD0" w14:textId="77777777" w:rsidR="001F1825" w:rsidRDefault="001F1825" w:rsidP="001F1825"/>
    <w:p w14:paraId="72F74B19" w14:textId="77777777" w:rsidR="001F1825" w:rsidRDefault="001F1825" w:rsidP="001F1825"/>
  </w:comment>
  <w:comment w:id="7" w:author="Dave Bridges" w:date="2025-09-23T09:31:00Z" w:initials="DB">
    <w:p w14:paraId="33EBFD8A" w14:textId="77777777" w:rsidR="00B623DA" w:rsidRDefault="00B623DA" w:rsidP="00B623DA">
      <w:r>
        <w:rPr>
          <w:rStyle w:val="CommentReference"/>
        </w:rPr>
        <w:annotationRef/>
      </w:r>
      <w:r>
        <w:rPr>
          <w:sz w:val="20"/>
          <w:szCs w:val="20"/>
        </w:rPr>
        <w:t xml:space="preserve">I think only the first one directly tests the effects of race relative to the general population.  </w:t>
      </w:r>
    </w:p>
    <w:p w14:paraId="7F6A75C4" w14:textId="77777777" w:rsidR="00B623DA" w:rsidRDefault="00B623DA" w:rsidP="00B623DA"/>
    <w:p w14:paraId="3234C9DA" w14:textId="77777777" w:rsidR="00B623DA" w:rsidRDefault="00B623DA" w:rsidP="00B623DA">
      <w:r>
        <w:rPr>
          <w:sz w:val="20"/>
          <w:szCs w:val="20"/>
        </w:rPr>
        <w:t>This paper looks at time to diagnosis as a potential reason</w:t>
      </w:r>
    </w:p>
    <w:p w14:paraId="2E308E62" w14:textId="77777777" w:rsidR="00B623DA" w:rsidRDefault="00B623DA" w:rsidP="00B623DA"/>
    <w:p w14:paraId="55516B0E" w14:textId="77777777" w:rsidR="00B623DA" w:rsidRDefault="00B623DA" w:rsidP="00B623DA">
      <w:hyperlink r:id="rId5" w:history="1">
        <w:r w:rsidRPr="00092200">
          <w:rPr>
            <w:rStyle w:val="Hyperlink"/>
            <w:sz w:val="20"/>
            <w:szCs w:val="20"/>
          </w:rPr>
          <w:t>https://pmc.ncbi.nlm.nih.gov/articles/PMC5552413/</w:t>
        </w:r>
      </w:hyperlink>
    </w:p>
  </w:comment>
  <w:comment w:id="8" w:author="Dave Bridges" w:date="2025-09-23T09:32:00Z" w:initials="DB">
    <w:p w14:paraId="3F136B1D" w14:textId="77777777" w:rsidR="004C5BA6" w:rsidRDefault="004C5BA6" w:rsidP="004C5BA6">
      <w:r>
        <w:rPr>
          <w:rStyle w:val="CommentReference"/>
        </w:rPr>
        <w:annotationRef/>
      </w:r>
      <w:r>
        <w:rPr>
          <w:sz w:val="20"/>
          <w:szCs w:val="20"/>
        </w:rPr>
        <w:t xml:space="preserve">More about severity here </w:t>
      </w:r>
    </w:p>
    <w:p w14:paraId="670112CC" w14:textId="77777777" w:rsidR="004C5BA6" w:rsidRDefault="004C5BA6" w:rsidP="004C5BA6"/>
    <w:p w14:paraId="27A1600A" w14:textId="77777777" w:rsidR="004C5BA6" w:rsidRDefault="004C5BA6" w:rsidP="004C5BA6">
      <w:hyperlink r:id="rId6" w:history="1">
        <w:r w:rsidRPr="001003A9">
          <w:rPr>
            <w:rStyle w:val="Hyperlink"/>
            <w:sz w:val="20"/>
            <w:szCs w:val="20"/>
          </w:rPr>
          <w:t>https://pmc.ncbi.nlm.nih.gov/articles/PMC5552413/</w:t>
        </w:r>
      </w:hyperlink>
    </w:p>
  </w:comment>
  <w:comment w:id="11" w:author="Dave Bridges" w:date="2025-09-23T09:44:00Z" w:initials="DB">
    <w:p w14:paraId="52B2AC8C" w14:textId="77777777" w:rsidR="00547E80" w:rsidRDefault="00547E80" w:rsidP="00547E80">
      <w:r>
        <w:rPr>
          <w:rStyle w:val="CommentReference"/>
        </w:rPr>
        <w:annotationRef/>
      </w:r>
      <w:r>
        <w:rPr>
          <w:sz w:val="20"/>
          <w:szCs w:val="20"/>
        </w:rPr>
        <w:t>Here do you mean in people with a BMI above or below 30?  Try to report as Effect size ... p value</w:t>
      </w:r>
    </w:p>
    <w:p w14:paraId="2B925E69" w14:textId="77777777" w:rsidR="00547E80" w:rsidRDefault="00547E80" w:rsidP="00547E80"/>
    <w:p w14:paraId="00B0B8E1" w14:textId="77777777" w:rsidR="00547E80" w:rsidRDefault="00547E80" w:rsidP="00547E80">
      <w:r>
        <w:rPr>
          <w:sz w:val="20"/>
          <w:szCs w:val="20"/>
        </w:rPr>
        <w:t>So for example here i woudl say something like fasting glucose was increased in participants with BMI above and below 30 kg/m2 (27.0 and 26.1 mg/dL respectively, both p&lt;0.001).</w:t>
      </w:r>
    </w:p>
  </w:comment>
  <w:comment w:id="12" w:author="Dave Bridges" w:date="2025-09-23T09:45:00Z" w:initials="DB">
    <w:p w14:paraId="1C9C357C" w14:textId="77777777" w:rsidR="00547E80" w:rsidRDefault="00547E80" w:rsidP="00547E80">
      <w:r>
        <w:rPr>
          <w:rStyle w:val="CommentReference"/>
        </w:rPr>
        <w:annotationRef/>
      </w:r>
      <w:r>
        <w:rPr>
          <w:sz w:val="20"/>
          <w:szCs w:val="20"/>
        </w:rPr>
        <w:t>lets add AST</w:t>
      </w:r>
    </w:p>
  </w:comment>
  <w:comment w:id="13" w:author="Dave Bridges" w:date="2025-09-23T09:45:00Z" w:initials="DB">
    <w:p w14:paraId="6CC275EF" w14:textId="56ACBB29" w:rsidR="00547E80" w:rsidRDefault="00547E80" w:rsidP="00547E80">
      <w:r>
        <w:rPr>
          <w:rStyle w:val="CommentReference"/>
        </w:rPr>
        <w:annotationRef/>
      </w:r>
      <w:r>
        <w:rPr>
          <w:sz w:val="20"/>
          <w:szCs w:val="20"/>
        </w:rPr>
        <w:t>Lets just report anything under 0.001 as &lt;0.001 since these are all astronomically low.</w:t>
      </w:r>
    </w:p>
    <w:p w14:paraId="7B334848" w14:textId="77777777" w:rsidR="00547E80" w:rsidRDefault="00547E80" w:rsidP="00547E80"/>
    <w:p w14:paraId="4ACD75D6" w14:textId="77777777" w:rsidR="00547E80" w:rsidRDefault="00547E80" w:rsidP="00547E80">
      <w:r>
        <w:rPr>
          <w:sz w:val="20"/>
          <w:szCs w:val="20"/>
        </w:rPr>
        <w:t>Also include effect sizes</w:t>
      </w:r>
    </w:p>
  </w:comment>
  <w:comment w:id="14" w:author="Dave Bridges" w:date="2025-09-23T09:45:00Z" w:initials="DB">
    <w:p w14:paraId="5D48BE75" w14:textId="77777777" w:rsidR="00547E80" w:rsidRDefault="00547E80" w:rsidP="00547E80">
      <w:r>
        <w:rPr>
          <w:rStyle w:val="CommentReference"/>
        </w:rPr>
        <w:annotationRef/>
      </w:r>
      <w:r>
        <w:rPr>
          <w:sz w:val="20"/>
          <w:szCs w:val="20"/>
        </w:rPr>
        <w:t>Lets expand to TG, HDL and total C when we do the next data pull</w:t>
      </w:r>
    </w:p>
  </w:comment>
  <w:comment w:id="9" w:author="Dave Bridges" w:date="2025-09-07T20:08:00Z" w:initials="DB">
    <w:p w14:paraId="57ADD46F" w14:textId="68BE7AD3" w:rsidR="002E0B3A" w:rsidRDefault="002E0B3A" w:rsidP="002E0B3A">
      <w:r>
        <w:rPr>
          <w:rStyle w:val="CommentReference"/>
        </w:rPr>
        <w:annotationRef/>
      </w:r>
      <w:r>
        <w:rPr>
          <w:sz w:val="20"/>
          <w:szCs w:val="20"/>
        </w:rPr>
        <w:t>@trey why dont you give a try of explaining these, first talking about the effects of Cushings (see Table 3A) and then whether there is evidence of positive or negative effect modification (Table 3B)</w:t>
      </w:r>
    </w:p>
  </w:comment>
  <w:comment w:id="10" w:author="Carr, Treyton" w:date="2025-09-23T00:51:00Z" w:initials="CT">
    <w:p w14:paraId="54EF4F8A" w14:textId="77777777" w:rsidR="00A250E3" w:rsidRDefault="00A250E3" w:rsidP="00A250E3">
      <w:r>
        <w:rPr>
          <w:rStyle w:val="CommentReference"/>
        </w:rPr>
        <w:annotationRef/>
      </w:r>
      <w:r>
        <w:rPr>
          <w:sz w:val="20"/>
          <w:szCs w:val="20"/>
        </w:rPr>
        <w:t>Gave it a shot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48B1C6" w15:done="0"/>
  <w15:commentEx w15:paraId="30EA8164" w15:done="0"/>
  <w15:commentEx w15:paraId="03BC0566" w15:paraIdParent="30EA8164" w15:done="0"/>
  <w15:commentEx w15:paraId="1DD21AA1" w15:done="0"/>
  <w15:commentEx w15:paraId="2B4220B9" w15:done="0"/>
  <w15:commentEx w15:paraId="392E4D0B" w15:done="0"/>
  <w15:commentEx w15:paraId="72F74B19" w15:paraIdParent="392E4D0B" w15:done="0"/>
  <w15:commentEx w15:paraId="55516B0E" w15:paraIdParent="392E4D0B" w15:done="0"/>
  <w15:commentEx w15:paraId="27A1600A" w15:paraIdParent="392E4D0B" w15:done="0"/>
  <w15:commentEx w15:paraId="00B0B8E1" w15:done="0"/>
  <w15:commentEx w15:paraId="1C9C357C" w15:done="0"/>
  <w15:commentEx w15:paraId="4ACD75D6" w15:done="1"/>
  <w15:commentEx w15:paraId="5D48BE75" w15:done="1"/>
  <w15:commentEx w15:paraId="57ADD46F" w15:done="0"/>
  <w15:commentEx w15:paraId="54EF4F8A" w15:paraIdParent="57ADD4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615881" w16cex:dateUtc="2025-11-09T04:56:00Z"/>
  <w16cex:commentExtensible w16cex:durableId="7BBB9387" w16cex:dateUtc="2025-09-07T23:14:00Z"/>
  <w16cex:commentExtensible w16cex:durableId="5C3B7975" w16cex:dateUtc="2025-11-09T04:41:00Z"/>
  <w16cex:commentExtensible w16cex:durableId="1A95B88A" w16cex:dateUtc="2025-09-05T23:50:00Z"/>
  <w16cex:commentExtensible w16cex:durableId="73524BEF" w16cex:dateUtc="2025-09-07T18:40:00Z"/>
  <w16cex:commentExtensible w16cex:durableId="4FC4BC49" w16cex:dateUtc="2025-09-05T23:38:00Z"/>
  <w16cex:commentExtensible w16cex:durableId="5D0CA468" w16cex:dateUtc="2025-09-16T15:51:00Z"/>
  <w16cex:commentExtensible w16cex:durableId="01936C22" w16cex:dateUtc="2025-09-23T13:31:00Z"/>
  <w16cex:commentExtensible w16cex:durableId="587436AC" w16cex:dateUtc="2025-09-23T13:32:00Z"/>
  <w16cex:commentExtensible w16cex:durableId="399AC0EA" w16cex:dateUtc="2025-09-23T13:44:00Z"/>
  <w16cex:commentExtensible w16cex:durableId="766235EF" w16cex:dateUtc="2025-09-23T13:45:00Z"/>
  <w16cex:commentExtensible w16cex:durableId="2F71EC13" w16cex:dateUtc="2025-09-23T13:45:00Z"/>
  <w16cex:commentExtensible w16cex:durableId="7A7E4C1B" w16cex:dateUtc="2025-09-23T13:45:00Z"/>
  <w16cex:commentExtensible w16cex:durableId="4855A8FC" w16cex:dateUtc="2025-09-08T00:08:00Z"/>
  <w16cex:commentExtensible w16cex:durableId="4A77F548" w16cex:dateUtc="2025-09-23T04: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48B1C6" w16cid:durableId="7B615881"/>
  <w16cid:commentId w16cid:paraId="30EA8164" w16cid:durableId="7BBB9387"/>
  <w16cid:commentId w16cid:paraId="03BC0566" w16cid:durableId="5C3B7975"/>
  <w16cid:commentId w16cid:paraId="1DD21AA1" w16cid:durableId="1A95B88A"/>
  <w16cid:commentId w16cid:paraId="2B4220B9" w16cid:durableId="73524BEF"/>
  <w16cid:commentId w16cid:paraId="392E4D0B" w16cid:durableId="4FC4BC49"/>
  <w16cid:commentId w16cid:paraId="72F74B19" w16cid:durableId="5D0CA468"/>
  <w16cid:commentId w16cid:paraId="55516B0E" w16cid:durableId="01936C22"/>
  <w16cid:commentId w16cid:paraId="27A1600A" w16cid:durableId="587436AC"/>
  <w16cid:commentId w16cid:paraId="00B0B8E1" w16cid:durableId="399AC0EA"/>
  <w16cid:commentId w16cid:paraId="1C9C357C" w16cid:durableId="766235EF"/>
  <w16cid:commentId w16cid:paraId="4ACD75D6" w16cid:durableId="2F71EC13"/>
  <w16cid:commentId w16cid:paraId="5D48BE75" w16cid:durableId="7A7E4C1B"/>
  <w16cid:commentId w16cid:paraId="57ADD46F" w16cid:durableId="4855A8FC"/>
  <w16cid:commentId w16cid:paraId="54EF4F8A" w16cid:durableId="4A77F5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1"/>
  </w:num>
  <w:num w:numId="2" w16cid:durableId="278075531">
    <w:abstractNumId w:val="3"/>
  </w:num>
  <w:num w:numId="3" w16cid:durableId="759060415">
    <w:abstractNumId w:val="4"/>
  </w:num>
  <w:num w:numId="4" w16cid:durableId="702511983">
    <w:abstractNumId w:val="5"/>
  </w:num>
  <w:num w:numId="5" w16cid:durableId="178588088">
    <w:abstractNumId w:val="2"/>
  </w:num>
  <w:num w:numId="6" w16cid:durableId="1425491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948"/>
    <w:rsid w:val="00141C21"/>
    <w:rsid w:val="00146173"/>
    <w:rsid w:val="0015020F"/>
    <w:rsid w:val="001515AD"/>
    <w:rsid w:val="001525EE"/>
    <w:rsid w:val="00161005"/>
    <w:rsid w:val="00165647"/>
    <w:rsid w:val="001A5301"/>
    <w:rsid w:val="001C5750"/>
    <w:rsid w:val="001D4725"/>
    <w:rsid w:val="001E3F4F"/>
    <w:rsid w:val="001E5F79"/>
    <w:rsid w:val="001F149F"/>
    <w:rsid w:val="001F1825"/>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E0B3A"/>
    <w:rsid w:val="002E219B"/>
    <w:rsid w:val="002E3F3F"/>
    <w:rsid w:val="002F3DB8"/>
    <w:rsid w:val="002F563D"/>
    <w:rsid w:val="002F7776"/>
    <w:rsid w:val="002F7D72"/>
    <w:rsid w:val="00300DA1"/>
    <w:rsid w:val="00307DE8"/>
    <w:rsid w:val="00327582"/>
    <w:rsid w:val="00330AF2"/>
    <w:rsid w:val="003318B0"/>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87A21"/>
    <w:rsid w:val="004A06E2"/>
    <w:rsid w:val="004A23A7"/>
    <w:rsid w:val="004B0142"/>
    <w:rsid w:val="004B19B0"/>
    <w:rsid w:val="004B6782"/>
    <w:rsid w:val="004C2F28"/>
    <w:rsid w:val="004C3E7B"/>
    <w:rsid w:val="004C5BA6"/>
    <w:rsid w:val="004C6219"/>
    <w:rsid w:val="004C7F1F"/>
    <w:rsid w:val="004D346F"/>
    <w:rsid w:val="004E3BB2"/>
    <w:rsid w:val="004E7691"/>
    <w:rsid w:val="004F6EB4"/>
    <w:rsid w:val="0050389F"/>
    <w:rsid w:val="00506077"/>
    <w:rsid w:val="005100C2"/>
    <w:rsid w:val="005123D2"/>
    <w:rsid w:val="00512484"/>
    <w:rsid w:val="00514AC5"/>
    <w:rsid w:val="005175C1"/>
    <w:rsid w:val="00523070"/>
    <w:rsid w:val="005245FA"/>
    <w:rsid w:val="00531147"/>
    <w:rsid w:val="0053238C"/>
    <w:rsid w:val="00535314"/>
    <w:rsid w:val="00537BCF"/>
    <w:rsid w:val="00544AC6"/>
    <w:rsid w:val="00547E80"/>
    <w:rsid w:val="00552455"/>
    <w:rsid w:val="00556C78"/>
    <w:rsid w:val="00575431"/>
    <w:rsid w:val="00576DB5"/>
    <w:rsid w:val="00590023"/>
    <w:rsid w:val="00590933"/>
    <w:rsid w:val="005A3F4C"/>
    <w:rsid w:val="005A4BA3"/>
    <w:rsid w:val="005B5A17"/>
    <w:rsid w:val="005B674A"/>
    <w:rsid w:val="005C51F7"/>
    <w:rsid w:val="005C6416"/>
    <w:rsid w:val="005C770F"/>
    <w:rsid w:val="005D20D7"/>
    <w:rsid w:val="005D2153"/>
    <w:rsid w:val="005D2597"/>
    <w:rsid w:val="005D57A7"/>
    <w:rsid w:val="005E1BF2"/>
    <w:rsid w:val="005E3FBA"/>
    <w:rsid w:val="005E5E64"/>
    <w:rsid w:val="005F2A7E"/>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5655"/>
    <w:rsid w:val="006D3471"/>
    <w:rsid w:val="006D6F09"/>
    <w:rsid w:val="006E0585"/>
    <w:rsid w:val="006E213E"/>
    <w:rsid w:val="006E63C3"/>
    <w:rsid w:val="006E63D1"/>
    <w:rsid w:val="006F63F4"/>
    <w:rsid w:val="006F745F"/>
    <w:rsid w:val="00700188"/>
    <w:rsid w:val="00701106"/>
    <w:rsid w:val="007067B2"/>
    <w:rsid w:val="00707168"/>
    <w:rsid w:val="00717EE5"/>
    <w:rsid w:val="00733E55"/>
    <w:rsid w:val="0073637F"/>
    <w:rsid w:val="00745F22"/>
    <w:rsid w:val="007513E1"/>
    <w:rsid w:val="0075342D"/>
    <w:rsid w:val="007563ED"/>
    <w:rsid w:val="00757F8B"/>
    <w:rsid w:val="00760470"/>
    <w:rsid w:val="00762DC2"/>
    <w:rsid w:val="00766990"/>
    <w:rsid w:val="0076763C"/>
    <w:rsid w:val="007762DE"/>
    <w:rsid w:val="007778CD"/>
    <w:rsid w:val="0078085F"/>
    <w:rsid w:val="00794C81"/>
    <w:rsid w:val="007A4F25"/>
    <w:rsid w:val="007A68CC"/>
    <w:rsid w:val="007B483A"/>
    <w:rsid w:val="007C359B"/>
    <w:rsid w:val="007C7FAA"/>
    <w:rsid w:val="007F1332"/>
    <w:rsid w:val="007F3FF1"/>
    <w:rsid w:val="007F5037"/>
    <w:rsid w:val="007F7122"/>
    <w:rsid w:val="007F7E35"/>
    <w:rsid w:val="00803FF2"/>
    <w:rsid w:val="008132DA"/>
    <w:rsid w:val="008174BE"/>
    <w:rsid w:val="00823B54"/>
    <w:rsid w:val="00824505"/>
    <w:rsid w:val="008255C6"/>
    <w:rsid w:val="008263E3"/>
    <w:rsid w:val="0083381B"/>
    <w:rsid w:val="00833E08"/>
    <w:rsid w:val="0084083C"/>
    <w:rsid w:val="00843B6D"/>
    <w:rsid w:val="008461E9"/>
    <w:rsid w:val="00846B21"/>
    <w:rsid w:val="00856B5B"/>
    <w:rsid w:val="008610C9"/>
    <w:rsid w:val="00862CD1"/>
    <w:rsid w:val="0087149B"/>
    <w:rsid w:val="00871AD9"/>
    <w:rsid w:val="00877754"/>
    <w:rsid w:val="008778C4"/>
    <w:rsid w:val="0088544C"/>
    <w:rsid w:val="00886180"/>
    <w:rsid w:val="00892425"/>
    <w:rsid w:val="008A2BDA"/>
    <w:rsid w:val="008A349D"/>
    <w:rsid w:val="008C3302"/>
    <w:rsid w:val="008E0C96"/>
    <w:rsid w:val="008E145A"/>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7D61"/>
    <w:rsid w:val="009D5C66"/>
    <w:rsid w:val="009D7F38"/>
    <w:rsid w:val="009E4E77"/>
    <w:rsid w:val="009F2F1E"/>
    <w:rsid w:val="00A01365"/>
    <w:rsid w:val="00A055E2"/>
    <w:rsid w:val="00A059AA"/>
    <w:rsid w:val="00A066E7"/>
    <w:rsid w:val="00A12A68"/>
    <w:rsid w:val="00A250E3"/>
    <w:rsid w:val="00A4251B"/>
    <w:rsid w:val="00A458DF"/>
    <w:rsid w:val="00A46BC5"/>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722C"/>
    <w:rsid w:val="00AE7A00"/>
    <w:rsid w:val="00AF7C3C"/>
    <w:rsid w:val="00B019BA"/>
    <w:rsid w:val="00B04A0C"/>
    <w:rsid w:val="00B120BC"/>
    <w:rsid w:val="00B1299C"/>
    <w:rsid w:val="00B13840"/>
    <w:rsid w:val="00B13E52"/>
    <w:rsid w:val="00B15E61"/>
    <w:rsid w:val="00B25EBD"/>
    <w:rsid w:val="00B32E48"/>
    <w:rsid w:val="00B332B4"/>
    <w:rsid w:val="00B442E2"/>
    <w:rsid w:val="00B5317F"/>
    <w:rsid w:val="00B623DA"/>
    <w:rsid w:val="00B82286"/>
    <w:rsid w:val="00B822C5"/>
    <w:rsid w:val="00B83F54"/>
    <w:rsid w:val="00B859CD"/>
    <w:rsid w:val="00B87243"/>
    <w:rsid w:val="00B917E0"/>
    <w:rsid w:val="00BA26CD"/>
    <w:rsid w:val="00BB142D"/>
    <w:rsid w:val="00BC1FAB"/>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5CF8"/>
    <w:rsid w:val="00C768F8"/>
    <w:rsid w:val="00C77D95"/>
    <w:rsid w:val="00C910F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050"/>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C7FDB"/>
    <w:rsid w:val="00DE29C9"/>
    <w:rsid w:val="00DE3FF2"/>
    <w:rsid w:val="00DE6AEE"/>
    <w:rsid w:val="00E0079E"/>
    <w:rsid w:val="00E00F5E"/>
    <w:rsid w:val="00E024E8"/>
    <w:rsid w:val="00E0579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455CD"/>
    <w:rsid w:val="00F541B2"/>
    <w:rsid w:val="00F603A0"/>
    <w:rsid w:val="00F67CDF"/>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1111/cen.12644" TargetMode="External"/><Relationship Id="rId2" Type="http://schemas.openxmlformats.org/officeDocument/2006/relationships/hyperlink" Target="https://doi.org/10.3171/2014.11.FOCUS14694" TargetMode="External"/><Relationship Id="rId1" Type="http://schemas.openxmlformats.org/officeDocument/2006/relationships/hyperlink" Target="https://doi-org.proxy.lib.umich.edu/10.1210/jendso/bvab176" TargetMode="External"/><Relationship Id="rId6" Type="http://schemas.openxmlformats.org/officeDocument/2006/relationships/hyperlink" Target="https://pmc.ncbi.nlm.nih.gov/articles/PMC5552413/" TargetMode="External"/><Relationship Id="rId5" Type="http://schemas.openxmlformats.org/officeDocument/2006/relationships/hyperlink" Target="https://pmc.ncbi.nlm.nih.gov/articles/PMC5552413/" TargetMode="External"/><Relationship Id="rId4" Type="http://schemas.openxmlformats.org/officeDocument/2006/relationships/hyperlink" Target="https://doi.org/10.1038/pr.2017.58"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291</TotalTime>
  <Pages>9</Pages>
  <Words>5648</Words>
  <Characters>32197</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107</cp:revision>
  <dcterms:created xsi:type="dcterms:W3CDTF">2025-09-05T13:57:00Z</dcterms:created>
  <dcterms:modified xsi:type="dcterms:W3CDTF">2025-11-10T18:10:00Z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id="7luFiACx"/&gt;&lt;style id="http://www.zotero.org/styles/apa" locale="en-US" hasBibliography="1" bibliographyStyleHasBeenSet="1"/&gt;&lt;prefs&gt;&lt;pref name="fieldType" value="Field"/&gt;&lt;/prefs&gt;&lt;/data&gt;</vt:lpwstr>
  </property>
</Properties>
</file>