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F7464D" w14:textId="725DAD91" w:rsidR="005B674A" w:rsidRDefault="0084083C" w:rsidP="0084083C">
      <w:r>
        <w:t>Treyton Carr, Irit Hochberg, and Dave Bridges</w:t>
      </w:r>
    </w:p>
    <w:p w14:paraId="54A8C49B" w14:textId="77777777" w:rsidR="0084083C" w:rsidRDefault="0084083C" w:rsidP="0084083C"/>
    <w:p w14:paraId="5B079A0E" w14:textId="1D9E2059" w:rsidR="0084083C" w:rsidRDefault="0084083C" w:rsidP="0084083C">
      <w:pPr>
        <w:pStyle w:val="Heading1"/>
      </w:pPr>
      <w:r>
        <w:t>Introduction</w:t>
      </w:r>
    </w:p>
    <w:p w14:paraId="0191F86F" w14:textId="7F74EA56" w:rsidR="001A623C" w:rsidRDefault="001A623C" w:rsidP="001A623C">
      <w:r>
        <w:t>Cushing’s disease is a rare endocrine disorder, with an incidence rate of 1.8-2.5 cases per million people per year</w:t>
      </w:r>
      <w:r w:rsidR="00526CE3">
        <w:t xml:space="preserve"> </w:t>
      </w:r>
      <w:r w:rsidR="00526CE3">
        <w:fldChar w:fldCharType="begin"/>
      </w:r>
      <w:r w:rsidR="00526CE3">
        <w:instrText xml:space="preserve"> ADDIN ZOTERO_ITEM CSL_CITATION {"citationID":"Q0k2p23E","properties":{"formattedCitation":"(Gadelha et al., 2023; Sharma, Susmeeta T. et al., 2015)","plainCitation":"(Gadelha et al., 2023; Sharma, Susmeeta T. et al., 2015)","noteIndex":0},"citationItems":[{"id":27385,"uris":["http://zotero.org/users/7317906/items/943TJHQ8"],"itemData":{"id":27385,"type":"article-journal","abstract":"Endogenous Cushing's syndrome results from excess glucocorticoid secretion, which leads to a myriad of clinical manifestations, comorbidities, and increased mortality despite treatment. Molecular mechanisms and genetic alterations associated with different causes of Cushing's syndrome have been described in the last decade. Imaging modalities and biochemical testing have evolved; however, both the diagnosis and management of Cushing's syndrome remain challenging. Surgery is the preferred treatment for all causes, but medical therapy has markedly advanced, with new drug options becoming available. Nevertheless, several comorbidities remain even after patient remission, which can affect quality of life. Accurate and timely diagnosis and treatment are essential for mitigating chronic complications of excess glucocorticoids and improving patient quality of life. In this Seminar, we aim to update several important aspects of diagnosis, complications, and treatment of endogenous Cushing's syndrome of all causes.","container-title":"The Lancet","DOI":"10.1016/S0140-6736(23)01961-X","ISSN":"0140-6736","issue":"10418","journalAbbreviation":"The Lancet","page":"2237-2252","source":"ScienceDirect","title":"Cushing's syndrome","volume":"402","author":[{"family":"Gadelha","given":"Mônica"},{"family":"Gatto","given":"Federico"},{"family":"Wildemberg","given":"Luiz Eduardo"},{"family":"Fleseriu","given":"Maria"}],"issued":{"date-parts":[["2023",12,9]]},"citation-key":"gadelhaCushingsSyndrome2023"}},{"id":27387,"uris":["http://zotero.org/users/7317906/items/TDFR4SXD"],"itemData":{"id":27387,"type":"article-journal","abstract":"Cushing&amp;#39;s syndrome: epidemiology and developments in disease management Susmeeta T Sharma,1 Lynnette K Nieman,1 Richard A Feelders2 1Program in Reproductive and Adult Endocrinology, Eunice Kennedy Shriver National Institute of Child Health and Human Development, National Institutes of Health, Bethesda, MD, USA; 2Division of Endocrinology, Department of Internal Medicine, Erasmus Medical Center, Rotterdam, the Netherlands  Abstract: Cushing&amp;rsquo;s syndrome is a rare disorder resulting from prolonged exposure to excess glucocorticoids. Early diagnosis and treatment of Cushing&amp;rsquo;s syndrome is associated with a decrease in morbidity and mortality. Clinical presentation can be highly variable, and establishing the diagnosis can often be difficult. Surgery (resection of the pituitary or ectopic source of adrenocorticotropic hormone, or unilateral or bilateral adrenalectomy) remains the optimal treatment in all forms of Cushing&amp;rsquo;s syndrome, but may not always lead to remission. Medical therapy (steroidogenesis inhibitors, agents that decrease adrenocorticotropic hormone levels or glucocorticoid receptor antagonists) and pituitary radiotherapy may be needed as an adjunct. A multidisciplinary approach, long-term follow-up, and treatment modalities customized to each individual are essential for optimal control of hypercortisolemia and management of comorbidities.  Keywords: Cushing&amp;rsquo;s syndrome, hypercortisolemia, treatment, epidemiology","container-title":"Clinical Epidemiology","language":"en","page":"281–293","source":"www.dovepress.com","title":"Cushing's syndrome: epidemiology and developments in disease management","title-short":"Cushing&amp;#39;s syndrome","author":[{"literal":"Sharma, Susmeeta T."},{"family":"Nieman","given":"Lynnette K."},{"family":"Feelders","given":"Richard A."}],"issued":{"date-parts":[["2015"]]},"citation-key":"sharmasusmeetat.CushingsSyndromeEpidemiology2015"}}],"schema":"https://github.com/citation-style-language/schema/raw/master/csl-citation.json"} </w:instrText>
      </w:r>
      <w:r w:rsidR="00526CE3">
        <w:fldChar w:fldCharType="separate"/>
      </w:r>
      <w:r w:rsidR="00526CE3">
        <w:rPr>
          <w:noProof/>
        </w:rPr>
        <w:t>(Gadelha et al., 2023; Sharma, Susmeeta T. et al., 2015)</w:t>
      </w:r>
      <w:r w:rsidR="00526CE3">
        <w:fldChar w:fldCharType="end"/>
      </w:r>
      <w:r w:rsidR="00526CE3">
        <w:t xml:space="preserve">.  </w:t>
      </w:r>
      <w:r w:rsidR="00756DF4">
        <w:t xml:space="preserve">This condition results from excess adrenocorticotropic </w:t>
      </w:r>
      <w:r w:rsidR="003C375C">
        <w:t xml:space="preserve">(ACTH) </w:t>
      </w:r>
      <w:r w:rsidR="00756DF4">
        <w:t xml:space="preserve">hormone secretion </w:t>
      </w:r>
      <w:r w:rsidR="005F5D6B">
        <w:t xml:space="preserve">from the </w:t>
      </w:r>
      <w:r w:rsidR="00756DF4">
        <w:t xml:space="preserve">pituitary gland, leading the adrenal glands to produce excess cortisol. </w:t>
      </w:r>
      <w:r w:rsidR="005F5D6B">
        <w:t>This is often due to the presence of a pituitary adenoma</w:t>
      </w:r>
      <w:r w:rsidR="00526CE3">
        <w:t xml:space="preserve"> </w:t>
      </w:r>
      <w:r w:rsidR="00526CE3">
        <w:fldChar w:fldCharType="begin"/>
      </w:r>
      <w:r w:rsidR="00526CE3">
        <w:instrText xml:space="preserve"> ADDIN ZOTERO_ITEM CSL_CITATION {"citationID":"edWKwbVp","properties":{"formattedCitation":"(Fleseriu et al., 2021)","plainCitation":"(Fleseriu et al., 2021)","noteIndex":0},"citationItems":[{"id":27389,"uris":["http://zotero.org/users/7317906/items/UMD9Q429"],"itemData":{"id":27389,"type":"article-journal","abstract":"Cushing’s disease (CD) requires accurate diagnosis, careful treatment selection, and long-term management to optimize patient outcomes. The Pituitary Society convened a Consensus Workshop comprising more than 50 academic researchers and clinical experts to discuss the application of recent evidence to clinical practice. In advance of the virtual meeting, recent data on screening and diagnosis; surgery, medical and radiation therapy; and disease- and treatment-related complications of CD were critically summarized in recorded lectures that were reviewed by all participants. During the meeting, concise summaries of the recorded lectures were presented, followed by small group breakout discussions. Consensus opinions from each group were collated into a draft document, which was reviewed and approved by all participants. Recommendations regarding use of laboratory tests, imaging, and treatment options are presented, along with algorithms for diagnosis of Cushing’s syndrome and management of CD. Topics considered most important to address in future research are also identified.","container-title":"The lancet. Diabetes &amp; endocrinology","DOI":"10.1016/S2213-8587(21)00235-7","ISSN":"2213-8587","issue":"12","journalAbbreviation":"Lancet Diabetes Endocrinol","note":"PMID: 34687601\nPMCID: PMC8743006","page":"847-875","source":"PubMed Central","title":"Consensus on Diagnosis and Management of Cushing’s Disease: A Guideline Update","title-short":"Consensus on Diagnosis and Management of Cushing’s Disease","volume":"9","author":[{"family":"Fleseriu","given":"Maria"},{"family":"Auchus","given":"Richard"},{"family":"Bancos","given":"Irina"},{"family":"Ben-Shlomo","given":"Anat"},{"family":"Bertherat","given":"Jerome"},{"family":"Biermasz","given":"Nienke R"},{"family":"Boguszewski","given":"Cesar L"},{"family":"Bronstein","given":"Marcello D"},{"family":"Buchfelder","given":"Michael"},{"family":"Carmichael","given":"John D"},{"family":"Casanueva","given":"Felipe F"},{"family":"Castinetti","given":"Frederic"},{"family":"Chanson","given":"Philippe"},{"family":"Findling","given":"James"},{"family":"Gadelha","given":"Mônica"},{"family":"Geer","given":"Eliza B"},{"family":"Giustina","given":"Andrea"},{"family":"Grossman","given":"Ashley"},{"family":"Gurnell","given":"Mark"},{"family":"Ho","given":"Ken"},{"family":"Ioachimescu","given":"Adriana G"},{"family":"Kaiser","given":"Ursula B"},{"family":"Karavitaki","given":"Niki"},{"family":"Katznelson","given":"Laurence"},{"family":"Kelly","given":"Daniel F"},{"family":"Lacroix","given":"André"},{"family":"McCormack","given":"Ann"},{"family":"Melmed","given":"Shlomo"},{"family":"Molitch","given":"Mark"},{"family":"Mortini","given":"Pietro"},{"family":"Newell-Price","given":"John"},{"family":"Nieman","given":"Lynnette"},{"family":"Pereira","given":"Alberto M"},{"family":"Petersenn","given":"Stephan"},{"family":"Pivonello","given":"Rosario"},{"family":"Raff","given":"Hershel"},{"family":"Reincke","given":"Martin"},{"family":"Salvatori","given":"Roberto"},{"family":"Scaroni","given":"Carla"},{"family":"Shimon","given":"Ilan"},{"family":"Stratakis","given":"Constantine A"},{"family":"Swearingen","given":"Brooke"},{"family":"Tabarin","given":"Antoine"},{"family":"Takahashi","given":"Yutaka"},{"family":"Theodoropoulou","given":"Marily"},{"family":"Tsagarakis","given":"Stylianos"},{"family":"Valassi","given":"Elena"},{"family":"Varlamov","given":"Elena V"},{"family":"Vila","given":"Greisa"},{"family":"Wass","given":"John"},{"family":"Webb","given":"Susan M"},{"family":"Zatelli","given":"Maria C"},{"family":"Biller","given":"Beverly M K"}],"issued":{"date-parts":[["2021",12]]},"citation-key":"fleseriuConsensusDiagnosisManagement2021"}}],"schema":"https://github.com/citation-style-language/schema/raw/master/csl-citation.json"} </w:instrText>
      </w:r>
      <w:r w:rsidR="00526CE3">
        <w:fldChar w:fldCharType="separate"/>
      </w:r>
      <w:r w:rsidR="00526CE3">
        <w:rPr>
          <w:noProof/>
        </w:rPr>
        <w:t>(Fleseriu et al., 2021)</w:t>
      </w:r>
      <w:r w:rsidR="00526CE3">
        <w:fldChar w:fldCharType="end"/>
      </w:r>
      <w:r w:rsidR="00526CE3">
        <w:t xml:space="preserve">.  </w:t>
      </w:r>
      <w:r w:rsidR="00756DF4">
        <w:t>Cushing’s disease also occurs far more commonly in women, with a</w:t>
      </w:r>
      <w:r w:rsidR="00526CE3">
        <w:t>n approximate</w:t>
      </w:r>
      <w:r w:rsidR="00756DF4">
        <w:t xml:space="preserve"> female-to-male ratio of 4:1 </w:t>
      </w:r>
      <w:r w:rsidR="008A54E1">
        <w:fldChar w:fldCharType="begin"/>
      </w:r>
      <w:r w:rsidR="008A54E1">
        <w:instrText xml:space="preserve"> ADDIN ZOTERO_ITEM CSL_CITATION {"citationID":"8pJugPrg","properties":{"formattedCitation":"(Gadelha et al., 2023; Zillo et al., 2014)","plainCitation":"(Gadelha et al., 2023; Zillo et al., 2014)","noteIndex":0},"citationItems":[{"id":27385,"uris":["http://zotero.org/users/7317906/items/943TJHQ8"],"itemData":{"id":27385,"type":"article-journal","abstract":"Endogenous Cushing's syndrome results from excess glucocorticoid secretion, which leads to a myriad of clinical manifestations, comorbidities, and increased mortality despite treatment. Molecular mechanisms and genetic alterations associated with different causes of Cushing's syndrome have been described in the last decade. Imaging modalities and biochemical testing have evolved; however, both the diagnosis and management of Cushing's syndrome remain challenging. Surgery is the preferred treatment for all causes, but medical therapy has markedly advanced, with new drug options becoming available. Nevertheless, several comorbidities remain even after patient remission, which can affect quality of life. Accurate and timely diagnosis and treatment are essential for mitigating chronic complications of excess glucocorticoids and improving patient quality of life. In this Seminar, we aim to update several important aspects of diagnosis, complications, and treatment of endogenous Cushing's syndrome of all causes.","container-title":"The Lancet","DOI":"10.1016/S0140-6736(23)01961-X","ISSN":"0140-6736","issue":"10418","journalAbbreviation":"The Lancet","page":"2237-2252","source":"ScienceDirect","title":"Cushing's syndrome","volume":"402","author":[{"family":"Gadelha","given":"Mônica"},{"family":"Gatto","given":"Federico"},{"family":"Wildemberg","given":"Luiz Eduardo"},{"family":"Fleseriu","given":"Maria"}],"issued":{"date-parts":[["2023",12,9]]},"citation-key":"gadelhaCushingsSyndrome2023"}},{"id":27398,"uris":["http://zotero.org/users/7317906/items/FN8C5BU6"],"itemData":{"id":27398,"type":"article-journal","abstract":"Although CD is less frequent in male patients, in this gender, it presents with more florid clinical manifestations and may imply more diagnostic difficulties.","container-title":"Clinical Endocrinology","issue":"3","language":"en","page":"403-10","source":"pubmed-ncbi-nlm-nih-gov.proxy.lib.umich.edu","title":"Diagnosis and complications of Cushing's disease: gender-related differences","title-short":"Diagnosis and complications of Cushing's disease","volume":"80","author":[{"family":"Zillo","given":"M"},{"family":"Barbot","given":"M"},{"family":"Ceccato","given":"F"},{"family":"Camozzi","given":"CamoVzzi"},{"family":"Bilora","given":"F"},{"family":"Casonato","given":"A"},{"family":"Frigo","given":"AC"},{"family":"Albiger","given":"N"},{"family":"Daidone","given":"V"},{"family":"Mazzai","given":"Mazzai"},{"family":"Mantero","given":"F"},{"family":"Scaroni","given":"C"}],"issued":{"date-parts":[["2014"]]},"citation-key":"zilloDiagnosisComplicationsCushings2014"}}],"schema":"https://github.com/citation-style-language/schema/raw/master/csl-citation.json"} </w:instrText>
      </w:r>
      <w:r w:rsidR="008A54E1">
        <w:fldChar w:fldCharType="separate"/>
      </w:r>
      <w:r w:rsidR="008A54E1">
        <w:rPr>
          <w:noProof/>
        </w:rPr>
        <w:t>(Gadelha et al., 2023; Zillo et al., 2014)</w:t>
      </w:r>
      <w:r w:rsidR="008A54E1">
        <w:fldChar w:fldCharType="end"/>
      </w:r>
      <w:r w:rsidR="008A54E1">
        <w:t xml:space="preserve">. </w:t>
      </w:r>
      <w:r w:rsidR="003C375C">
        <w:t xml:space="preserve"> Patients </w:t>
      </w:r>
      <w:r w:rsidR="008A54E1">
        <w:t xml:space="preserve">with Cushing’s disease </w:t>
      </w:r>
      <w:r w:rsidR="003C375C">
        <w:t xml:space="preserve">often experience </w:t>
      </w:r>
      <w:r w:rsidR="00E90D91">
        <w:t>hypertension</w:t>
      </w:r>
      <w:r w:rsidR="003C375C">
        <w:t>,</w:t>
      </w:r>
      <w:r w:rsidR="00E90D91">
        <w:t xml:space="preserve"> myocardial infractions,</w:t>
      </w:r>
      <w:r w:rsidR="003C375C">
        <w:t xml:space="preserve"> </w:t>
      </w:r>
      <w:r w:rsidR="00606297">
        <w:t>MASLD</w:t>
      </w:r>
      <w:r w:rsidR="003C375C">
        <w:t xml:space="preserve">, weight gain, and hyperglycemia </w:t>
      </w:r>
      <w:r w:rsidR="008A54E1">
        <w:fldChar w:fldCharType="begin"/>
      </w:r>
      <w:r w:rsidR="0074215A">
        <w:instrText xml:space="preserve"> ADDIN ZOTERO_ITEM CSL_CITATION {"citationID":"rmXVU7rv","properties":{"formattedCitation":"(Braun et al., 2019; DeFronzo &amp; Auchus, 2025; Giordano et al., 2011)","plainCitation":"(Braun et al., 2019; DeFronzo &amp; Auchus, 2025; Giordano et al., 2011)","noteIndex":0},"citationItems":[{"id":27407,"uris":["http://zotero.org/users/7317906/items/T3P5KXQY"],"itemData":{"id":27407,"type":"article-journal","abstract":"Cushing's syndrome (CS) is a classical rare disease: it is often suspected in patients who do not have the disease; at the same time, it takes a mean of 3 years to diagnose CS in affected individuals. The main reason is the extreme rarity (1–3/million/year) in combination with the lack of a single lead symptom. CS has to be suspected when a combination of signs and symptoms is present, which together make up the characteristic phenotype of cortisol excess. Unusual fat distribution affecting the face, neck, and trunk; skin changes including plethora, acne, hirsutism, livid striae, and easy bruising; and signs of protein catabolism such as thinned and vulnerable skin, osteoporotic fractures, and proximal myopathy indicate the need for biochemical screening for CS. In contrast, common symptoms like hypertension, weight gain, or diabetes also occur quite frequently in the general population and per se do not justify biochemical testing. First-line screening tests include urinary free cortisol excretion, dexamethasone suppression testing, and late-night salivary cortisol measurements. All three tests have overall reasonable sensitivity and specificity, and first-line testing should be selected on the basis of the physiologic conditions of the patient, drug intake, and available laboratory quality control measures. Two normal test results usually exclude the presence of CS. Other tests and laboratory parameters like the high-dose dexamethasone suppression test, plasma ACTH, the CRH test, and the bilateral inferior petrosal sinus sampling are not part of the initial biochemical screening. As a general rule, biochemical screening should only be performed if the pre-test probability for CS is reasonably high. This article provides an overview about the current standard in the diagnosis of CS starting with clinical scores and screenings, the clinical signs, relevant differential diagnoses, the first-line biochemical screening, and ending with a few exceptional cases.","container-title":"Frontiers in Endocrinology","DOI":"10.3389/fendo.2019.00766","ISSN":"1664-2392","journalAbbreviation":"Front Endocrinol (Lausanne)","note":"PMID: 31787931\nPMCID: PMC6856055","page":"766","source":"PubMed Central","title":"Toward a Diagnostic Score in Cushing's Syndrome","volume":"10","author":[{"family":"Braun","given":"Leah T."},{"family":"Riester","given":"Anna"},{"family":"Oßwald-Kopp","given":"Andrea"},{"family":"Fazel","given":"Julia"},{"family":"Rubinstein","given":"German"},{"family":"Bidlingmaier","given":"Martin"},{"family":"Beuschlein","given":"Felix"},{"family":"Reincke","given":"Martin"}],"issued":{"date-parts":[["2019",11,8]]},"citation-key":"braunDiagnosticScoreCushings2019"}},{"id":27412,"uris":["http://zotero.org/users/7317906/items/3KUT7EVD"],"itemData":{"id":27412,"type":"article-journal","abstract":"Until recently, the prevalence of endogenous Cushing syndrome has been considered to be low. However, improved diagnostic strategies and increased awareness have broadened our understanding of hypercortisolism and its role in the pathophysiology of type 2 diabetes, obesity, hypertension, and cardiovascular disease. Recent studies from Europe, South America, and the U.S. have demonstrated that a significant percentage of individuals with difficult-to-control type 2 diabetes, despite treatment with multiple glucose-lowering agents, have hypercortisolism as a causative factor in their poorly managed diabetes. In this review, we examine the pathophysiologic mechanisms via which excess cortisol contributes to the impairment in glucose homeostasis and recommend that hypercortisolism be added to the Ominous Octet to form the Noxious Nine as the pathophysiologic foundation for the development of type 2 diabetes.","container-title":"Diabetes","DOI":"10.2337/db25-0120","ISSN":"0012-1797","issue":"12","journalAbbreviation":"Diabetes","note":"PMID: 40663715\nPMCID: PMC12645169","page":"2168-2178","source":"PubMed Central","title":"Cushing Syndrome, Hypercortisolism, and Glucose Homeostasis: A Review","title-short":"Cushing Syndrome, Hypercortisolism, and Glucose Homeostasis","volume":"74","author":[{"family":"DeFronzo","given":"Ralph A."},{"family":"Auchus","given":"Richard J."}],"issued":{"date-parts":[["2025",7,15]]},"citation-key":"defronzoCushingSyndromeHypercortisolism2025"}},{"id":27402,"uris":["http://zotero.org/users/7317906/items/VUQD2ZQG"],"itemData":{"id":27402,"type":"article-journal","abstract":"Objective Cushing’s syndrome is associated with several comorbidities responsible for the increased cardiovascular risk, not only during the active phase but also after disease remission. Design In 29 patients with Cushing’s syndrome (14 Cushing’s diseases and 15 adrenal adenomas), waist circumference, fasting and 2-h glucose after oral glucose tolerance test (OGTT), lipid profile and blood pressure were evaluated during the active disease and 1 year after remission and compared with those in 29 sex-, age- and BMI-matched controls. Results During the active disease, waist circumference, 2-h glucose after OGTT, total and LDL cholesterol were higher in patients with Cushing’s syndrome than in controls (P &lt; 0·001) but similar in Cushing’s disease and adrenal adenomas. The prevalence of impaired glucose tolerance (IGT), diabetes mellitus, dyslipidaemia and hypertension was higher (P &lt; 0·001) in patients with Cushing’s syndrome (27%, 24%, 59% and 72%) than in controls (10%, 0%, 21% and 10%), with no significant difference between Cushing’s disease and adrenal adenomas. One year following hormonal remission, waist circumference persisted higher than in controls (P &lt; 0·05) in both Cushing’s disease and adrenal adenomas. Metabolic and cardiovascular abnormalities were still present in both groups, although with a lower prevalence, as well as with a more marked decrease in adrenal adenomas (P &lt; 0·05 vs active disease for IGT, dyslipidaemia and hypertension). Conclusions These results show that chronic hypercortisolism, independently of its aetiology, contributes to metabolic impairment and increased cardiovascular risk, while these abnormalities mostly persist in patients with previous Cushing’s disease after hormonal remission. Pituitary hormonal deficiencies, hormonal replacement treatments and/or incomplete cure from Cushing’s disease may account for these findings.","container-title":"Clinical Endocrinology","DOI":"10.1111/j.1365-2265.2011.04055.x","ISSN":"1365-2265","issue":"3","language":"en","license":"© 2011 Blackwell Publishing Ltd","note":"_eprint: https://onlinelibrary.wiley.com/doi/pdf/10.1111/j.1365-2265.2011.04055.x","page":"354-360","source":"Wiley Online Library","title":"Metabolic and cardiovascular outcomes in patients with Cushing’s syndrome of different aetiologies during active disease and 1 year after remission","volume":"75","author":[{"family":"Giordano","given":"Roberta"},{"family":"Picu","given":"Andreea"},{"family":"Marinazzo","given":"Elisa"},{"family":"D’Angelo","given":"Valentina"},{"family":"Berardelli","given":"Rita"},{"family":"Karamouzis","given":"Ioannis"},{"family":"Forno","given":"Daniela"},{"family":"Zinnà","given":"Domenico"},{"family":"Maccario","given":"Mauro"},{"family":"Ghigo","given":"Ezio"},{"family":"Arvat","given":"Emanuela"}],"issued":{"date-parts":[["2011"]]},"citation-key":"giordanoMetabolicCardiovascularOutcomes2011"}}],"schema":"https://github.com/citation-style-language/schema/raw/master/csl-citation.json"} </w:instrText>
      </w:r>
      <w:r w:rsidR="008A54E1">
        <w:fldChar w:fldCharType="separate"/>
      </w:r>
      <w:r w:rsidR="0074215A">
        <w:rPr>
          <w:noProof/>
        </w:rPr>
        <w:t>(Braun et al., 2019; DeFronzo &amp; Auchus, 2025; Giordano et al., 2011)</w:t>
      </w:r>
      <w:r w:rsidR="008A54E1">
        <w:fldChar w:fldCharType="end"/>
      </w:r>
      <w:r w:rsidR="008A54E1">
        <w:t>.</w:t>
      </w:r>
      <w:r w:rsidR="004056E9">
        <w:t xml:space="preserve"> </w:t>
      </w:r>
    </w:p>
    <w:p w14:paraId="796C206B" w14:textId="43F3A8B7" w:rsidR="004056E9" w:rsidRDefault="004056E9" w:rsidP="001A623C">
      <w:r>
        <w:t xml:space="preserve">Weight gain, and obesity, are classic clinical manifestations of Cushing’s disease </w:t>
      </w:r>
      <w:r w:rsidR="008A54E1">
        <w:fldChar w:fldCharType="begin"/>
      </w:r>
      <w:r w:rsidR="008A54E1">
        <w:instrText xml:space="preserve"> ADDIN ZOTERO_ITEM CSL_CITATION {"citationID":"3e07jI8Y","properties":{"formattedCitation":"(Giordano et al., 2011; Nieman, 2002)","plainCitation":"(Giordano et al., 2011; Nieman, 2002)","noteIndex":0},"citationItems":[{"id":27402,"uris":["http://zotero.org/users/7317906/items/VUQD2ZQG"],"itemData":{"id":27402,"type":"article-journal","abstract":"Objective Cushing’s syndrome is associated with several comorbidities responsible for the increased cardiovascular risk, not only during the active phase but also after disease remission. Design In 29 patients with Cushing’s syndrome (14 Cushing’s diseases and 15 adrenal adenomas), waist circumference, fasting and 2-h glucose after oral glucose tolerance test (OGTT), lipid profile and blood pressure were evaluated during the active disease and 1 year after remission and compared with those in 29 sex-, age- and BMI-matched controls. Results During the active disease, waist circumference, 2-h glucose after OGTT, total and LDL cholesterol were higher in patients with Cushing’s syndrome than in controls (P &lt; 0·001) but similar in Cushing’s disease and adrenal adenomas. The prevalence of impaired glucose tolerance (IGT), diabetes mellitus, dyslipidaemia and hypertension was higher (P &lt; 0·001) in patients with Cushing’s syndrome (27%, 24%, 59% and 72%) than in controls (10%, 0%, 21% and 10%), with no significant difference between Cushing’s disease and adrenal adenomas. One year following hormonal remission, waist circumference persisted higher than in controls (P &lt; 0·05) in both Cushing’s disease and adrenal adenomas. Metabolic and cardiovascular abnormalities were still present in both groups, although with a lower prevalence, as well as with a more marked decrease in adrenal adenomas (P &lt; 0·05 vs active disease for IGT, dyslipidaemia and hypertension). Conclusions These results show that chronic hypercortisolism, independently of its aetiology, contributes to metabolic impairment and increased cardiovascular risk, while these abnormalities mostly persist in patients with previous Cushing’s disease after hormonal remission. Pituitary hormonal deficiencies, hormonal replacement treatments and/or incomplete cure from Cushing’s disease may account for these findings.","container-title":"Clinical Endocrinology","DOI":"10.1111/j.1365-2265.2011.04055.x","ISSN":"1365-2265","issue":"3","language":"en","license":"© 2011 Blackwell Publishing Ltd","note":"_eprint: https://onlinelibrary.wiley.com/doi/pdf/10.1111/j.1365-2265.2011.04055.x","page":"354-360","source":"Wiley Online Library","title":"Metabolic and cardiovascular outcomes in patients with Cushing’s syndrome of different aetiologies during active disease and 1 year after remission","volume":"75","author":[{"family":"Giordano","given":"Roberta"},{"family":"Picu","given":"Andreea"},{"family":"Marinazzo","given":"Elisa"},{"family":"D’Angelo","given":"Valentina"},{"family":"Berardelli","given":"Rita"},{"family":"Karamouzis","given":"Ioannis"},{"family":"Forno","given":"Daniela"},{"family":"Zinnà","given":"Domenico"},{"family":"Maccario","given":"Mauro"},{"family":"Ghigo","given":"Ezio"},{"family":"Arvat","given":"Emanuela"}],"issued":{"date-parts":[["2011"]]},"citation-key":"giordanoMetabolicCardiovascularOutcomes2011"}},{"id":27410,"uris":["http://zotero.org/users/7317906/items/HGJSN792"],"itemData":{"id":27410,"type":"article-journal","abstract":"Abstract: The diagnosis of Cushing's syndrome rests on the demonstration of clinical features and biochemical abnormalities that reflect hypercortisolism. If a patient presents with typical clinical features such as weight gain with truncal obesity and supraclavicular fat deposition, wide purple striae, and proximal muscle weakness, the diagnosis is clear-cut and is nearly always substantiated by a 24-hour urine free cortisol excretion value more than four times the normal level. However, many patients present with signs and symptoms that are common in the general population, such as hypertension, generalized weight gain, reproductive abnormalities, and depression. Many of these patients have normal cortisol excretion and do not have Cushing's syndrome. Others have mild hypercortisolism caused by psychiatric disorders, obligate exercise, morbid obesity, sleep apnea, or uncontrolled diabetes mellitus. These patients may be confused with those with the true Cushing's syndrome, and thus are considered to have a “pseudo-Cushing” state. Additional observation over time, and testing with midnight cortisol measurements, the 2-day-2-mg dexamethasone suppression test, or the dexamethasone suppression-CRH stimulation test may be useful to identify true Cushing's syndrome in these patients.","container-title":"Annals of the New York Academy of Sciences","DOI":"10.1111/j.1749-6632.2002.tb04417.x","ISSN":"1749-6632","issue":"1","language":"en","note":"_eprint: https://nyaspubs.onlinelibrary.wiley.com/doi/pdf/10.1111/j.1749-6632.2002.tb04417.x","page":"112-118","source":"Wiley Online Library","title":"Diagnostic Tests for Cushing's Syndrome","volume":"970","author":[{"family":"Nieman","given":"Lynnette K."}],"issued":{"date-parts":[["2002"]]},"citation-key":"niemanDiagnosticTestsCushings2002"}}],"schema":"https://github.com/citation-style-language/schema/raw/master/csl-citation.json"} </w:instrText>
      </w:r>
      <w:r w:rsidR="008A54E1">
        <w:fldChar w:fldCharType="separate"/>
      </w:r>
      <w:r w:rsidR="008A54E1">
        <w:rPr>
          <w:noProof/>
        </w:rPr>
        <w:t>(Giordano et al., 2011; Nieman, 2002)</w:t>
      </w:r>
      <w:r w:rsidR="008A54E1">
        <w:fldChar w:fldCharType="end"/>
      </w:r>
      <w:r w:rsidR="008A54E1">
        <w:t>.</w:t>
      </w:r>
      <w:r w:rsidR="009B6B1E">
        <w:t xml:space="preserve"> </w:t>
      </w:r>
      <w:r w:rsidR="00820009">
        <w:t xml:space="preserve">Approximately </w:t>
      </w:r>
      <w:r w:rsidR="002D773C">
        <w:t>70-95% of patients experience</w:t>
      </w:r>
      <w:r w:rsidR="00820009">
        <w:t xml:space="preserve"> </w:t>
      </w:r>
      <w:r w:rsidR="002D773C">
        <w:t>weight gain, 21-48% of patients became overweight, and 32-41% of patients bec</w:t>
      </w:r>
      <w:r w:rsidR="00820009">
        <w:t>o</w:t>
      </w:r>
      <w:r w:rsidR="002D773C">
        <w:t xml:space="preserve">me obese </w:t>
      </w:r>
      <w:r w:rsidR="008A54E1">
        <w:fldChar w:fldCharType="begin"/>
      </w:r>
      <w:r w:rsidR="008A54E1">
        <w:instrText xml:space="preserve"> ADDIN ZOTERO_ITEM CSL_CITATION {"citationID":"A8yXXs5g","properties":{"formattedCitation":"(Braun et al., 2019)","plainCitation":"(Braun et al., 2019)","noteIndex":0},"citationItems":[{"id":27407,"uris":["http://zotero.org/users/7317906/items/T3P5KXQY"],"itemData":{"id":27407,"type":"article-journal","abstract":"Cushing's syndrome (CS) is a classical rare disease: it is often suspected in patients who do not have the disease; at the same time, it takes a mean of 3 years to diagnose CS in affected individuals. The main reason is the extreme rarity (1–3/million/year) in combination with the lack of a single lead symptom. CS has to be suspected when a combination of signs and symptoms is present, which together make up the characteristic phenotype of cortisol excess. Unusual fat distribution affecting the face, neck, and trunk; skin changes including plethora, acne, hirsutism, livid striae, and easy bruising; and signs of protein catabolism such as thinned and vulnerable skin, osteoporotic fractures, and proximal myopathy indicate the need for biochemical screening for CS. In contrast, common symptoms like hypertension, weight gain, or diabetes also occur quite frequently in the general population and per se do not justify biochemical testing. First-line screening tests include urinary free cortisol excretion, dexamethasone suppression testing, and late-night salivary cortisol measurements. All three tests have overall reasonable sensitivity and specificity, and first-line testing should be selected on the basis of the physiologic conditions of the patient, drug intake, and available laboratory quality control measures. Two normal test results usually exclude the presence of CS. Other tests and laboratory parameters like the high-dose dexamethasone suppression test, plasma ACTH, the CRH test, and the bilateral inferior petrosal sinus sampling are not part of the initial biochemical screening. As a general rule, biochemical screening should only be performed if the pre-test probability for CS is reasonably high. This article provides an overview about the current standard in the diagnosis of CS starting with clinical scores and screenings, the clinical signs, relevant differential diagnoses, the first-line biochemical screening, and ending with a few exceptional cases.","container-title":"Frontiers in Endocrinology","DOI":"10.3389/fendo.2019.00766","ISSN":"1664-2392","journalAbbreviation":"Front Endocrinol (Lausanne)","note":"PMID: 31787931\nPMCID: PMC6856055","page":"766","source":"PubMed Central","title":"Toward a Diagnostic Score in Cushing's Syndrome","volume":"10","author":[{"family":"Braun","given":"Leah T."},{"family":"Riester","given":"Anna"},{"family":"Oßwald-Kopp","given":"Andrea"},{"family":"Fazel","given":"Julia"},{"family":"Rubinstein","given":"German"},{"family":"Bidlingmaier","given":"Martin"},{"family":"Beuschlein","given":"Felix"},{"family":"Reincke","given":"Martin"}],"issued":{"date-parts":[["2019",11,8]]},"citation-key":"braunDiagnosticScoreCushings2019"}}],"schema":"https://github.com/citation-style-language/schema/raw/master/csl-citation.json"} </w:instrText>
      </w:r>
      <w:r w:rsidR="008A54E1">
        <w:fldChar w:fldCharType="separate"/>
      </w:r>
      <w:r w:rsidR="008A54E1">
        <w:rPr>
          <w:noProof/>
        </w:rPr>
        <w:t>(Braun et al., 2019)</w:t>
      </w:r>
      <w:r w:rsidR="008A54E1">
        <w:fldChar w:fldCharType="end"/>
      </w:r>
      <w:r w:rsidR="002D773C">
        <w:t xml:space="preserve">. </w:t>
      </w:r>
      <w:r w:rsidR="00606297">
        <w:t xml:space="preserve">Obesity is also a leading cause of several of the Cushing’s </w:t>
      </w:r>
      <w:r w:rsidR="002F6AFF">
        <w:t>related</w:t>
      </w:r>
      <w:r w:rsidR="00606297">
        <w:t xml:space="preserve"> complications.  As such</w:t>
      </w:r>
      <w:r w:rsidR="00820009">
        <w:t>,</w:t>
      </w:r>
      <w:r w:rsidR="00606297">
        <w:t xml:space="preserve"> i</w:t>
      </w:r>
      <w:r>
        <w:t xml:space="preserve">t is difficult to discern </w:t>
      </w:r>
      <w:r w:rsidR="009B6B1E">
        <w:t xml:space="preserve">the obesity-independent from the obesity-dependent </w:t>
      </w:r>
      <w:r w:rsidR="00606297">
        <w:t>pathophysiology</w:t>
      </w:r>
      <w:r w:rsidR="009B6B1E">
        <w:t xml:space="preserve"> of Cushing’s disease. </w:t>
      </w:r>
      <w:r w:rsidR="002D773C">
        <w:t xml:space="preserve">To address this gap, </w:t>
      </w:r>
      <w:r w:rsidR="00606297">
        <w:t>we performed a</w:t>
      </w:r>
      <w:r w:rsidR="002D773C">
        <w:t xml:space="preserve"> retrospective</w:t>
      </w:r>
      <w:r w:rsidR="00606297">
        <w:t>,</w:t>
      </w:r>
      <w:r w:rsidR="002D773C">
        <w:t xml:space="preserve"> case-control study</w:t>
      </w:r>
      <w:r w:rsidR="00606297">
        <w:t xml:space="preserve"> from electronic medical records.  We</w:t>
      </w:r>
      <w:r w:rsidR="002D773C">
        <w:t xml:space="preserve"> </w:t>
      </w:r>
      <w:r w:rsidR="005F5D6B">
        <w:t xml:space="preserve">examined how obesity status modified the effects of Cushing’s disease </w:t>
      </w:r>
      <w:r w:rsidR="00606297">
        <w:t>by evaluating</w:t>
      </w:r>
      <w:r w:rsidR="005F5D6B">
        <w:t xml:space="preserve"> Cushing’s </w:t>
      </w:r>
      <w:r w:rsidR="00606297">
        <w:t>patients and matched controls with and without obesity</w:t>
      </w:r>
      <w:r w:rsidR="005F5D6B">
        <w:t>.</w:t>
      </w:r>
    </w:p>
    <w:p w14:paraId="2172536D" w14:textId="77777777" w:rsidR="0084083C" w:rsidRDefault="0084083C" w:rsidP="0084083C"/>
    <w:p w14:paraId="44339A00" w14:textId="5DEFC8CD" w:rsidR="00B859CD" w:rsidRDefault="00B859CD" w:rsidP="00EB133A">
      <w:pPr>
        <w:pStyle w:val="Heading1"/>
      </w:pPr>
      <w:r>
        <w:t>Methods</w:t>
      </w:r>
    </w:p>
    <w:p w14:paraId="7FA34512" w14:textId="34641901" w:rsidR="00B859CD" w:rsidRPr="00820009" w:rsidRDefault="00B859CD" w:rsidP="00B859CD">
      <w:pPr>
        <w:rPr>
          <w:b/>
          <w:bCs/>
        </w:rPr>
      </w:pPr>
      <w:r w:rsidRPr="00B859CD">
        <w:rPr>
          <w:b/>
          <w:bCs/>
        </w:rPr>
        <w:t>Study Participants</w:t>
      </w:r>
      <w:r>
        <w:rPr>
          <w:b/>
          <w:bCs/>
        </w:rPr>
        <w:t xml:space="preserve">. </w:t>
      </w:r>
      <w:r>
        <w:t xml:space="preserve">This study was reviewed by the University of Michigan </w:t>
      </w:r>
      <w:r w:rsidR="00445280">
        <w:t>Institutional</w:t>
      </w:r>
      <w:r>
        <w:t xml:space="preserve"> Review Board (</w:t>
      </w:r>
      <w:r w:rsidR="00445280" w:rsidRPr="00445280">
        <w:t>HUM00247814</w:t>
      </w:r>
      <w:r w:rsidR="00445280">
        <w:t xml:space="preserve">) </w:t>
      </w:r>
      <w:r>
        <w:t xml:space="preserve">and </w:t>
      </w:r>
      <w:r w:rsidR="00445280">
        <w:t>adjudicated as not regulated.</w:t>
      </w:r>
      <w:r w:rsidR="00820009">
        <w:rPr>
          <w:b/>
          <w:bCs/>
        </w:rPr>
        <w:t xml:space="preserve">  </w:t>
      </w:r>
      <w:r>
        <w:t xml:space="preserve">To identify patients with Cushing’s disease, we evaluated electronic health records </w:t>
      </w:r>
      <w:r w:rsidR="00575431">
        <w:t>for participants at</w:t>
      </w:r>
      <w:r>
        <w:t xml:space="preserve"> Michigan Medicine dating back to January 1, 2000, searching for diagnoses of Cushing’s disease </w:t>
      </w:r>
      <w:r w:rsidR="001F22CD">
        <w:t>(</w:t>
      </w:r>
      <w:r>
        <w:t xml:space="preserve">including ICD Codes </w:t>
      </w:r>
      <w:r w:rsidR="00995BC6">
        <w:t xml:space="preserve">E24.0, </w:t>
      </w:r>
      <w:r w:rsidR="001F22CD">
        <w:t xml:space="preserve">and </w:t>
      </w:r>
      <w:r w:rsidR="00995BC6">
        <w:t>255.0</w:t>
      </w:r>
      <w:r>
        <w:t>)</w:t>
      </w:r>
      <w:r w:rsidR="004561B8">
        <w:t xml:space="preserve">.  </w:t>
      </w:r>
      <w:r w:rsidR="00E16C92">
        <w:t xml:space="preserve"> </w:t>
      </w:r>
      <w:r w:rsidR="004561B8">
        <w:t>To identify when patients were treated</w:t>
      </w:r>
      <w:r w:rsidR="000C0BDB">
        <w:t xml:space="preserve"> via surgery,</w:t>
      </w:r>
      <w:r w:rsidR="004561B8">
        <w:t xml:space="preserve"> we included procedure codes </w:t>
      </w:r>
      <w:commentRangeStart w:id="0"/>
      <w:r w:rsidR="004561B8">
        <w:t>YYY</w:t>
      </w:r>
      <w:commentRangeEnd w:id="0"/>
      <w:r w:rsidR="001F22CD">
        <w:rPr>
          <w:rStyle w:val="CommentReference"/>
          <w:sz w:val="24"/>
          <w:szCs w:val="24"/>
        </w:rPr>
        <w:commentReference w:id="0"/>
      </w:r>
      <w:r w:rsidR="004561B8">
        <w:t>.</w:t>
      </w:r>
      <w:r w:rsidR="004B0142">
        <w:t xml:space="preserve">  We excluded participants if they </w:t>
      </w:r>
      <w:r w:rsidR="00995BC6">
        <w:t>did not have a Cushing’s disease diagnosis, treatment date, lab history, or relevant demographic data documented.</w:t>
      </w:r>
      <w:r w:rsidR="00927FED">
        <w:t xml:space="preserve"> Race and ethnicity were self-reported, with groups of &lt;10 aggregated into the other category.</w:t>
      </w:r>
      <w:r w:rsidR="003318B0">
        <w:t xml:space="preserve"> </w:t>
      </w:r>
    </w:p>
    <w:p w14:paraId="3EB20B21" w14:textId="04065587" w:rsidR="004B0142" w:rsidRDefault="00E2062D" w:rsidP="004B0142">
      <w:r>
        <w:lastRenderedPageBreak/>
        <w:t xml:space="preserve">To identify controls, </w:t>
      </w:r>
      <w:r w:rsidR="007A4F25">
        <w:t>we used</w:t>
      </w:r>
      <w:r w:rsidR="004B0142">
        <w:t xml:space="preserve"> the </w:t>
      </w:r>
      <w:r w:rsidR="007A4F25">
        <w:t xml:space="preserve"> MatchIt </w:t>
      </w:r>
      <w:r w:rsidR="004B0142">
        <w:t xml:space="preserve">package </w:t>
      </w:r>
      <w:r w:rsidR="007A4F25">
        <w:t xml:space="preserve">(version </w:t>
      </w:r>
      <w:r w:rsidR="00AB7571">
        <w:t xml:space="preserve">4.7.1; </w:t>
      </w:r>
      <w:r w:rsidR="00AB7571">
        <w:fldChar w:fldCharType="begin"/>
      </w:r>
      <w:r w:rsidR="00AB7571">
        <w:instrText xml:space="preserve"> ADDIN ZOTERO_ITEM CSL_CITATION {"citationID":"Pl5Gc3F1","properties":{"formattedCitation":"(Ho et al., 2011)","plainCitation":"(Ho et al., 2011)","noteIndex":0},"citationItems":[{"id":12196,"uris":["http://zotero.org/users/7317906/items/H5CAAL6F"],"itemData":{"id":12196,"type":"article-journal","abstract":"MatchIt implements the suggestions of Ho, Imai, King, and Stuart (2007) for improving parametric statistical models by preprocessing data with nonparametric matching methods. MatchIt implements a wide range of sophisticated matching methods, making it possible to greatly reduce the dependence of causal inferences on hard-to-justify, but commonly made, statistical modeling assumptions. The software also easily fits into existing research practices since, after preprocessing data with MatchIt, researchers can use whatever parametric model they would have used without MatchIt, but produce inferences with substantially more robustness and less sensitivity to modeling assumptions. MatchIt is an R program, and also works seamlessly with Zelig.","container-title":"Journal of Statistical Software","DOI":"10.18637/jss.v042.i08","ISSN":"1548-7660","language":"en","license":"Copyright (c) 2006 Daniel Ho, Kosuke Imai, Gary King, Elizabeth A. Stuart","page":"1-28","source":"www.jstatsoft.org","title":"MatchIt: Nonparametric Preprocessing for Parametric Causal Inference","title-short":"MatchIt","volume":"42","author":[{"family":"Ho","given":"Daniel"},{"family":"Imai","given":"Kosuke"},{"family":"King","given":"Gary"},{"family":"Stuart","given":"Elizabeth A."}],"issued":{"date-parts":[["2011",6,14]]},"citation-key":"hoMatchItNonparametricPreprocessing2011"}}],"schema":"https://github.com/citation-style-language/schema/raw/master/csl-citation.json"} </w:instrText>
      </w:r>
      <w:r w:rsidR="00AB7571">
        <w:fldChar w:fldCharType="separate"/>
      </w:r>
      <w:r w:rsidR="00AB7571">
        <w:rPr>
          <w:noProof/>
        </w:rPr>
        <w:t>(Ho et al., 2011)</w:t>
      </w:r>
      <w:r w:rsidR="00AB7571">
        <w:fldChar w:fldCharType="end"/>
      </w:r>
      <w:r w:rsidR="007A4F25">
        <w:t>)</w:t>
      </w:r>
      <w:r w:rsidR="004B0142">
        <w:t>. F</w:t>
      </w:r>
      <w:r>
        <w:t xml:space="preserve">or </w:t>
      </w:r>
      <w:r w:rsidR="007A4F25" w:rsidRPr="007A4F25">
        <w:t xml:space="preserve">each outcome we identified all Cushing’s cases </w:t>
      </w:r>
      <w:r w:rsidR="004B0142">
        <w:t xml:space="preserve">with that measurement </w:t>
      </w:r>
      <w:r w:rsidR="007A4F25" w:rsidRPr="007A4F25">
        <w:t xml:space="preserve">and potential controls with that measurement available. </w:t>
      </w:r>
      <w:r w:rsidR="002F7776">
        <w:t>For Cushing’s cases to be included they had to have had the laboratory measure</w:t>
      </w:r>
      <w:r w:rsidR="000C0BDB">
        <w:t>d</w:t>
      </w:r>
      <w:r w:rsidR="002F7776">
        <w:t xml:space="preserve"> </w:t>
      </w:r>
      <w:r w:rsidR="004F037F">
        <w:t>within a year</w:t>
      </w:r>
      <w:r w:rsidR="0053238C">
        <w:t xml:space="preserve"> </w:t>
      </w:r>
      <w:r w:rsidR="002F7776">
        <w:t>prior to surgical treatment</w:t>
      </w:r>
      <w:r w:rsidR="00590F5F">
        <w:t>, taking the most recent value</w:t>
      </w:r>
      <w:r w:rsidR="002F7776">
        <w:t xml:space="preserve">.  </w:t>
      </w:r>
      <w:r w:rsidR="007A4F25" w:rsidRPr="007A4F25">
        <w:t>We performed nearest</w:t>
      </w:r>
      <w:r w:rsidR="007A4F25" w:rsidRPr="007A4F25">
        <w:rPr>
          <w:rFonts w:ascii="Cambria Math" w:hAnsi="Cambria Math" w:cs="Cambria Math"/>
        </w:rPr>
        <w:t>‐</w:t>
      </w:r>
      <w:r w:rsidR="007A4F25" w:rsidRPr="007A4F25">
        <w:t xml:space="preserve">neighbor propensity score matching (ratio = </w:t>
      </w:r>
      <w:r w:rsidR="007A4F25">
        <w:t>10:1</w:t>
      </w:r>
      <w:r w:rsidR="007A4F25" w:rsidRPr="007A4F25">
        <w:t xml:space="preserve">) with age in the </w:t>
      </w:r>
      <w:r w:rsidR="007A4F25">
        <w:t>propensity score</w:t>
      </w:r>
      <w:r w:rsidR="007A4F25" w:rsidRPr="007A4F25">
        <w:t xml:space="preserve"> model and exact matching on gender and race/ethnicity</w:t>
      </w:r>
      <w:r w:rsidR="000655A6">
        <w:t xml:space="preserve"> from a pool of </w:t>
      </w:r>
      <w:r w:rsidR="004F037F">
        <w:t>98,436</w:t>
      </w:r>
      <w:r w:rsidR="00EA0B24">
        <w:t xml:space="preserve"> </w:t>
      </w:r>
      <w:r w:rsidR="000655A6">
        <w:t>Michigan Medicine patients</w:t>
      </w:r>
      <w:r w:rsidR="007A4F25" w:rsidRPr="007A4F25">
        <w:t xml:space="preserve">. This procedure was repeated separately for each outcome </w:t>
      </w:r>
      <w:r w:rsidR="007A4F25">
        <w:t xml:space="preserve">as our </w:t>
      </w:r>
      <w:r w:rsidR="007A4F25" w:rsidRPr="007A4F25">
        <w:t>primary analys</w:t>
      </w:r>
      <w:r w:rsidR="007A4F25">
        <w:t>e</w:t>
      </w:r>
      <w:r w:rsidR="007A4F25" w:rsidRPr="007A4F25">
        <w:t xml:space="preserve">s. </w:t>
      </w:r>
      <w:r w:rsidR="007A4F25">
        <w:t xml:space="preserve"> The</w:t>
      </w:r>
      <w:r w:rsidR="0053238C">
        <w:t xml:space="preserve"> maximal</w:t>
      </w:r>
      <w:r w:rsidR="007A4F25">
        <w:t xml:space="preserve"> post-matching standardized mean difference for </w:t>
      </w:r>
      <w:r w:rsidR="0053238C">
        <w:t>a</w:t>
      </w:r>
      <w:r w:rsidR="007A4F25">
        <w:t xml:space="preserve">ge </w:t>
      </w:r>
      <w:r w:rsidR="0053238C">
        <w:t>was</w:t>
      </w:r>
      <w:r w:rsidR="007A4F25">
        <w:t xml:space="preserve"> &lt;0.</w:t>
      </w:r>
      <w:r w:rsidR="0053238C">
        <w:t>05</w:t>
      </w:r>
      <w:r w:rsidR="007A4F25">
        <w:t xml:space="preserve"> for all outcomes, indicating adequate balance</w:t>
      </w:r>
      <w:r w:rsidR="00590F5F">
        <w:t xml:space="preserve"> (Supplementary Figure 1 and Supplementary Table 1)</w:t>
      </w:r>
      <w:r w:rsidR="007A4F25">
        <w:t>.</w:t>
      </w:r>
      <w:r w:rsidR="00AB7571">
        <w:t xml:space="preserve">  </w:t>
      </w:r>
      <w:r w:rsidR="00E07284">
        <w:t>We</w:t>
      </w:r>
      <w:r w:rsidR="003318B0">
        <w:t xml:space="preserve"> only included patients with BMI’s within the 5-75 range, and between </w:t>
      </w:r>
      <w:r w:rsidR="00A15DB0">
        <w:t>18</w:t>
      </w:r>
      <w:r w:rsidR="003318B0">
        <w:t xml:space="preserve">-75 years of age. </w:t>
      </w:r>
      <w:commentRangeStart w:id="1"/>
      <w:r w:rsidR="003318B0">
        <w:t xml:space="preserve">Finally, we also only included </w:t>
      </w:r>
      <w:r w:rsidR="004E67D8">
        <w:t xml:space="preserve">control </w:t>
      </w:r>
      <w:r w:rsidR="003318B0">
        <w:t>patients with</w:t>
      </w:r>
      <w:r w:rsidR="00A15DB0">
        <w:t xml:space="preserve"> at least one clinical visit in</w:t>
      </w:r>
      <w:r w:rsidR="003318B0">
        <w:t xml:space="preserve"> the 2022-2025 year range. </w:t>
      </w:r>
      <w:commentRangeEnd w:id="1"/>
      <w:r w:rsidR="00CA6704">
        <w:rPr>
          <w:rStyle w:val="CommentReference"/>
          <w:sz w:val="24"/>
          <w:szCs w:val="24"/>
        </w:rPr>
        <w:commentReference w:id="1"/>
      </w:r>
    </w:p>
    <w:p w14:paraId="62D170DB" w14:textId="63126485" w:rsidR="00AB7571" w:rsidRDefault="002120E7" w:rsidP="00B859CD">
      <w:r>
        <w:t>BMI was not included in the propensity score because we aimed to evaluate obesity as a moderator of the effects of Cushing’s disease</w:t>
      </w:r>
      <w:r w:rsidR="004B0142">
        <w:t>. Subsequent</w:t>
      </w:r>
      <w:r>
        <w:t xml:space="preserve"> analyses were stratified by obesity (BMI ≥30 kg/m²). Within each obesity stratum, BMI was included as a covariate in sensitivity models.</w:t>
      </w:r>
    </w:p>
    <w:p w14:paraId="1C76272F" w14:textId="4DF45D82" w:rsidR="0005218F" w:rsidRDefault="0005218F" w:rsidP="00B859CD">
      <w:r w:rsidRPr="0005218F">
        <w:t xml:space="preserve">Mean arterial pressure </w:t>
      </w:r>
      <w:r w:rsidR="00803AF3">
        <w:t xml:space="preserve">(MAP) </w:t>
      </w:r>
      <w:r w:rsidRPr="0005218F">
        <w:t>was directly measured in the majority of cases. When MAP was missing but systolic and diastolic BP were available</w:t>
      </w:r>
      <w:r>
        <w:t xml:space="preserve">, </w:t>
      </w:r>
      <w:r w:rsidRPr="0005218F">
        <w:t>MAP was calculated as (SBP + 2×DBP)/3. The calculated values showed high agreement with measured MAP (r=0.963, mean difference=1.32 ± 3.38 mmHg) in cases where both were available.</w:t>
      </w:r>
    </w:p>
    <w:p w14:paraId="0D85CC8F" w14:textId="24AB56C4" w:rsidR="00AB7571" w:rsidRPr="00B859CD" w:rsidRDefault="00AB7571" w:rsidP="00B859CD">
      <w:r w:rsidRPr="004B0142">
        <w:rPr>
          <w:b/>
          <w:bCs/>
        </w:rPr>
        <w:t>Statistical Analyses.</w:t>
      </w:r>
      <w:r>
        <w:t xml:space="preserve">  Statistical significance</w:t>
      </w:r>
      <w:r w:rsidR="00222730">
        <w:t xml:space="preserve"> for this stud</w:t>
      </w:r>
      <w:r>
        <w:t xml:space="preserve"> was set at p&lt;0.05.  All analyses were performed using R version 4.4.0 </w:t>
      </w:r>
      <w:r>
        <w:fldChar w:fldCharType="begin"/>
      </w:r>
      <w:r>
        <w:instrText xml:space="preserve"> ADDIN ZOTERO_ITEM CSL_CITATION {"citationID":"UlCX6dpA","properties":{"formattedCitation":"(R Core Team, 2019)","plainCitation":"(R Core Team, 2019)","noteIndex":0},"citationItems":[{"id":8230,"uris":["http://zotero.org/users/7317906/items/3HZT7KXK"],"itemData":{"id":8230,"type":"document","note":"Citation Key: base\npublisher-place: Vienna, Austria","publisher":"R Foundation for Statistical Computing","title":"R: A Language and Environment for Statistical Computing","URL":"http://www.r-project.org/","author":[{"literal":"R Core Team"}],"accessed":{"date-parts":[["2010",10,22]]},"issued":{"date-parts":[["2019"]]},"citation-key":"base"}}],"schema":"https://github.com/citation-style-language/schema/raw/master/csl-citation.json"} </w:instrText>
      </w:r>
      <w:r>
        <w:fldChar w:fldCharType="separate"/>
      </w:r>
      <w:r>
        <w:rPr>
          <w:noProof/>
        </w:rPr>
        <w:t>(R Core Team, 2019)</w:t>
      </w:r>
      <w:r>
        <w:fldChar w:fldCharType="end"/>
      </w:r>
      <w:r w:rsidR="00DC7FDB">
        <w:t xml:space="preserve">.  For participant demographics, Kruskal-Wallis or Mann-Whitney tests were used as both BMI and participant Age were not normally distributed (p&lt;0.05 via Shapiro-Wilk tests).  </w:t>
      </w:r>
      <w:r w:rsidR="000C0BDB">
        <w:t>χ</w:t>
      </w:r>
      <w:r w:rsidR="000C0BDB" w:rsidRPr="000C0BDB">
        <w:rPr>
          <w:vertAlign w:val="superscript"/>
        </w:rPr>
        <w:t>2</w:t>
      </w:r>
      <w:r w:rsidR="00DC7FDB">
        <w:t xml:space="preserve"> tests were used to compare counts across groups</w:t>
      </w:r>
      <w:r w:rsidR="005E3FBA">
        <w:t xml:space="preserve"> unless counts were expected to be under five per group, in which case Fisher’s exact test was used</w:t>
      </w:r>
      <w:r w:rsidR="00DC7FDB">
        <w:t>.</w:t>
      </w:r>
    </w:p>
    <w:p w14:paraId="5C7ECF21" w14:textId="42D6C440" w:rsidR="006F63F4" w:rsidRDefault="00EB133A" w:rsidP="00EB133A">
      <w:pPr>
        <w:pStyle w:val="Heading1"/>
      </w:pPr>
      <w:r>
        <w:t>Results</w:t>
      </w:r>
    </w:p>
    <w:p w14:paraId="7ED2150B" w14:textId="77777777" w:rsidR="004B0142" w:rsidRPr="00EB133A" w:rsidRDefault="004B0142" w:rsidP="004B0142">
      <w:pPr>
        <w:pStyle w:val="Heading2"/>
        <w:rPr>
          <w:b/>
          <w:bCs/>
        </w:rPr>
      </w:pPr>
      <w:r w:rsidRPr="00EB133A">
        <w:rPr>
          <w:rStyle w:val="Strong"/>
          <w:b w:val="0"/>
          <w:bCs w:val="0"/>
        </w:rPr>
        <w:t>Study population</w:t>
      </w:r>
    </w:p>
    <w:p w14:paraId="7017BF89" w14:textId="7C9A3E76" w:rsidR="009259D6" w:rsidRDefault="005D1B0C">
      <w:r>
        <w:t>As described in Figure 1, we</w:t>
      </w:r>
      <w:r w:rsidR="006A21CF">
        <w:t xml:space="preserve"> began with 5,428,302 participants </w:t>
      </w:r>
      <w:r>
        <w:t>with</w:t>
      </w:r>
      <w:r w:rsidR="006A21CF">
        <w:t xml:space="preserve"> electronic health </w:t>
      </w:r>
      <w:r>
        <w:t>at</w:t>
      </w:r>
      <w:r w:rsidR="006A21CF">
        <w:t xml:space="preserve"> Michigan Medicine. </w:t>
      </w:r>
      <w:r>
        <w:t>We found</w:t>
      </w:r>
      <w:r w:rsidR="006A21CF">
        <w:t xml:space="preserve"> 2,893</w:t>
      </w:r>
      <w:r>
        <w:t xml:space="preserve"> unique diagnoses of Cushing’s disease</w:t>
      </w:r>
      <w:r w:rsidR="006A21CF">
        <w:t xml:space="preserve">. </w:t>
      </w:r>
      <w:r w:rsidR="00603279">
        <w:t>Next, we eliminated participants that did not have a documented treatment date after their diagnosis, giving us 476 participants. We then removed participants that did not have any</w:t>
      </w:r>
      <w:r>
        <w:t xml:space="preserve"> of our tested laboratory results</w:t>
      </w:r>
      <w:r w:rsidR="00603279">
        <w:t xml:space="preserve">, giving us 453 participants. Finally, we removed a final set of participants that did not have </w:t>
      </w:r>
      <w:r>
        <w:t>complete</w:t>
      </w:r>
      <w:r w:rsidR="00603279">
        <w:t xml:space="preserve"> demographic data, leaving us with our final </w:t>
      </w:r>
      <w:r w:rsidR="00603279">
        <w:lastRenderedPageBreak/>
        <w:t>participant population size of 365.</w:t>
      </w:r>
      <w:r w:rsidR="00B96ED4">
        <w:t xml:space="preserve"> </w:t>
      </w:r>
      <w:r w:rsidR="00DF0342">
        <w:t xml:space="preserve">Of </w:t>
      </w:r>
      <w:r w:rsidR="00603279">
        <w:t xml:space="preserve">these 365 participants, we were able to get </w:t>
      </w:r>
      <w:r>
        <w:t xml:space="preserve">fating </w:t>
      </w:r>
      <w:r w:rsidR="00603279">
        <w:t xml:space="preserve">glucose measurements for all 365, HbA1c values for 17, ALT values for 84, </w:t>
      </w:r>
      <w:r w:rsidR="00BD23D4">
        <w:t xml:space="preserve">AST values for </w:t>
      </w:r>
      <w:r w:rsidR="00726A26">
        <w:t>84</w:t>
      </w:r>
      <w:r w:rsidR="00BD23D4">
        <w:t>, and blood pressure data for 306 participants.</w:t>
      </w:r>
      <w:r w:rsidR="004323ED">
        <w:t xml:space="preserve">  </w:t>
      </w:r>
      <w:r w:rsidR="00211F2C">
        <w:t>The average age at diagnosis was 46.3 +/- 15.5 years. There were 287 female and 72 male patients.  This is consistent with the gender difference in diagnosis of 4:1 seen in previous studies   (</w:t>
      </w:r>
      <w:commentRangeStart w:id="2"/>
      <w:r w:rsidR="00211F2C">
        <w:t>sources</w:t>
      </w:r>
      <w:commentRangeEnd w:id="2"/>
      <w:r w:rsidR="00211F2C">
        <w:rPr>
          <w:rStyle w:val="CommentReference"/>
          <w:sz w:val="24"/>
          <w:szCs w:val="24"/>
        </w:rPr>
        <w:commentReference w:id="2"/>
      </w:r>
      <w:r w:rsidR="00211F2C">
        <w:t xml:space="preserve">). The average BMI was 34.72 (+/- 13.78). The patient population was predominately White (87.19%), with the remaining participants identifying as Black (5.29%), Hispanic or Latino (2.79%), Asian (2.23%), or Other (2.51%). </w:t>
      </w:r>
      <w:r w:rsidR="004323ED">
        <w:t xml:space="preserve">These patients were then matched to controls without Cushing’s disease selected from a pool of </w:t>
      </w:r>
      <w:r w:rsidR="00BD23D4">
        <w:t xml:space="preserve">181,624 </w:t>
      </w:r>
      <w:r w:rsidR="004323ED">
        <w:t>patients</w:t>
      </w:r>
      <w:r w:rsidR="00BD23D4">
        <w:t xml:space="preserve">. </w:t>
      </w:r>
    </w:p>
    <w:p w14:paraId="7B909945" w14:textId="3F8FCDCA" w:rsidR="00EB133A" w:rsidRDefault="005A4BA3" w:rsidP="00EB133A">
      <w:pPr>
        <w:pStyle w:val="Heading2"/>
        <w:rPr>
          <w:rStyle w:val="Strong"/>
          <w:b w:val="0"/>
          <w:bCs w:val="0"/>
        </w:rPr>
      </w:pPr>
      <w:r>
        <w:rPr>
          <w:rStyle w:val="Strong"/>
          <w:b w:val="0"/>
          <w:bCs w:val="0"/>
        </w:rPr>
        <w:t>Participant characteristics</w:t>
      </w:r>
      <w:r w:rsidR="008132DA">
        <w:rPr>
          <w:rStyle w:val="Strong"/>
          <w:b w:val="0"/>
          <w:bCs w:val="0"/>
        </w:rPr>
        <w:t xml:space="preserve"> </w:t>
      </w:r>
      <w:r w:rsidR="0068193C">
        <w:rPr>
          <w:rStyle w:val="Strong"/>
          <w:b w:val="0"/>
          <w:bCs w:val="0"/>
        </w:rPr>
        <w:t xml:space="preserve">associated with </w:t>
      </w:r>
      <w:r w:rsidR="00EB133A" w:rsidRPr="00EB133A">
        <w:rPr>
          <w:rStyle w:val="Strong"/>
          <w:b w:val="0"/>
          <w:bCs w:val="0"/>
        </w:rPr>
        <w:t xml:space="preserve">Cushing’s </w:t>
      </w:r>
      <w:r w:rsidR="008132DA">
        <w:rPr>
          <w:rStyle w:val="Strong"/>
          <w:b w:val="0"/>
          <w:bCs w:val="0"/>
        </w:rPr>
        <w:t xml:space="preserve">disease </w:t>
      </w:r>
    </w:p>
    <w:p w14:paraId="1C40C547" w14:textId="0D15B9F7" w:rsidR="00B15E61" w:rsidRDefault="00B15E61" w:rsidP="00B15E61">
      <w:r>
        <w:t xml:space="preserve">We performed outcome-specific propensity matching to identify appropriate controls, starting from those with generating exact matches for gender, race and ethnicity.  We then algorithmically matched for age, generating 10 controls for each case.  Matching was </w:t>
      </w:r>
      <w:r w:rsidR="00680857">
        <w:t xml:space="preserve">effective </w:t>
      </w:r>
      <w:r>
        <w:t xml:space="preserve"> with a </w:t>
      </w:r>
      <w:r w:rsidR="00680857">
        <w:t>standardized mean difference</w:t>
      </w:r>
      <w:r>
        <w:t xml:space="preserve"> for age of &lt;0.05 for each outcome (see </w:t>
      </w:r>
      <w:r w:rsidR="008132DA">
        <w:t xml:space="preserve">Table 1, </w:t>
      </w:r>
      <w:r w:rsidR="007F7122">
        <w:t xml:space="preserve">Supplementary </w:t>
      </w:r>
      <w:r>
        <w:t xml:space="preserve">Figure </w:t>
      </w:r>
      <w:r w:rsidR="007F7122">
        <w:t>1</w:t>
      </w:r>
      <w:r>
        <w:t xml:space="preserve"> and Supplementary Table S1).</w:t>
      </w:r>
    </w:p>
    <w:p w14:paraId="64FC7B7D" w14:textId="58440E6C" w:rsidR="005A4BA3" w:rsidRDefault="00FE6593" w:rsidP="00B15E61">
      <w:r w:rsidRPr="00FE6593">
        <w:t xml:space="preserve">Primary descriptive characteristics are </w:t>
      </w:r>
      <w:r w:rsidR="008132DA">
        <w:t>provided</w:t>
      </w:r>
      <w:r w:rsidRPr="00FE6593">
        <w:t xml:space="preserve"> for all participants with any available laboratory measurement</w:t>
      </w:r>
      <w:r w:rsidR="00934570">
        <w:t xml:space="preserve"> </w:t>
      </w:r>
      <w:r w:rsidR="00934570" w:rsidRPr="00FE6593">
        <w:t>(Table 1)</w:t>
      </w:r>
      <w:r w:rsidRPr="00FE6593">
        <w:t xml:space="preserve">. </w:t>
      </w:r>
      <w:r w:rsidR="00843B6D">
        <w:t>Outcome-specific matched sets are described in Supplementary Tables S2</w:t>
      </w:r>
      <w:r w:rsidR="00D54468">
        <w:t>A-E</w:t>
      </w:r>
      <w:r w:rsidR="00843B6D">
        <w:t>.</w:t>
      </w:r>
      <w:r w:rsidR="00934570">
        <w:t xml:space="preserve">   Here we reproduce several notable characteristics, including a higher prevalence of Cushing’s disease in females (284 vs 72</w:t>
      </w:r>
      <w:r w:rsidR="0084083C">
        <w:t>, p&lt;0.00</w:t>
      </w:r>
      <w:r w:rsidR="0084083C" w:rsidRPr="0084083C">
        <w:t>1</w:t>
      </w:r>
      <w:r w:rsidR="00934570" w:rsidRPr="0084083C">
        <w:t>)</w:t>
      </w:r>
      <w:r w:rsidR="0084083C" w:rsidRPr="0084083C">
        <w:t>, consistent with the prior literature</w:t>
      </w:r>
      <w:r w:rsidR="0084083C">
        <w:t xml:space="preserve"> </w:t>
      </w:r>
      <w:r w:rsidR="0084083C">
        <w:fldChar w:fldCharType="begin"/>
      </w:r>
      <w:r w:rsidR="00A46BC5">
        <w:instrText xml:space="preserve"> ADDIN ZOTERO_ITEM CSL_CITATION {"citationID":"5iZIPs39","properties":{"formattedCitation":"(Alqeeq et al., 2024; Broder et al., 2015; Etxabe &amp; Vazquez, 1994; Matthiasdottir et al., 2024; Steffensen et al., 2010)","plainCitation":"(Alqeeq et al., 2024; Broder et al., 2015; Etxabe &amp; Vazquez, 1994; Matthiasdottir et al., 2024; Steffensen et al., 2010)","noteIndex":0},"citationItems":[{"id":27029,"uris":["http://zotero.org/users/7317906/items/5UXH2J3G"],"itemData":{"id":27029,"type":"article-journal","abstract":"BACKGROUND AND OBJECTIVES: Cushing's disease is a rare endocrine disorder. This review aimed to examine sex-specific differences in Cushing's disease.\nDESIGN AND SETTINGS: A meta-analysis was performed on published articles discussing the gender impact of Cushing's disease.\nMETHODS: A systematic search was conducted to identify studies from Medline, Embase, CENTRAL and Scopus. Nine studies enrolling 1047 patients diagnosed with Cushing's disease were included in this meta-analysis.\nRESULTS: Male patients presented at a younger age (MD [mean difference]=-5.43; 95% CI [-5.78, -5.08]; P&lt;.00001) than females. Male patients had a significantly higher prevalence of osteoporosis (RR [risk ratio]=1.75; 95% CI [1.36, 225]; P&lt;.0001) and hypokalemia (RR=1.66; 95% CI [1.27, 2.16]; P=.0002). In addition, males had significantly higher rates of negative magnetic resonance imaging (RR=1.53; 95% CI [1.18, 2.0]; P=.002). No sex difference was observed in the prevalence of diabetes (RR=0.92; 95% CI [0.70, 1.22]); P=.57) and dyslipidemia (RR=1.33; 95% CI [0.88, 2.0]; P=.17).\nCONCLUSION: Cushing's disease has a worse clinical presentation in males and more diagnostic difficulties compared to females.","container-title":"Annals of Saudi Medicine","DOI":"10.5144/0256-4947.2024.55","ISSN":"0975-4466","issue":"1","journalAbbreviation":"Ann Saudi Med","language":"eng","note":"PMID: 38311874\nPMCID: PMC10839456","page":"55-65","source":"PubMed","title":"Sex-related differences in Cushing's disease: a systematic review and meta-analysis","title-short":"Sex-related differences in Cushing's disease","volume":"44","author":[{"family":"Alqeeq","given":"Basel F."},{"family":"Ayyad","given":"Mohammed"},{"family":"Almadhoun","given":"Waseem J."},{"family":"Aboabdo","given":"Mohammad"},{"family":"Aldahdouh","given":"Mosheer S."},{"family":"Al-Tawil","given":"Mohammed"},{"family":"Al-Ghazali","given":"Ahmed M."}],"issued":{"date-parts":[["2024"]]},"citation-key":"alqeeqSexrelatedDifferencesCushings2024"}},{"id":27016,"uris":["http://zotero.org/users/7317906/items/RNS3FR6N"],"itemData":{"id":27016,"type":"article-journal","abstract":"PURPOSE: To estimate the incidence of Cushing's syndrome (CS) and Cushing's disease (CD) in the US.\nMETHODS: MarketScan Commercial database 2007-2010 (age &lt;65 years) was used. CS patients were defined with ≥2 claims of CS diagnosis, while CD patients were defined with CS plus a benign pituitary adenoma diagnosis or hypophysectomy in the same calendar year. Annual incidence was calculated by dividing the number of CS or CD cases by the total number of members with the same enrollment requirement during the calendar years.\nRESULTS: CS incidence rates per million person-years were 48.6 in 2009 and 39.5 in 2010. The lowest rates of CS were in ≤17-year-olds and highest rates were in 35 to 44-year-olds. CD incidence rates were 7.6 in 2009 and 6.2 in 2010. The lowest rates of CD were in ≤17-year-olds and highest rates were in 18 to 24-year-olds. The rates varied by sex (2.3-2.7 in males, 9.8-12.1 in females). In females, lowest rates ranged 2.5-4.0 in ≤17-year-olds and highest 16.7-27.2 in 18-24 year olds. In males, there were too few cases to report estimates by age.\nCONCLUSIONS: In the first large US-based study, the annual incidence of CS in individuals &lt;65 years old was nearly 49 cases per million, substantially higher than previous estimates, which were based primarily on European data. Using similar methods, we estimated the incidence of CD at nearly 8 cases per million US population. These estimates, if confirmed in other epidemiologic databases, represent a new data reference in these rare conditions.","container-title":"Pituitary","DOI":"10.1007/s11102-014-0569-6","ISSN":"1573-7403","issue":"3","journalAbbreviation":"Pituitary","language":"eng","note":"PMID: 24803324","page":"283-289","source":"PubMed","title":"Incidence of Cushing's syndrome and Cushing's disease in commercially-insured patients &lt;65 years old in the United States","volume":"18","author":[{"family":"Broder","given":"Michael S."},{"family":"Neary","given":"Maureen P."},{"family":"Chang","given":"Eunice"},{"family":"Cherepanov","given":"Dasha"},{"family":"Ludlam","given":"William H."}],"issued":{"date-parts":[["2015",6]]},"citation-key":"broderIncidenceCushingsSyndrome2015"}},{"id":1348,"uris":["http://zotero.org/users/7317906/items/V5L6B4RJ"],"itemData":{"id":1348,"type":"article-journal","abstract":"OBJECTIVE: Although Cushing's disease is a well documented clinical entity, there is no epidemiological information about it. The present study tries to obtain this information. DESIGN AND PATIENTS: Forty-nine patients affected by Cushing's disease living in Vizcaya (Spain) between 1975 and 1992 were considered for an epidemiological study. RESULTS: The prevalence of known cases at the end of 1992 was 39.1 per million inhabitants. The average incidence of newly diagnosed cases was 2.4 cases per million people per year. Cushing's disease was more frequent in women (n = 46) than in men (n = 3), with a ratio of 15:1. Diabetes mellitus and hypertension were observed in 38.7 and 55.1% of patients, respectively. Remission of Cushing's disease was achieved in 36 out of 41 patients (87.5%). In general, the mortality was higher than that expected for the control population (standardized mortality ratio, SMR 3.8, 95% confidence interval, CI 2.5-17.9, P &lt; 0.03). Concerning the cause of death, the SMR of vascular disease was 5 (95% CI 3.4-48.6, P &lt; 0.05). Higher age, persistence of hypertension and abnormalities of glucose metabolism after treatment, were independent predictors of mortality (multivariate analyses, P &lt; 0.01). CONCLUSIONS: Prevalence of Cushing's disease was 39.1 cases/million inhabitants and average incidence was 2.4 cases/million per year. Mortality was elevated, due to vascular disease, associated with higher age, persistence of hypertension and impaired glucose metabolism.","container-title":"Clin Endocrinol (Oxf)","DOI":"10.1111/j.1365-2265.1994.tb02486.x","ISSN":"0300-0664","issue":"4","note":"PMID: 8187313\nISBN: 0300-0664 (Print)\\r0300-0664 (Linking)","page":"479-484","title":"Morbidity and mortality in Cushing's disease: an epidemiological approach","volume":"40","author":[{"family":"Etxabe","given":"J"},{"family":"Vazquez","given":"J A"}],"issued":{"date-parts":[["1994"]]},"citation-key":"etxabeMorbidityMortalityCushings1994"}},{"id":27026,"uris":["http://zotero.org/users/7317906/items/X2VBVW53"],"itemData":{"id":27026,"type":"article-journal","abstract":"Introduction: In 2011, we reported the overall incidence of Cushing’s disease (CD) in Iceland from 1955 through 2009 to be 1.5 cases per million per year with highest incidence in the last decade of the study, a higher incidence then earlier reported. We now present a follow-up study reporting the epidemiology of the disease in Iceland during the 10-year period from 2010 to 2019. Methods: In this nationwide retrospective study, clinical information on patients diagnosed with CD was obtained from electronic medical records, reviewed by consulting endocrinologists. Results: Seventeen patients were diagnosed with CD, 12 women (71%) and 5 men (29%) giving an overall incidence of 5.2 cases per million per year. The mean age at diagnosis was 46 years (range 13–85 years). Biochemical analysis was recorded for all patients and 12 patients (71%) had visible pituitary adenoma on imaging studies. Sixteen patients (94%) were treated with transsphenoidal surgery of which 4 patients (24%) had gamma knife radiosurgery and three (18%) bilateral adrenalectomy after pituitary surgery. Two patients died during the study period. Conclusion: The overall incidence of CD of 5.2 cases per million per year is higher than previously reported, indicating the importance of awareness of CD. As all patients with CD are diagnosed and/or treated at the only University Hospital in Iceland, housing the only department of endocrinology as well as neurosurgery, we are confident that all cases diagnosed during the study period were included in the study.","container-title":"Neuroendocrinology","DOI":"10.1159/000540205","ISSN":"0028-3835","issue":"10","journalAbbreviation":"Neuroendocrinology","page":"950-957","source":"Silverchair","title":"Cushing’s Disease May Have Higher Incidence than Previously Thought: A Nationwide Study in Iceland 2010–2019","title-short":"Cushing’s Disease May Have Higher Incidence than Previously Thought","volume":"114","author":[{"family":"Matthiasdottir","given":"Anna Mjoll"},{"family":"Hardarson","given":"Thorgeir Orri"},{"family":"Arnardottir","given":"Steinunn"},{"family":"Sigurjonsdottir","given":"Helga Agusta"}],"issued":{"date-parts":[["2024",7,22]]},"citation-key":"matthiasdottirCushingsDiseaseMay2024"}},{"id":27019,"uris":["http://zotero.org/users/7317906/items/RTX3YT8D"],"itemData":{"id":27019,"type":"article-journal","abstract":"Overt Cushing’s syndrome is a rare disorder with an annual incidence of 2–3/million of which benign adrenal adenomas account for 0.6/million. The female:male ratio is 3:1. Preliminary data indicate a high proportion of subclinical Cushing’s syndrome in certain risk populations such as patients with type 2 diabetes or osteoporosis. The clinical implications of these observations are presently unclear. Surgery remains first line treatment for overt disease and initial cure or remission is obtained in 65–85% of patients with Cushing’s disease. Late recurrences, however, occur in up to 20% and the risk does not seem to plateau even after 20 years of follow-up. A 2- to 3-fold increase in mortality is observed in most studies, and this excess mortality seems confined to patients in whom initial cure was not obtained. Cushing’s syndrome continues to pose diagnostic and therapeutic challenges and life-long follow-up is mandatory.","container-title":"Neuroendocrinology","DOI":"10.1159/000314297","ISSN":"0028-3835","issue":"Suppl. 1","journalAbbreviation":"Neuroendocrinology","page":"1-5","source":"Silverchair","title":"Epidemiology of Cushing’s Syndrome","volume":"92","author":[{"family":"Steffensen","given":"Charlotte"},{"family":"Bak","given":"Ann Mosegaard"},{"family":"Zøylner Rubeck","given":"Kristine"},{"family":"Jørgensen","given":"Jens Otto Lunde"}],"issued":{"date-parts":[["2010",9,10]]},"citation-key":"steffensenEpidemiologyCushingsSyndrome2010"}}],"schema":"https://github.com/citation-style-language/schema/raw/master/csl-citation.json"} </w:instrText>
      </w:r>
      <w:r w:rsidR="0084083C">
        <w:fldChar w:fldCharType="separate"/>
      </w:r>
      <w:r w:rsidR="00A46BC5">
        <w:rPr>
          <w:noProof/>
        </w:rPr>
        <w:t>(Alqeeq et al., 2024; Broder et al., 2015; Etxabe &amp; Vazquez, 1994; Matthiasdottir et al., 2024; Steffensen et al., 2010)</w:t>
      </w:r>
      <w:r w:rsidR="0084083C">
        <w:fldChar w:fldCharType="end"/>
      </w:r>
      <w:r w:rsidR="0084083C" w:rsidRPr="0084083C">
        <w:t>.  As expected</w:t>
      </w:r>
      <w:r w:rsidR="00836F7B">
        <w:t>,</w:t>
      </w:r>
      <w:r w:rsidR="0084083C" w:rsidRPr="0084083C">
        <w:t xml:space="preserve"> we also observed</w:t>
      </w:r>
      <w:r w:rsidR="0084083C">
        <w:rPr>
          <w:rStyle w:val="CommentReference"/>
        </w:rPr>
        <w:t xml:space="preserve"> </w:t>
      </w:r>
      <w:r w:rsidR="00934570">
        <w:t xml:space="preserve">a higher body mass index for patients with Cushing’s disease </w:t>
      </w:r>
      <w:r w:rsidR="00211F2C">
        <w:t xml:space="preserve">compared to controls </w:t>
      </w:r>
      <w:r w:rsidR="00934570">
        <w:t>(</w:t>
      </w:r>
      <w:r w:rsidR="00211F2C">
        <w:t>34.7 vs 29.3 kg/m</w:t>
      </w:r>
      <w:r w:rsidR="00211F2C" w:rsidRPr="00211F2C">
        <w:rPr>
          <w:vertAlign w:val="superscript"/>
        </w:rPr>
        <w:t>2</w:t>
      </w:r>
      <w:r w:rsidR="00211F2C">
        <w:t xml:space="preserve">, </w:t>
      </w:r>
      <w:r w:rsidR="00934570">
        <w:t>p&lt;0.001).</w:t>
      </w:r>
      <w:r w:rsidR="00B019BA">
        <w:t xml:space="preserve">  </w:t>
      </w:r>
      <w:r w:rsidR="00AA272E">
        <w:t>Prior to matching for Race and Ethnicity, we noted that participants</w:t>
      </w:r>
      <w:r w:rsidR="00B019BA">
        <w:t xml:space="preserve"> with Cushing’s disease were more likely to </w:t>
      </w:r>
      <w:r w:rsidR="00AA272E">
        <w:t>identify as Non-Hispanic White (87%) than the overall Michigan Medicine participant population (75% Non-Hispanic White</w:t>
      </w:r>
      <w:r w:rsidR="007F5037">
        <w:t>, p</w:t>
      </w:r>
      <w:r w:rsidR="006970B2">
        <w:t>&lt;0.001</w:t>
      </w:r>
      <w:r w:rsidR="00AA272E">
        <w:t>).</w:t>
      </w:r>
      <w:r w:rsidR="001525EE">
        <w:t xml:space="preserve">  Correspondingly</w:t>
      </w:r>
      <w:r w:rsidR="00CD4531">
        <w:t>,</w:t>
      </w:r>
      <w:r w:rsidR="001525EE">
        <w:t xml:space="preserve"> participants with Cushing’s disease were less likely to identify as Asian </w:t>
      </w:r>
      <w:r w:rsidR="00CE6FC9">
        <w:t xml:space="preserve">(p&lt;0.001) </w:t>
      </w:r>
      <w:r w:rsidR="001525EE">
        <w:t>or Black</w:t>
      </w:r>
      <w:r w:rsidR="00CE6FC9">
        <w:t xml:space="preserve"> (p=0.01</w:t>
      </w:r>
      <w:r w:rsidR="00E05798">
        <w:t>8</w:t>
      </w:r>
      <w:r w:rsidR="00CE6FC9">
        <w:t>)</w:t>
      </w:r>
      <w:r w:rsidR="001525EE">
        <w:t>.</w:t>
      </w:r>
      <w:r w:rsidR="00A46BC5">
        <w:t xml:space="preserve">  This is consistent with other reports on the prevalence of Cushing’s disease across racial groups </w:t>
      </w:r>
      <w:r w:rsidR="00A46BC5">
        <w:fldChar w:fldCharType="begin"/>
      </w:r>
      <w:r w:rsidR="00B623DA">
        <w:instrText xml:space="preserve"> ADDIN ZOTERO_ITEM CSL_CITATION {"citationID":"Zf5euBGy","properties":{"formattedCitation":"(Ioachimescu et al., 2022; Omotosho et al., 2024)","plainCitation":"(Ioachimescu et al., 2022; Omotosho et al., 2024)","noteIndex":0},"citationItems":[{"id":27032,"uris":["http://zotero.org/users/7317906/items/EVS87VVY"],"itemData":{"id":27032,"type":"article-journal","abstract":"Acromegaly (ACM) and Cushing’s disease (CD) are caused by functioning pituitary adenomas secreting growth hormone and ACTH respectively.To determine the impact of race on presentation and postoperative outcomes in adults with ACM and CD, which has not yet been evaluated.This is a retrospective study of consecutive patients operated at a large-volume pituitary center. We evaluated (1) racial distribution of patients residing in the metropolitan area (Metro, N</w:instrText>
      </w:r>
      <w:r w:rsidR="00B623DA">
        <w:rPr>
          <w:rFonts w:ascii="Arial" w:hAnsi="Arial" w:cs="Arial"/>
        </w:rPr>
        <w:instrText> </w:instrText>
      </w:r>
      <w:r w:rsidR="00B623DA">
        <w:instrText>=</w:instrText>
      </w:r>
      <w:r w:rsidR="00B623DA">
        <w:rPr>
          <w:rFonts w:ascii="Arial" w:hAnsi="Arial" w:cs="Arial"/>
        </w:rPr>
        <w:instrText> </w:instrText>
      </w:r>
      <w:r w:rsidR="00B623DA">
        <w:instrText>124) vs 2010 US census data, and(2) presentation and postoperative outcomes in Black vs White for patients from the entire catchment area (N</w:instrText>
      </w:r>
      <w:r w:rsidR="00B623DA">
        <w:rPr>
          <w:rFonts w:ascii="Arial" w:hAnsi="Arial" w:cs="Arial"/>
        </w:rPr>
        <w:instrText> </w:instrText>
      </w:r>
      <w:r w:rsidR="00B623DA">
        <w:instrText>=</w:instrText>
      </w:r>
      <w:r w:rsidR="00B623DA">
        <w:rPr>
          <w:rFonts w:ascii="Arial" w:hAnsi="Arial" w:cs="Arial"/>
        </w:rPr>
        <w:instrText> </w:instrText>
      </w:r>
      <w:r w:rsidR="00B623DA">
        <w:instrText>241).For Metro area (32.4% Black population), Black patients represented 16.75% ACM (P</w:instrText>
      </w:r>
      <w:r w:rsidR="00B623DA">
        <w:rPr>
          <w:rFonts w:ascii="Arial" w:hAnsi="Arial" w:cs="Arial"/>
        </w:rPr>
        <w:instrText> </w:instrText>
      </w:r>
      <w:r w:rsidR="00B623DA">
        <w:instrText>=</w:instrText>
      </w:r>
      <w:r w:rsidR="00B623DA">
        <w:rPr>
          <w:rFonts w:ascii="Arial" w:hAnsi="Arial" w:cs="Arial"/>
        </w:rPr>
        <w:instrText> </w:instrText>
      </w:r>
      <w:r w:rsidR="00B623DA">
        <w:instrText>.006) and 29.2% CD (P</w:instrText>
      </w:r>
      <w:r w:rsidR="00B623DA">
        <w:rPr>
          <w:rFonts w:ascii="Arial" w:hAnsi="Arial" w:cs="Arial"/>
        </w:rPr>
        <w:instrText> </w:instrText>
      </w:r>
      <w:r w:rsidR="00B623DA">
        <w:instrText>=</w:instrText>
      </w:r>
      <w:r w:rsidR="00B623DA">
        <w:rPr>
          <w:rFonts w:ascii="Arial" w:hAnsi="Arial" w:cs="Arial"/>
        </w:rPr>
        <w:instrText> </w:instrText>
      </w:r>
      <w:r w:rsidR="00B623DA">
        <w:instrText>.56). Among the total 112 patients with ACM, presentations with headaches or incidentaloma were more common in Black patients (76.9% vs 31% White, P</w:instrText>
      </w:r>
      <w:r w:rsidR="00B623DA">
        <w:rPr>
          <w:rFonts w:ascii="Arial" w:hAnsi="Arial" w:cs="Arial"/>
        </w:rPr>
        <w:instrText> </w:instrText>
      </w:r>
      <w:r w:rsidR="00B623DA">
        <w:instrText>=</w:instrText>
      </w:r>
      <w:r w:rsidR="00B623DA">
        <w:rPr>
          <w:rFonts w:ascii="Arial" w:hAnsi="Arial" w:cs="Arial"/>
        </w:rPr>
        <w:instrText> </w:instrText>
      </w:r>
      <w:r w:rsidR="00B623DA">
        <w:instrText>.01). Black patients had a higher prevalence of diabetes (54% vs 16% White, P</w:instrText>
      </w:r>
      <w:r w:rsidR="00B623DA">
        <w:rPr>
          <w:rFonts w:ascii="Arial" w:hAnsi="Arial" w:cs="Arial"/>
        </w:rPr>
        <w:instrText> </w:instrText>
      </w:r>
      <w:r w:rsidR="00B623DA">
        <w:instrText>=</w:instrText>
      </w:r>
      <w:r w:rsidR="00B623DA">
        <w:rPr>
          <w:rFonts w:ascii="Arial" w:hAnsi="Arial" w:cs="Arial"/>
        </w:rPr>
        <w:instrText> </w:instrText>
      </w:r>
      <w:r w:rsidR="00B623DA">
        <w:instrText>.005), significantly lower insulin-like growth factor (IGF)-1 deviation from normal (P</w:instrText>
      </w:r>
      <w:r w:rsidR="00B623DA">
        <w:rPr>
          <w:rFonts w:ascii="Arial" w:hAnsi="Arial" w:cs="Arial"/>
        </w:rPr>
        <w:instrText> </w:instrText>
      </w:r>
      <w:r w:rsidR="00B623DA">
        <w:instrText>=</w:instrText>
      </w:r>
      <w:r w:rsidR="00B623DA">
        <w:rPr>
          <w:rFonts w:ascii="Arial" w:hAnsi="Arial" w:cs="Arial"/>
        </w:rPr>
        <w:instrText> </w:instrText>
      </w:r>
      <w:r w:rsidR="00B623DA">
        <w:instrText>.03) and borderline lower median growth hormone levels (P</w:instrText>
      </w:r>
      <w:r w:rsidR="00B623DA">
        <w:rPr>
          <w:rFonts w:ascii="Arial" w:hAnsi="Arial" w:cs="Arial"/>
        </w:rPr>
        <w:instrText> </w:instrText>
      </w:r>
      <w:r w:rsidR="00B623DA">
        <w:instrText>=</w:instrText>
      </w:r>
      <w:r w:rsidR="00B623DA">
        <w:rPr>
          <w:rFonts w:ascii="Arial" w:hAnsi="Arial" w:cs="Arial"/>
        </w:rPr>
        <w:instrText> </w:instrText>
      </w:r>
      <w:r w:rsidR="00B623DA">
        <w:instrText>.09). Mean tumor diameter and proportion of tumors with cavernous sinus invasion were similar. Three-month biochemical remission (46% Black, 55% White, P</w:instrText>
      </w:r>
      <w:r w:rsidR="00B623DA">
        <w:rPr>
          <w:rFonts w:ascii="Arial" w:hAnsi="Arial" w:cs="Arial"/>
        </w:rPr>
        <w:instrText> </w:instrText>
      </w:r>
      <w:r w:rsidR="00B623DA">
        <w:instrText>=</w:instrText>
      </w:r>
      <w:r w:rsidR="00B623DA">
        <w:rPr>
          <w:rFonts w:ascii="Arial" w:hAnsi="Arial" w:cs="Arial"/>
        </w:rPr>
        <w:instrText> </w:instrText>
      </w:r>
      <w:r w:rsidR="00B623DA">
        <w:instrText>.76) and long-term IGF-1 control by multimodality therapy (92.3% Black, 80.5% White, P</w:instrText>
      </w:r>
      <w:r w:rsidR="00B623DA">
        <w:rPr>
          <w:rFonts w:ascii="Arial" w:hAnsi="Arial" w:cs="Arial"/>
        </w:rPr>
        <w:instrText> </w:instrText>
      </w:r>
      <w:r w:rsidR="00B623DA">
        <w:instrText>=</w:instrText>
      </w:r>
      <w:r w:rsidR="00B623DA">
        <w:rPr>
          <w:rFonts w:ascii="Arial" w:hAnsi="Arial" w:cs="Arial"/>
        </w:rPr>
        <w:instrText> </w:instrText>
      </w:r>
      <w:r w:rsidR="00B623DA">
        <w:instrText>.45) were similar. Among the total 129 patients with CD, Black patients had more hypopituitarism (69% vs 45% White, P</w:instrText>
      </w:r>
      <w:r w:rsidR="00B623DA">
        <w:rPr>
          <w:rFonts w:ascii="Arial" w:hAnsi="Arial" w:cs="Arial"/>
        </w:rPr>
        <w:instrText> </w:instrText>
      </w:r>
      <w:r w:rsidR="00B623DA">
        <w:instrText>=</w:instrText>
      </w:r>
      <w:r w:rsidR="00B623DA">
        <w:rPr>
          <w:rFonts w:ascii="Arial" w:hAnsi="Arial" w:cs="Arial"/>
        </w:rPr>
        <w:instrText> </w:instrText>
      </w:r>
      <w:r w:rsidR="00B623DA">
        <w:instrText>.04) and macroadenomas (33% vs 15% White, P</w:instrText>
      </w:r>
      <w:r w:rsidR="00B623DA">
        <w:rPr>
          <w:rFonts w:ascii="Arial" w:hAnsi="Arial" w:cs="Arial"/>
        </w:rPr>
        <w:instrText> </w:instrText>
      </w:r>
      <w:r w:rsidR="00B623DA">
        <w:instrText>=</w:instrText>
      </w:r>
      <w:r w:rsidR="00B623DA">
        <w:rPr>
          <w:rFonts w:ascii="Arial" w:hAnsi="Arial" w:cs="Arial"/>
        </w:rPr>
        <w:instrText> </w:instrText>
      </w:r>
      <w:r w:rsidR="00B623DA">
        <w:instrText>.05). At 3 months, remission rate was borderline higher in White (92% vs 78% Black, P</w:instrText>
      </w:r>
      <w:r w:rsidR="00B623DA">
        <w:rPr>
          <w:rFonts w:ascii="Arial" w:hAnsi="Arial" w:cs="Arial"/>
        </w:rPr>
        <w:instrText> </w:instrText>
      </w:r>
      <w:r w:rsidR="00B623DA">
        <w:instrText>=</w:instrText>
      </w:r>
      <w:r w:rsidR="00B623DA">
        <w:rPr>
          <w:rFonts w:ascii="Arial" w:hAnsi="Arial" w:cs="Arial"/>
        </w:rPr>
        <w:instrText> </w:instrText>
      </w:r>
      <w:r w:rsidR="00B623DA">
        <w:instrText xml:space="preserve">0.08), which was attributed to macroadenomas by logistic regression.We identified disparities regarding racial distribution, and clinical and biochemical characteristics in ACM, suggesting late or missed diagnosis in Black patients. Large nationwide studies are necessary to confirm our findings.","container-title":"Journal of the Endocrine Society","DOI":"10.1210/jendso/bvab176","ISSN":"2472-1972","issue":"1","journalAbbreviation":"J. Endocr. Soc.","page":"bvab176","source":"Silverchair","title":"Racial Disparities in Acromegaly and Cushing’s Disease: A Referral Center Study in 241 Patients","title-short":"Racial Disparities in Acromegaly and Cushing’s Disease","volume":"6","author":[{"family":"Ioachimescu","given":"Adriana G"},{"family":"Goswami","given":"Neevedita"},{"family":"Handa","given":"Talin"},{"family":"Pappy","given":"Adlai"},{"family":"Veledar","given":"Emir"},{"family":"Oyesiku","given":"Nelson M"}],"issued":{"date-parts":[["2022",1,1]]},"citation-key":"ioachimescuRacialDisparitiesAcromegaly2022"}},{"id":27042,"uris":["http://zotero.org/users/7317906/items/H96MA6T6"],"itemData":{"id":27042,"type":"article-journal","abstract":"Y.B. Omotosho: None. R. McGlotten: None. P. Chittiboina: None. L. Nieman: None.Background: Early recognition and treatment of Cushing’s syndrome (CS) is important to reduce mortality, forestall additional co-morbidities, and improve long-term quality of life. Little is known about how adverse social determinants of health (SDOH) influence the achievement of this goal.Objective: To investigate the impact of race (Black vs White) and UFC on the time to definitive diagnosis and treatment of Cushing’s disease (CD).Methods: This is a retrospective cohort study of 114 patients (pts) (including all Non-Hispanic Blacks) evaluated at the National Institutes of Health between 1990-2022, who had CD based on pathology (ACTH-positive tumor immunohistochemistry) or biochemical remission after transsphenoidal surgery (TSS). 38 Non-Hispanic Black patients met entry criteria. They were matched 1:2 by age (within five years) and sex. We excluded patients with cyclic CS, recurrent CD, previous pituitary surgery or radiation therapy and/or a delay between diagnostic evaluation and surgery of more than 4 weeks. We limited cohorts to only Non-Hispanic Blacks and Whites for this pilot study and plan to extend this to smaller race/ethnicity groups in the future. The onset of clinical symptoms was documented as self-reported by the patients. We analyzed the difference between the year of symptom onset and the date TSS was performed, to obtain an estimated duration of diagnosis. The highest 24h urine cortisol (UFC) value for each patient was noted. Non-normal data are described as median [interquartile range]. Group comparisons used the Wilcoxon rank sum test for the time to etiologic diagnosis, age, and UFC. Statistical analyses were done using R/RStudio statistical software. P value &amp;lt;0.05 was considered significant. Results: Each racial group included 76.3% females and 23.7% males. The median age at TSS was 39.5 years [30.0 – 50.8] for Blacks and 41.5 years [31.8 - 53.3] for Whites (P= 0.7). The median UFC was 326 mcg/24h [156 - 491] for Blacks and 264 [166 - 609] for Whites (P= 0.8). The median duration from symptom onset to CD diagnosis was 3.67 years [2.76 - 6.29] for Blacks and for 2.56 years [1.57 - 4.13] for Whites. Analysis of the differences in time to diagnosis between both groups confirmed a significant disparity with blacks having a median delay of 1.1 years more than whites (P= 0.001). Discussion: We do not have information on other SDOH in our patients, such as access to providers, education level, or their perception of the medical community. The present data suggest that racial background serves as a limiting factor in the diagnosis and differential diagnosis of CS, and that differences in severity of hypercortisolism do not explain this disparity. More work is needed to understand the reasons for this disparity as we continue to strive towards health equity.Monday, June 3, 2024","container-title":"Journal of the Endocrine Society","DOI":"10.1210/jendso/bvae163.2408","ISSN":"2472-1972","issue":"Supplement_1","journalAbbreviation":"J. Endocr. Soc.","page":"bvae163.2408","source":"Silverchair","title":"MON-113 Racial Disparity in the Time to Diagnosis of Cushing’s Disease","volume":"8","author":[{"family":"Omotosho","given":"Y B"},{"family":"McGlotten","given":"R"},{"family":"Chittiboina","given":"P"},{"family":"Nieman","given":"L"}],"issued":{"date-parts":[["2024",10,1]]},"citation-key":"omotoshoMON113RacialDisparity2024"}}],"schema":"https://github.com/citation-style-language/schema/raw/master/csl-citation.json"} </w:instrText>
      </w:r>
      <w:r w:rsidR="00A46BC5">
        <w:fldChar w:fldCharType="separate"/>
      </w:r>
      <w:r w:rsidR="00B623DA">
        <w:rPr>
          <w:noProof/>
        </w:rPr>
        <w:t>(Ioachimescu et al., 2022; Omotosho et al., 2024)</w:t>
      </w:r>
      <w:r w:rsidR="00A46BC5">
        <w:fldChar w:fldCharType="end"/>
      </w:r>
      <w:r w:rsidR="00B623DA">
        <w:t>.</w:t>
      </w:r>
    </w:p>
    <w:p w14:paraId="4576A7FB" w14:textId="156FA886" w:rsidR="008132DA" w:rsidRDefault="00B332B4" w:rsidP="00B15E61">
      <w:r>
        <w:t>As we expected, participants with Cushing’s disease had a higher BMI than the controls</w:t>
      </w:r>
      <w:r w:rsidR="00CB1C77">
        <w:t>, with 64% of participants with Cushing’s disease having a BMI above 30 kg/m</w:t>
      </w:r>
      <w:r w:rsidR="00CB1C77" w:rsidRPr="00CB1C77">
        <w:rPr>
          <w:vertAlign w:val="superscript"/>
        </w:rPr>
        <w:t>2</w:t>
      </w:r>
      <w:r w:rsidR="00803FF2">
        <w:t xml:space="preserve">, compared to </w:t>
      </w:r>
      <w:r w:rsidR="00274AF9">
        <w:t>40</w:t>
      </w:r>
      <w:r w:rsidR="00803FF2">
        <w:t>% controls (p&lt;0.001).</w:t>
      </w:r>
      <w:r>
        <w:t xml:space="preserve">  </w:t>
      </w:r>
      <w:r w:rsidR="00AD6AAA">
        <w:t xml:space="preserve">To understand the </w:t>
      </w:r>
      <w:r>
        <w:t xml:space="preserve">cross-sectional </w:t>
      </w:r>
      <w:r w:rsidR="00AD6AAA">
        <w:t>relationship between obesity and Cushing’s disease, we</w:t>
      </w:r>
      <w:r w:rsidR="008132DA">
        <w:t xml:space="preserve"> stratified our participants </w:t>
      </w:r>
      <w:r w:rsidR="00E3456B">
        <w:t>with a BMI above or below 30 kg/m</w:t>
      </w:r>
      <w:r w:rsidR="00E3456B" w:rsidRPr="00E3456B">
        <w:rPr>
          <w:vertAlign w:val="superscript"/>
        </w:rPr>
        <w:t>2</w:t>
      </w:r>
      <w:r w:rsidR="008132DA">
        <w:t xml:space="preserve">, </w:t>
      </w:r>
      <w:r w:rsidR="006E213E">
        <w:t>across</w:t>
      </w:r>
      <w:r w:rsidR="008132DA">
        <w:t xml:space="preserve"> both cases and controls</w:t>
      </w:r>
      <w:r w:rsidR="00733E55">
        <w:t xml:space="preserve">.  </w:t>
      </w:r>
      <w:r w:rsidR="00E55817">
        <w:t xml:space="preserve">We found that 232 patients had a BMI above 30 </w:t>
      </w:r>
      <w:r w:rsidR="00E55817">
        <w:t>kg/m</w:t>
      </w:r>
      <w:r w:rsidR="00E55817" w:rsidRPr="00E3456B">
        <w:rPr>
          <w:vertAlign w:val="superscript"/>
        </w:rPr>
        <w:t>2</w:t>
      </w:r>
      <w:r w:rsidR="00E55817">
        <w:rPr>
          <w:vertAlign w:val="superscript"/>
        </w:rPr>
        <w:t xml:space="preserve"> </w:t>
      </w:r>
      <w:r w:rsidR="00E55817">
        <w:t xml:space="preserve">and 128 had a BMI below 30 </w:t>
      </w:r>
      <w:r w:rsidR="00E55817">
        <w:t>kg/m</w:t>
      </w:r>
      <w:r w:rsidR="00E55817" w:rsidRPr="00E3456B">
        <w:rPr>
          <w:vertAlign w:val="superscript"/>
        </w:rPr>
        <w:t>2</w:t>
      </w:r>
      <w:r w:rsidR="00E55817">
        <w:rPr>
          <w:vertAlign w:val="superscript"/>
        </w:rPr>
        <w:t xml:space="preserve"> </w:t>
      </w:r>
      <w:r w:rsidR="00E55817">
        <w:t xml:space="preserve">at time of diagnosis. </w:t>
      </w:r>
      <w:r w:rsidR="00733E55">
        <w:t>As shown in Table 2, and as expected given our stratification, the four groups differed in several characteristics</w:t>
      </w:r>
      <w:r w:rsidR="004E7691">
        <w:t xml:space="preserve">, </w:t>
      </w:r>
      <w:r w:rsidR="00CC3CD9">
        <w:t>which</w:t>
      </w:r>
      <w:r w:rsidR="004E7691">
        <w:t xml:space="preserve"> will be </w:t>
      </w:r>
      <w:r w:rsidR="004E7691">
        <w:lastRenderedPageBreak/>
        <w:t>adjusted for in multivariable models below</w:t>
      </w:r>
      <w:r w:rsidR="00733E55">
        <w:t>.</w:t>
      </w:r>
      <w:r w:rsidR="00CC3CD9">
        <w:t xml:space="preserve">  For example, among</w:t>
      </w:r>
      <w:r w:rsidR="00000C79">
        <w:t xml:space="preserve"> the subgroup of</w:t>
      </w:r>
      <w:r w:rsidR="00CC3CD9">
        <w:t xml:space="preserve"> participants with a BMI &gt; 30 mg/m</w:t>
      </w:r>
      <w:r w:rsidR="00CC3CD9" w:rsidRPr="00CC3CD9">
        <w:rPr>
          <w:vertAlign w:val="superscript"/>
        </w:rPr>
        <w:t>2</w:t>
      </w:r>
      <w:r w:rsidR="00CC3CD9">
        <w:t>, participants with Cushing’s disease had a higher BMI than controls</w:t>
      </w:r>
      <w:r w:rsidR="00693DE3">
        <w:t xml:space="preserve"> (p=0.0024 by a Mann-Whitney test)</w:t>
      </w:r>
      <w:r w:rsidR="00CC3CD9">
        <w:t xml:space="preserve">.  </w:t>
      </w:r>
      <w:r w:rsidR="00AD3DB0" w:rsidRPr="00AD3DB0">
        <w:t>Females with Cushing’s disease were more likely to have a BMI over 30 kg/m</w:t>
      </w:r>
      <w:r w:rsidR="00AD3DB0" w:rsidRPr="00AD3DB0">
        <w:rPr>
          <w:vertAlign w:val="superscript"/>
        </w:rPr>
        <w:t>2</w:t>
      </w:r>
      <w:r w:rsidR="00AD3DB0">
        <w:t xml:space="preserve"> (68% </w:t>
      </w:r>
      <w:r w:rsidR="00AD3DB0" w:rsidRPr="00AD3DB0">
        <w:t xml:space="preserve">of </w:t>
      </w:r>
      <w:r w:rsidR="00AD3DB0">
        <w:t xml:space="preserve">females </w:t>
      </w:r>
      <w:r w:rsidR="00225091">
        <w:t>compared to</w:t>
      </w:r>
      <w:r w:rsidR="00AD3DB0">
        <w:t xml:space="preserve"> 51% of males with Cushing’s disease, p=0.015).  </w:t>
      </w:r>
      <w:r w:rsidR="00307DE8">
        <w:t>Among participants with Cushing’s disease, Asian (6</w:t>
      </w:r>
      <w:r w:rsidR="00BF3E45">
        <w:t xml:space="preserve"> out of </w:t>
      </w:r>
      <w:r w:rsidR="00307DE8">
        <w:t xml:space="preserve">10) and Hispanic or Latino </w:t>
      </w:r>
      <w:r w:rsidR="00B822C5">
        <w:t>(6</w:t>
      </w:r>
      <w:r w:rsidR="00BF3E45">
        <w:t xml:space="preserve"> out of </w:t>
      </w:r>
      <w:r w:rsidR="00B822C5">
        <w:t xml:space="preserve">8) </w:t>
      </w:r>
      <w:r w:rsidR="00307DE8">
        <w:t>participants were more likely have a BMI under 30 kg/m</w:t>
      </w:r>
      <w:r w:rsidR="00307DE8">
        <w:rPr>
          <w:vertAlign w:val="superscript"/>
        </w:rPr>
        <w:t xml:space="preserve">2 </w:t>
      </w:r>
      <w:r w:rsidR="00307DE8">
        <w:t xml:space="preserve">compared to </w:t>
      </w:r>
      <w:r w:rsidR="00B822C5">
        <w:t xml:space="preserve">the overall average </w:t>
      </w:r>
      <w:r w:rsidR="00307DE8">
        <w:t>(</w:t>
      </w:r>
      <w:r w:rsidR="00B822C5">
        <w:t>36%</w:t>
      </w:r>
      <w:r w:rsidR="00C24F2C">
        <w:t>, p=0.027 and 0.176 respectively via Fisher’s exact test</w:t>
      </w:r>
      <w:r w:rsidR="00700188">
        <w:t>s</w:t>
      </w:r>
      <w:r w:rsidR="00307DE8">
        <w:t xml:space="preserve">).  </w:t>
      </w:r>
      <w:r w:rsidR="000C5590">
        <w:t>The</w:t>
      </w:r>
      <w:r w:rsidR="00CC3CD9">
        <w:t xml:space="preserve"> average age of </w:t>
      </w:r>
      <w:r w:rsidR="00927FED">
        <w:t xml:space="preserve">participants with </w:t>
      </w:r>
      <w:r w:rsidR="00CC3CD9">
        <w:t>Cushing’s</w:t>
      </w:r>
      <w:r w:rsidR="00927FED">
        <w:t xml:space="preserve"> disease</w:t>
      </w:r>
      <w:r w:rsidR="00CC3CD9">
        <w:t xml:space="preserve"> with or without obesity was similar</w:t>
      </w:r>
      <w:r w:rsidR="0015020F">
        <w:t xml:space="preserve"> after stratification</w:t>
      </w:r>
      <w:r w:rsidR="00CC3CD9">
        <w:t>.</w:t>
      </w:r>
      <w:r w:rsidR="00E55817">
        <w:t xml:space="preserve">  Overall</w:t>
      </w:r>
      <w:r w:rsidR="007C0841">
        <w:t>,</w:t>
      </w:r>
      <w:r w:rsidR="00E55817">
        <w:t xml:space="preserve"> the subgroup of patients with obesity and Cushing’s disease tended to be disproportionately female and White, but similar in age.</w:t>
      </w:r>
    </w:p>
    <w:p w14:paraId="57E74E91" w14:textId="30A15CD5" w:rsidR="00EB133A" w:rsidRDefault="00F455CD" w:rsidP="00EB133A">
      <w:pPr>
        <w:pStyle w:val="NormalWeb"/>
        <w:rPr>
          <w:rStyle w:val="Heading2Char"/>
        </w:rPr>
      </w:pPr>
      <w:r>
        <w:rPr>
          <w:rStyle w:val="Heading2Char"/>
        </w:rPr>
        <w:t>Modification of Cushing’s disease-related traits by obesity status</w:t>
      </w:r>
    </w:p>
    <w:p w14:paraId="262B7255" w14:textId="7069DC58" w:rsidR="00F455CD" w:rsidRDefault="00F455CD" w:rsidP="00161005">
      <w:r>
        <w:t>To identify how obesity alters metabolic outcomes related to Cushing’s disease, we evaluated the effects of Cushing’s disease on several key metabolic variables including glycem</w:t>
      </w:r>
      <w:r w:rsidR="007C0841">
        <w:t>i</w:t>
      </w:r>
      <w:r>
        <w:t xml:space="preserve">a (fasting glucose and </w:t>
      </w:r>
      <w:r w:rsidR="007C0841">
        <w:t xml:space="preserve">for a smaller number of participants, </w:t>
      </w:r>
      <w:r>
        <w:t>HbA1c), liver enzymes, and blood pressure (Figure 2 and Table 3).  As described below we noted substantial effect modification by obesity for liver enzymes and blood pressure (Table 3B).</w:t>
      </w:r>
    </w:p>
    <w:p w14:paraId="02781A25" w14:textId="77777777" w:rsidR="00717EE5" w:rsidRDefault="00717EE5" w:rsidP="00547E80">
      <w:pPr>
        <w:pStyle w:val="Heading3"/>
      </w:pPr>
      <w:r>
        <w:t>Dysglycemia</w:t>
      </w:r>
    </w:p>
    <w:p w14:paraId="6B1BCFC7" w14:textId="464FA170" w:rsidR="00794C81" w:rsidRPr="00794C81" w:rsidRDefault="00644D5A" w:rsidP="004C5BA6">
      <w:r>
        <w:t>The</w:t>
      </w:r>
      <w:r w:rsidR="00794C81">
        <w:t xml:space="preserve"> first metabolic variable of interest was the fasting glucose levels of our obese and non-obese populations. As shown in </w:t>
      </w:r>
      <w:r w:rsidR="00EB0CB1">
        <w:t xml:space="preserve">Figure 2 and </w:t>
      </w:r>
      <w:r w:rsidR="00794C81">
        <w:t>Table 3</w:t>
      </w:r>
      <w:r w:rsidR="006F7B40">
        <w:t>A</w:t>
      </w:r>
      <w:r w:rsidR="00794C81">
        <w:t>, we observed a</w:t>
      </w:r>
      <w:r w:rsidR="00C75CF8">
        <w:t xml:space="preserve"> significant </w:t>
      </w:r>
      <w:r w:rsidR="00794C81">
        <w:t xml:space="preserve">increase in </w:t>
      </w:r>
      <w:r w:rsidR="004C5BA6">
        <w:t xml:space="preserve">fasting </w:t>
      </w:r>
      <w:r w:rsidR="00794C81">
        <w:t xml:space="preserve">blood glucose levels </w:t>
      </w:r>
      <w:r w:rsidR="00C75CF8">
        <w:t xml:space="preserve">among </w:t>
      </w:r>
      <w:r w:rsidR="004C5BA6">
        <w:t>participants</w:t>
      </w:r>
      <w:r w:rsidR="00C75CF8">
        <w:t xml:space="preserve"> with Cushing’s disease, regardless of obesity status</w:t>
      </w:r>
      <w:r w:rsidR="00514AC5">
        <w:t xml:space="preserve"> (p</w:t>
      </w:r>
      <w:r w:rsidR="00995BC6">
        <w:t>&lt;0.01</w:t>
      </w:r>
      <w:r w:rsidR="006F7B40">
        <w:t xml:space="preserve"> for both groups).</w:t>
      </w:r>
      <w:r w:rsidR="00C75CF8">
        <w:t xml:space="preserve"> The </w:t>
      </w:r>
      <w:r w:rsidR="0011718F">
        <w:t xml:space="preserve">patients with obesity </w:t>
      </w:r>
      <w:r w:rsidR="00C75CF8">
        <w:t xml:space="preserve">population had a slightly larger increase (26.9 vs. </w:t>
      </w:r>
      <w:r w:rsidR="007238AC">
        <w:t>24.6</w:t>
      </w:r>
      <w:r w:rsidR="006F7B40">
        <w:t xml:space="preserve"> mg/dL</w:t>
      </w:r>
      <w:r w:rsidR="00C75CF8">
        <w:t xml:space="preserve">) than </w:t>
      </w:r>
      <w:r w:rsidR="0011718F">
        <w:t>those with a BMI under 30 kg/m</w:t>
      </w:r>
      <w:r w:rsidR="0011718F" w:rsidRPr="0011718F">
        <w:rPr>
          <w:vertAlign w:val="superscript"/>
        </w:rPr>
        <w:t>2</w:t>
      </w:r>
      <w:r w:rsidR="00C75CF8">
        <w:t>, but this was not a large enough difference to provide any significant evidence of an effect modification for obesity</w:t>
      </w:r>
      <w:r w:rsidR="006F7B40">
        <w:t xml:space="preserve"> (p=0.51; Table 3B)</w:t>
      </w:r>
      <w:r w:rsidR="00C75CF8">
        <w:t xml:space="preserve">. </w:t>
      </w:r>
      <w:r w:rsidR="006F7B40">
        <w:t>Similarly</w:t>
      </w:r>
      <w:r w:rsidR="006E5D80">
        <w:t>,</w:t>
      </w:r>
      <w:r w:rsidR="00C75CF8">
        <w:t xml:space="preserve"> in Table 3</w:t>
      </w:r>
      <w:r w:rsidR="006F7B40">
        <w:t>A</w:t>
      </w:r>
      <w:r w:rsidR="00C75CF8">
        <w:t xml:space="preserve"> </w:t>
      </w:r>
      <w:r w:rsidR="006F7B40">
        <w:t>among the small number of patients with</w:t>
      </w:r>
      <w:r w:rsidR="00C75CF8">
        <w:t xml:space="preserve"> HbA1c </w:t>
      </w:r>
      <w:r w:rsidR="006F7B40">
        <w:t>values, there was</w:t>
      </w:r>
      <w:r w:rsidR="00C75CF8">
        <w:t xml:space="preserve"> a</w:t>
      </w:r>
      <w:r w:rsidR="006F7B40">
        <w:t xml:space="preserve">n </w:t>
      </w:r>
      <w:r w:rsidR="00514AC5">
        <w:t xml:space="preserve">insignificant increase in HbA1c levels </w:t>
      </w:r>
      <w:r w:rsidR="006F7B40">
        <w:t>in</w:t>
      </w:r>
      <w:r w:rsidR="00514AC5">
        <w:t xml:space="preserve"> the non-obese</w:t>
      </w:r>
      <w:r w:rsidR="006F7B40">
        <w:t xml:space="preserve"> patients</w:t>
      </w:r>
      <w:r w:rsidR="00514AC5">
        <w:t xml:space="preserve"> (</w:t>
      </w:r>
      <w:r w:rsidR="006F7B40">
        <w:t xml:space="preserve">0.91%; </w:t>
      </w:r>
      <w:r w:rsidR="00514AC5">
        <w:t xml:space="preserve">p=0.056). However, there was evidence of a significant increase in HbA1c levels </w:t>
      </w:r>
      <w:r w:rsidR="006F7B40">
        <w:t xml:space="preserve">in patients with obesity </w:t>
      </w:r>
      <w:r w:rsidR="00514AC5">
        <w:t>(</w:t>
      </w:r>
      <w:r w:rsidR="006F7B40">
        <w:t xml:space="preserve">1.38% </w:t>
      </w:r>
      <w:r w:rsidR="00514AC5">
        <w:t>p</w:t>
      </w:r>
      <w:r w:rsidR="00995BC6">
        <w:t>&lt;0.01</w:t>
      </w:r>
      <w:r w:rsidR="00514AC5">
        <w:t xml:space="preserve">). </w:t>
      </w:r>
      <w:r w:rsidR="006F7B40">
        <w:t xml:space="preserve">  Again</w:t>
      </w:r>
      <w:r w:rsidR="00F51B95">
        <w:t>.</w:t>
      </w:r>
      <w:r w:rsidR="006F7B40">
        <w:t xml:space="preserve"> there was no evidence of effect modification by obesity (p=0.41)</w:t>
      </w:r>
      <w:r>
        <w:t>.  This suggests that blood glucose increases with Cushing’s disease are largely additive.</w:t>
      </w:r>
    </w:p>
    <w:p w14:paraId="561F3983" w14:textId="28E16CE8" w:rsidR="00F455CD" w:rsidRDefault="00F455CD" w:rsidP="00547E80">
      <w:pPr>
        <w:pStyle w:val="Heading3"/>
      </w:pPr>
      <w:r>
        <w:t>MASLD and liver enzymes</w:t>
      </w:r>
    </w:p>
    <w:p w14:paraId="0C7D6550" w14:textId="2D968ABA" w:rsidR="00C75CF8" w:rsidRPr="00547E80" w:rsidRDefault="003868BC" w:rsidP="00547E80">
      <w:r>
        <w:t xml:space="preserve">To </w:t>
      </w:r>
      <w:r w:rsidR="00547E80">
        <w:t>assess</w:t>
      </w:r>
      <w:r>
        <w:t xml:space="preserve"> </w:t>
      </w:r>
      <w:r w:rsidR="00547E80">
        <w:t>MASLD</w:t>
      </w:r>
      <w:r>
        <w:t xml:space="preserve"> we looked at ALT </w:t>
      </w:r>
      <w:r w:rsidR="00E37D90">
        <w:t>and AST levels as indicators of liver damage</w:t>
      </w:r>
      <w:r w:rsidR="00EB0CB1">
        <w:t xml:space="preserve"> (Figure 2 and Table 3A)</w:t>
      </w:r>
      <w:r>
        <w:t xml:space="preserve">. In both our obese, and non-obese populations, we saw an increase in ALT </w:t>
      </w:r>
      <w:r w:rsidR="00E37D90">
        <w:t>and AST</w:t>
      </w:r>
      <w:r w:rsidR="00332E69">
        <w:t xml:space="preserve"> </w:t>
      </w:r>
      <w:r>
        <w:t>levels regardless of Cushing’s disease status</w:t>
      </w:r>
      <w:r w:rsidR="00547E80">
        <w:t xml:space="preserve"> </w:t>
      </w:r>
      <w:commentRangeStart w:id="3"/>
      <w:r>
        <w:t>(p</w:t>
      </w:r>
      <w:r w:rsidR="00995BC6">
        <w:t>&lt;0.0</w:t>
      </w:r>
      <w:r w:rsidR="00E37D90">
        <w:t>1 for both groups</w:t>
      </w:r>
      <w:r>
        <w:t xml:space="preserve">). </w:t>
      </w:r>
      <w:commentRangeEnd w:id="3"/>
      <w:r w:rsidR="00547E80">
        <w:rPr>
          <w:rStyle w:val="CommentReference"/>
          <w:sz w:val="24"/>
          <w:szCs w:val="24"/>
        </w:rPr>
        <w:commentReference w:id="3"/>
      </w:r>
      <w:r w:rsidR="00E37D90">
        <w:t>In this case, the</w:t>
      </w:r>
      <w:r>
        <w:t xml:space="preserve"> increase </w:t>
      </w:r>
      <w:r w:rsidR="00E37D90">
        <w:t xml:space="preserve">due to Cushing’s disease was much greater in the patients with obesity </w:t>
      </w:r>
      <w:r>
        <w:t>(</w:t>
      </w:r>
      <w:r w:rsidR="00E37D90">
        <w:t xml:space="preserve">73.4 </w:t>
      </w:r>
      <w:r w:rsidR="00E37D90">
        <w:lastRenderedPageBreak/>
        <w:t>vs 35.1 mg/dL, p</w:t>
      </w:r>
      <w:r w:rsidR="00E37D90" w:rsidRPr="00E37D90">
        <w:rPr>
          <w:vertAlign w:val="subscript"/>
        </w:rPr>
        <w:t>interaction</w:t>
      </w:r>
      <w:r w:rsidR="00E37D90">
        <w:t>&lt;0.01</w:t>
      </w:r>
      <w:r>
        <w:t>).</w:t>
      </w:r>
      <w:r w:rsidR="00E37D90">
        <w:t xml:space="preserve">  This was also true for AST levels (increase by 56.3 mg/dL in patients with obesity and 16.9 for patients without obesity,</w:t>
      </w:r>
      <w:r w:rsidR="00E37D90" w:rsidRPr="00E37D90">
        <w:t xml:space="preserve"> </w:t>
      </w:r>
      <w:r w:rsidR="00E37D90">
        <w:t>p</w:t>
      </w:r>
      <w:r w:rsidR="00E37D90" w:rsidRPr="00E37D90">
        <w:rPr>
          <w:vertAlign w:val="subscript"/>
        </w:rPr>
        <w:t>interaction</w:t>
      </w:r>
      <w:r w:rsidR="00E37D90">
        <w:t>=0.034).  These data support the hypothesis</w:t>
      </w:r>
      <w:r>
        <w:t xml:space="preserve"> that obesity </w:t>
      </w:r>
      <w:r w:rsidR="00E37D90">
        <w:t>enhances Cushing’s associated liver damage</w:t>
      </w:r>
      <w:r>
        <w:t>.</w:t>
      </w:r>
    </w:p>
    <w:p w14:paraId="26DFC1F7" w14:textId="377F7EFB" w:rsidR="00F455CD" w:rsidRDefault="00F455CD" w:rsidP="00547E80">
      <w:pPr>
        <w:pStyle w:val="Heading3"/>
      </w:pPr>
      <w:r>
        <w:t>Blood Pressure</w:t>
      </w:r>
    </w:p>
    <w:p w14:paraId="50829F1A" w14:textId="1BD2F1D9" w:rsidR="003868BC" w:rsidRPr="00F455CD" w:rsidRDefault="00A250E3" w:rsidP="00547E80">
      <w:r>
        <w:t xml:space="preserve">We </w:t>
      </w:r>
      <w:r w:rsidR="00807321">
        <w:t>evaluated</w:t>
      </w:r>
      <w:r w:rsidR="00547E80">
        <w:t xml:space="preserve"> blood pressure readings as systolic, diastolic and mean arterial pressure</w:t>
      </w:r>
      <w:r w:rsidR="00EB0CB1">
        <w:t>s</w:t>
      </w:r>
      <w:r w:rsidR="00547E80">
        <w:t xml:space="preserve"> </w:t>
      </w:r>
      <w:r>
        <w:t xml:space="preserve"> (</w:t>
      </w:r>
      <w:r w:rsidR="00EB0CB1">
        <w:t xml:space="preserve">Figure 2 and </w:t>
      </w:r>
      <w:r>
        <w:t xml:space="preserve">Table 3A). </w:t>
      </w:r>
      <w:r w:rsidR="00477D86">
        <w:t>We</w:t>
      </w:r>
      <w:r>
        <w:t xml:space="preserve"> </w:t>
      </w:r>
      <w:r w:rsidR="00477D86">
        <w:t>observed</w:t>
      </w:r>
      <w:r>
        <w:t xml:space="preserve"> significant increase</w:t>
      </w:r>
      <w:r w:rsidR="00477D86">
        <w:t>s for all measures</w:t>
      </w:r>
      <w:r>
        <w:t xml:space="preserve"> in </w:t>
      </w:r>
      <w:r w:rsidR="00477D86">
        <w:t>patients without obesity</w:t>
      </w:r>
      <w:r>
        <w:t xml:space="preserve"> (p=</w:t>
      </w:r>
      <w:r w:rsidR="007E45EA">
        <w:t>&lt;0.01</w:t>
      </w:r>
      <w:r>
        <w:t xml:space="preserve">). We did not, however, </w:t>
      </w:r>
      <w:r w:rsidR="00547E80">
        <w:t>observe</w:t>
      </w:r>
      <w:r>
        <w:t xml:space="preserve"> this same significant </w:t>
      </w:r>
      <w:r w:rsidR="007E45EA">
        <w:t xml:space="preserve">magnitude of </w:t>
      </w:r>
      <w:r>
        <w:t>increase</w:t>
      </w:r>
      <w:r w:rsidR="007E45EA">
        <w:t>s in blood pressure</w:t>
      </w:r>
      <w:r>
        <w:t xml:space="preserve"> in </w:t>
      </w:r>
      <w:r w:rsidR="007E45EA">
        <w:t>Cushing’s patients with obesity</w:t>
      </w:r>
      <w:r>
        <w:t xml:space="preserve"> population</w:t>
      </w:r>
      <w:r w:rsidR="007E45EA">
        <w:t xml:space="preserve">.  For example, in terms of systolic blood pressure, Cushing’s disease was associated with an increase of 11.97 mm Hg in patients without obesity but 3.08 mm Hg.  This attenuation of the effect of Cushing’s disease with obesity was significant </w:t>
      </w:r>
      <w:r w:rsidR="00746609">
        <w:t>for mean, systolic, and diastolic bood pressure (p</w:t>
      </w:r>
      <w:r w:rsidR="00746609" w:rsidRPr="00746609">
        <w:rPr>
          <w:vertAlign w:val="subscript"/>
        </w:rPr>
        <w:t>interaction</w:t>
      </w:r>
      <w:r w:rsidR="00746609">
        <w:t xml:space="preserve">&lt;0.01 for each).  </w:t>
      </w:r>
      <w:r>
        <w:t xml:space="preserve">This </w:t>
      </w:r>
      <w:r w:rsidR="00746609">
        <w:t>suggests that obesity may have a protective effect on Cushing’s induced hypertension.</w:t>
      </w:r>
    </w:p>
    <w:p w14:paraId="2505785D" w14:textId="0B94B029" w:rsidR="00EB133A" w:rsidRDefault="00EB133A" w:rsidP="00EB133A">
      <w:pPr>
        <w:pStyle w:val="NormalWeb"/>
        <w:rPr>
          <w:rStyle w:val="Heading2Char"/>
        </w:rPr>
      </w:pPr>
      <w:r w:rsidRPr="00EB133A">
        <w:rPr>
          <w:rStyle w:val="Heading2Char"/>
        </w:rPr>
        <w:t>Sensitivity and secondary analyses</w:t>
      </w:r>
    </w:p>
    <w:p w14:paraId="21CB0796" w14:textId="5DB96449" w:rsidR="006A5ED4" w:rsidRDefault="006A5ED4" w:rsidP="006A5ED4">
      <w:r>
        <w:t>We performed a variety of sensitivity analyses to test the assumptions used in evaluating these effects, summarized in Table 4.</w:t>
      </w:r>
      <w:r w:rsidR="000E4E9E">
        <w:t xml:space="preserve">  By and large, these analyses show that the effects described above are robust to different analytical methods.  For example, the synergistic effects of obesity and Cushing’s disease on liver enzymes was similar and significant across different demographic adjustments.  We also found that propensity matching cases for BMI, or including BMI as a covariate did not attenuate these effects.  Within subgroups, we did notice some suggestive trends.  For example, the synergistic (and antagonistic) effects of obesity increased as obesity increased.  For example, the interaction between Class I obesity and Cushing’s disease on ALT levels was -12.8 mg/dL but increased to 30.3 for Class II obesity and 80.7 for class III obesity.  Since this analysis already accounted for a main effect of obesity status, this suggest that as obesity increases, the negative effect of Cushing’s disease on liver enzymes increased, while the protective effect on blood pressure was also trended to increase in magnitude.  Stratifying by gender, we noticed that female patients generally had worsened but more variable effect estimates.  In the case of AST, the interaction between obesity and Cushings’s was estimated at 41.9 [-3.7-87.5] mg/dL but for males it was 25.8 [11.4-40.1] mg/dL.  </w:t>
      </w:r>
    </w:p>
    <w:p w14:paraId="7A0DC80F" w14:textId="4FED67FE" w:rsidR="005D57A7" w:rsidRDefault="005D57A7" w:rsidP="00EB133A">
      <w:pPr>
        <w:pStyle w:val="Heading1"/>
      </w:pPr>
      <w:r>
        <w:t>Discussion</w:t>
      </w:r>
    </w:p>
    <w:p w14:paraId="64033048" w14:textId="77777777" w:rsidR="0084083C" w:rsidRDefault="0084083C" w:rsidP="0084083C">
      <w:pPr>
        <w:pStyle w:val="ListParagraph"/>
      </w:pPr>
    </w:p>
    <w:p w14:paraId="4F0882FB" w14:textId="62970D2B" w:rsidR="00D82F2C" w:rsidRDefault="008B790B" w:rsidP="00D82F2C">
      <w:pPr>
        <w:pStyle w:val="ListParagraph"/>
        <w:ind w:left="0"/>
      </w:pPr>
      <w:r>
        <w:lastRenderedPageBreak/>
        <w:t>This analysis of the effects of obesity and Cushing’s disease demonstrate a complex set of interactions between the presence of obesity on Cushing’s disease- and obesity-related pathophysiology.  We report that liver enzymes are enhanced relative to what we would predict from the additive effects of Cushing’s disease and obesity together, while in the case of blood pressure, obesity appears to reduce the effects of Cushing’s disease.  Glucose homeostasis appears to be explained well by an additive model</w:t>
      </w:r>
      <w:r w:rsidR="006970D5">
        <w:t xml:space="preserve"> in our primary analysis.</w:t>
      </w:r>
    </w:p>
    <w:p w14:paraId="4CBEDEE2" w14:textId="77777777" w:rsidR="008B790B" w:rsidRDefault="008B790B" w:rsidP="00D82F2C">
      <w:pPr>
        <w:pStyle w:val="ListParagraph"/>
        <w:ind w:left="0"/>
      </w:pPr>
    </w:p>
    <w:p w14:paraId="38971267" w14:textId="6FFD3162" w:rsidR="008B790B" w:rsidRDefault="008B790B" w:rsidP="00D82F2C">
      <w:pPr>
        <w:pStyle w:val="ListParagraph"/>
        <w:ind w:left="0"/>
      </w:pPr>
      <w:r>
        <w:t xml:space="preserve">These data are in part consistent with experimental animal studies in our group where pre-existing obesity aggravated liver steatosis and muscle function </w:t>
      </w:r>
      <w:commentRangeStart w:id="4"/>
      <w:r>
        <w:t xml:space="preserve">loss </w:t>
      </w:r>
      <w:commentRangeEnd w:id="4"/>
      <w:r w:rsidR="006970D5">
        <w:rPr>
          <w:rStyle w:val="CommentReference"/>
          <w:sz w:val="24"/>
          <w:szCs w:val="24"/>
        </w:rPr>
        <w:commentReference w:id="4"/>
      </w:r>
      <w:r>
        <w:t xml:space="preserve">.  These data are also consistent with our previous report demonstrating that obesity modifies Cushing’s-induced transcriptional changes in adipose </w:t>
      </w:r>
      <w:commentRangeStart w:id="5"/>
      <w:r>
        <w:t xml:space="preserve">tissue </w:t>
      </w:r>
      <w:commentRangeEnd w:id="5"/>
      <w:r w:rsidR="006970D5">
        <w:rPr>
          <w:rStyle w:val="CommentReference"/>
          <w:sz w:val="24"/>
          <w:szCs w:val="24"/>
        </w:rPr>
        <w:commentReference w:id="5"/>
      </w:r>
      <w:r w:rsidR="006970D5">
        <w:t>.  We remain interested in Cushing’s induced bone and muscle loss, as well as the effect of obesity and Cushing’s disease on blood lipids and kidney function, but did not have sufficient laboratory results in these participants to make reliable conclusions.</w:t>
      </w:r>
    </w:p>
    <w:p w14:paraId="5AEEC314" w14:textId="77777777" w:rsidR="00AF2CDB" w:rsidRDefault="00AF2CDB" w:rsidP="00D82F2C">
      <w:pPr>
        <w:pStyle w:val="ListParagraph"/>
        <w:ind w:left="0"/>
      </w:pPr>
    </w:p>
    <w:p w14:paraId="72ECA82D" w14:textId="53163CC3" w:rsidR="00AF2CDB" w:rsidRDefault="00AF2CDB" w:rsidP="00D82F2C">
      <w:pPr>
        <w:pStyle w:val="ListParagraph"/>
        <w:ind w:left="0"/>
      </w:pPr>
      <w:r>
        <w:t xml:space="preserve">Pathophysiologically, the induction of adipocyte lipolysis by cortisol’s direct effects on adipocytes, as well as its indirect effects on insulin signaling in adipocytes may explain increased liver disease in patients with obesity and Cushing’s disease.  This could be due to a confluence of increased triglyceride stores available for release, increased signaling, and decreased hepatic triglyceride export due to hepatic insulin resistance.  It is less clear to us why blood pressure is not augmented.  We report that both obesity and Cushing’s disease increase systolic, diastolic and mean arterial pressure, but when both are combined the effect is strongly attenuated (Figure 2 and Table 3).  Obesity is a well-known risk factor for </w:t>
      </w:r>
      <w:commentRangeStart w:id="6"/>
      <w:r>
        <w:t>hypertension</w:t>
      </w:r>
      <w:commentRangeEnd w:id="6"/>
      <w:r>
        <w:rPr>
          <w:rStyle w:val="CommentReference"/>
          <w:sz w:val="24"/>
          <w:szCs w:val="24"/>
        </w:rPr>
        <w:commentReference w:id="6"/>
      </w:r>
      <w:r>
        <w:t xml:space="preserve"> .  Prior studies have shown </w:t>
      </w:r>
      <w:commentRangeStart w:id="7"/>
      <w:r>
        <w:t xml:space="preserve">XXXX </w:t>
      </w:r>
      <w:commentRangeEnd w:id="7"/>
      <w:r>
        <w:rPr>
          <w:rStyle w:val="CommentReference"/>
          <w:sz w:val="24"/>
          <w:szCs w:val="24"/>
        </w:rPr>
        <w:commentReference w:id="7"/>
      </w:r>
      <w:r>
        <w:t xml:space="preserve">regarding blood pressure in Cushing’s disease patients.  One possibility is that patients with obesity and Cushing’s disease are already medicated to control their hypertension </w:t>
      </w:r>
      <w:commentRangeStart w:id="8"/>
      <w:r>
        <w:t>levels</w:t>
      </w:r>
      <w:commentRangeEnd w:id="8"/>
      <w:r w:rsidR="00691E73">
        <w:rPr>
          <w:rStyle w:val="CommentReference"/>
          <w:sz w:val="24"/>
          <w:szCs w:val="24"/>
        </w:rPr>
        <w:commentReference w:id="8"/>
      </w:r>
      <w:r>
        <w:t xml:space="preserve">.  </w:t>
      </w:r>
    </w:p>
    <w:p w14:paraId="25264937" w14:textId="77777777" w:rsidR="00AF2CDB" w:rsidRDefault="00AF2CDB" w:rsidP="00D82F2C">
      <w:pPr>
        <w:pStyle w:val="ListParagraph"/>
        <w:ind w:left="0"/>
      </w:pPr>
    </w:p>
    <w:p w14:paraId="7379F7EA" w14:textId="0632B6F5" w:rsidR="00AF2CDB" w:rsidRPr="00AF2CDB" w:rsidRDefault="00AF2CDB" w:rsidP="00D82F2C">
      <w:pPr>
        <w:pStyle w:val="ListParagraph"/>
        <w:ind w:left="0"/>
      </w:pPr>
      <w:r>
        <w:t>We also report several interesting gender differences in how obesity and Cushing’s disease interact.  We find, as others have before, that Cushing’s disease affects women at a higher rate.  We also find that among the pool of Cushing’s disease patients with obesity, that is also more likely to be female.  Women in this group, on average, tend to have worsened and more heterogeneous responses to these dual co-morbidities than males</w:t>
      </w:r>
      <w:r w:rsidR="00691E73">
        <w:t xml:space="preserve"> (Table 4)</w:t>
      </w:r>
      <w:r>
        <w:t>.</w:t>
      </w:r>
      <w:r w:rsidR="005015D3">
        <w:t xml:space="preserve">  In our view, this warrants more detailed studies on sex differences, including the modifying effect of sex hormones on glucocorticoid signaling in the context of obesity.</w:t>
      </w:r>
    </w:p>
    <w:p w14:paraId="7F8E89D2" w14:textId="77777777" w:rsidR="00D82F2C" w:rsidRDefault="00D82F2C" w:rsidP="00D82F2C">
      <w:pPr>
        <w:pStyle w:val="ListParagraph"/>
        <w:ind w:left="0"/>
      </w:pPr>
    </w:p>
    <w:p w14:paraId="313A865B" w14:textId="62A189FA" w:rsidR="00691E73" w:rsidRDefault="00691E73" w:rsidP="00D82F2C">
      <w:pPr>
        <w:pStyle w:val="ListParagraph"/>
        <w:ind w:left="0"/>
      </w:pPr>
      <w:r>
        <w:t xml:space="preserve">There are several strengths of this study, including a large number of patients identified for a rare disease, coupled with standardized laboratory results and comprehensive medical </w:t>
      </w:r>
      <w:r>
        <w:lastRenderedPageBreak/>
        <w:t xml:space="preserve">records.  The ability to match patients by age and demographic factors is also a strength of this analysis, as is the robustness of the analysis as demonstrated by our sensitivity analyses.  In our primary analysis patients with Cushing’s disease and obesity tended to have a higher BMI than the non-Cushing’s patients with obesity (Table 2), raising a concern that perhaps the augmentation in ALT/AST was just due to patients being at a higher BMI.  While this is a concern, we report that adjusting for BMI within group, and propensity matching for BMI did not modify the interaction effect estimates, which remained significant and approximately the same magnitude (Table 4), limiting that concern.  </w:t>
      </w:r>
    </w:p>
    <w:p w14:paraId="3606A306" w14:textId="77777777" w:rsidR="00691E73" w:rsidRDefault="00691E73" w:rsidP="00D82F2C">
      <w:pPr>
        <w:pStyle w:val="ListParagraph"/>
        <w:ind w:left="0"/>
      </w:pPr>
    </w:p>
    <w:p w14:paraId="140F3952" w14:textId="5B36C0C9" w:rsidR="00691E73" w:rsidRDefault="00691E73" w:rsidP="00D82F2C">
      <w:pPr>
        <w:pStyle w:val="ListParagraph"/>
        <w:ind w:left="0"/>
      </w:pPr>
      <w:r>
        <w:t>There are however several other limitations to this work.  A large number of patients were diagnosed with Cushing’s but their procedure date was not indicated.  Second, this patient cohort was relatively homogeneous, consisting of mostly White patients, limiting our ability to evaluate race- or ancestry-specific differences.  Several patients did not have laboratory results in our window, so we were underpowered for some analyses (</w:t>
      </w:r>
      <w:r w:rsidRPr="00691E73">
        <w:rPr>
          <w:i/>
          <w:iCs/>
        </w:rPr>
        <w:t>i.e.</w:t>
      </w:r>
      <w:r>
        <w:t xml:space="preserve"> HbA1c) and unable to perform others (triglyceride levels, LDL levels, bone density) that were of interest.  In most cases, only one laboratory value was available prior to treatment.  The long-term consequences of Cushing’s disease, with or without obesity are also highly important as patients may live decades after their treatment and we look forward to future studies to investigate these effects.</w:t>
      </w:r>
    </w:p>
    <w:p w14:paraId="290DEB47" w14:textId="77777777" w:rsidR="00691E73" w:rsidRDefault="00691E73" w:rsidP="00D82F2C">
      <w:pPr>
        <w:pStyle w:val="ListParagraph"/>
        <w:ind w:left="0"/>
      </w:pPr>
    </w:p>
    <w:p w14:paraId="45EA4D0F" w14:textId="24CE7507" w:rsidR="00691E73" w:rsidRDefault="00691E73" w:rsidP="00D82F2C">
      <w:pPr>
        <w:pStyle w:val="ListParagraph"/>
        <w:ind w:left="0"/>
      </w:pPr>
      <w:r>
        <w:t xml:space="preserve">Cushing’s disease is unique in that it both causes obesity and causes several obesity-related pathophysiological comorbidities including MASLD, insulin resistance and hypertension.  </w:t>
      </w:r>
      <w:r w:rsidR="005015D3">
        <w:t>Our approach was geared towards separating the obesity- and Cushing[s dependent impacts on these co-morbidities and revealed a surprising and complex picture of integrated pathophysiology.  This study provides novel data that obesity and Cushing’s disease interact, suggesting that obesity and Cushing’s disease may result in worsened liver damage, but that the augmented effects on hypertension are lower than expected.  These results may be valuable for the accurate monitoring and treatment of the majority of Cushing’s patients who also have elevated adiposity.</w:t>
      </w:r>
    </w:p>
    <w:p w14:paraId="19AA1532" w14:textId="731B5160" w:rsidR="00EB133A" w:rsidRDefault="00AB7571" w:rsidP="00EB133A">
      <w:pPr>
        <w:pStyle w:val="Heading1"/>
      </w:pPr>
      <w:r>
        <w:t>References</w:t>
      </w:r>
    </w:p>
    <w:p w14:paraId="6355FE01" w14:textId="77777777" w:rsidR="0074215A" w:rsidRPr="0074215A" w:rsidRDefault="00AB7571" w:rsidP="0074215A">
      <w:pPr>
        <w:pStyle w:val="Bibliography"/>
        <w:rPr>
          <w:rFonts w:ascii="Aptos"/>
        </w:rPr>
      </w:pPr>
      <w:r>
        <w:fldChar w:fldCharType="begin"/>
      </w:r>
      <w:r w:rsidR="00526CE3">
        <w:instrText xml:space="preserve"> ADDIN ZOTERO_BIBL {"uncited":[],"omitted":[],"custom":[]} CSL_BIBLIOGRAPHY </w:instrText>
      </w:r>
      <w:r>
        <w:fldChar w:fldCharType="separate"/>
      </w:r>
      <w:r w:rsidR="0074215A" w:rsidRPr="0074215A">
        <w:rPr>
          <w:rFonts w:ascii="Aptos"/>
        </w:rPr>
        <w:t xml:space="preserve">Alqeeq, B. F., Ayyad, M., Almadhoun, W. J., Aboabdo, M., Aldahdouh, M. S., Al-Tawil, M., &amp; Al-Ghazali, A. M. (2024). Sex-related differences in Cushing’s disease: A systematic review and meta-analysis. </w:t>
      </w:r>
      <w:r w:rsidR="0074215A" w:rsidRPr="0074215A">
        <w:rPr>
          <w:rFonts w:ascii="Aptos"/>
          <w:i/>
          <w:iCs/>
        </w:rPr>
        <w:t>Annals of Saudi Medicine</w:t>
      </w:r>
      <w:r w:rsidR="0074215A" w:rsidRPr="0074215A">
        <w:rPr>
          <w:rFonts w:ascii="Aptos"/>
        </w:rPr>
        <w:t xml:space="preserve">, </w:t>
      </w:r>
      <w:r w:rsidR="0074215A" w:rsidRPr="0074215A">
        <w:rPr>
          <w:rFonts w:ascii="Aptos"/>
          <w:i/>
          <w:iCs/>
        </w:rPr>
        <w:t>44</w:t>
      </w:r>
      <w:r w:rsidR="0074215A" w:rsidRPr="0074215A">
        <w:rPr>
          <w:rFonts w:ascii="Aptos"/>
        </w:rPr>
        <w:t>(1), 55–65. https://doi.org/10.5144/0256-4947.2024.55</w:t>
      </w:r>
    </w:p>
    <w:p w14:paraId="74FE5EA0" w14:textId="77777777" w:rsidR="0074215A" w:rsidRPr="0074215A" w:rsidRDefault="0074215A" w:rsidP="0074215A">
      <w:pPr>
        <w:pStyle w:val="Bibliography"/>
        <w:rPr>
          <w:rFonts w:ascii="Aptos"/>
        </w:rPr>
      </w:pPr>
      <w:r w:rsidRPr="0074215A">
        <w:rPr>
          <w:rFonts w:ascii="Aptos"/>
        </w:rPr>
        <w:lastRenderedPageBreak/>
        <w:t xml:space="preserve">Braun, L. T., Riester, A., Oßwald-Kopp, A., Fazel, J., Rubinstein, G., Bidlingmaier, M., Beuschlein, F., &amp; Reincke, M. (2019). Toward a Diagnostic Score in Cushing’s Syndrome. </w:t>
      </w:r>
      <w:r w:rsidRPr="0074215A">
        <w:rPr>
          <w:rFonts w:ascii="Aptos"/>
          <w:i/>
          <w:iCs/>
        </w:rPr>
        <w:t>Frontiers in Endocrinology</w:t>
      </w:r>
      <w:r w:rsidRPr="0074215A">
        <w:rPr>
          <w:rFonts w:ascii="Aptos"/>
        </w:rPr>
        <w:t xml:space="preserve">, </w:t>
      </w:r>
      <w:r w:rsidRPr="0074215A">
        <w:rPr>
          <w:rFonts w:ascii="Aptos"/>
          <w:i/>
          <w:iCs/>
        </w:rPr>
        <w:t>10</w:t>
      </w:r>
      <w:r w:rsidRPr="0074215A">
        <w:rPr>
          <w:rFonts w:ascii="Aptos"/>
        </w:rPr>
        <w:t>, 766. https://doi.org/10.3389/fendo.2019.00766</w:t>
      </w:r>
    </w:p>
    <w:p w14:paraId="5D812067" w14:textId="77777777" w:rsidR="0074215A" w:rsidRPr="0074215A" w:rsidRDefault="0074215A" w:rsidP="0074215A">
      <w:pPr>
        <w:pStyle w:val="Bibliography"/>
        <w:rPr>
          <w:rFonts w:ascii="Aptos"/>
        </w:rPr>
      </w:pPr>
      <w:r w:rsidRPr="0074215A">
        <w:rPr>
          <w:rFonts w:ascii="Aptos"/>
        </w:rPr>
        <w:t xml:space="preserve">Broder, M. S., Neary, M. P., Chang, E., Cherepanov, D., &amp; Ludlam, W. H. (2015). Incidence of Cushing’s syndrome and Cushing’s disease in commercially-insured patients &lt;65 years old in the United States. </w:t>
      </w:r>
      <w:r w:rsidRPr="0074215A">
        <w:rPr>
          <w:rFonts w:ascii="Aptos"/>
          <w:i/>
          <w:iCs/>
        </w:rPr>
        <w:t>Pituitary</w:t>
      </w:r>
      <w:r w:rsidRPr="0074215A">
        <w:rPr>
          <w:rFonts w:ascii="Aptos"/>
        </w:rPr>
        <w:t xml:space="preserve">, </w:t>
      </w:r>
      <w:r w:rsidRPr="0074215A">
        <w:rPr>
          <w:rFonts w:ascii="Aptos"/>
          <w:i/>
          <w:iCs/>
        </w:rPr>
        <w:t>18</w:t>
      </w:r>
      <w:r w:rsidRPr="0074215A">
        <w:rPr>
          <w:rFonts w:ascii="Aptos"/>
        </w:rPr>
        <w:t>(3), 283–289. https://doi.org/10.1007/s11102-014-0569-6</w:t>
      </w:r>
    </w:p>
    <w:p w14:paraId="3DC4E80F" w14:textId="77777777" w:rsidR="0074215A" w:rsidRPr="0074215A" w:rsidRDefault="0074215A" w:rsidP="0074215A">
      <w:pPr>
        <w:pStyle w:val="Bibliography"/>
        <w:rPr>
          <w:rFonts w:ascii="Aptos"/>
        </w:rPr>
      </w:pPr>
      <w:r w:rsidRPr="0074215A">
        <w:rPr>
          <w:rFonts w:ascii="Aptos"/>
        </w:rPr>
        <w:t xml:space="preserve">DeFronzo, R. A., &amp; Auchus, R. J. (2025). Cushing Syndrome, Hypercortisolism, and Glucose Homeostasis: A Review. </w:t>
      </w:r>
      <w:r w:rsidRPr="0074215A">
        <w:rPr>
          <w:rFonts w:ascii="Aptos"/>
          <w:i/>
          <w:iCs/>
        </w:rPr>
        <w:t>Diabetes</w:t>
      </w:r>
      <w:r w:rsidRPr="0074215A">
        <w:rPr>
          <w:rFonts w:ascii="Aptos"/>
        </w:rPr>
        <w:t xml:space="preserve">, </w:t>
      </w:r>
      <w:r w:rsidRPr="0074215A">
        <w:rPr>
          <w:rFonts w:ascii="Aptos"/>
          <w:i/>
          <w:iCs/>
        </w:rPr>
        <w:t>74</w:t>
      </w:r>
      <w:r w:rsidRPr="0074215A">
        <w:rPr>
          <w:rFonts w:ascii="Aptos"/>
        </w:rPr>
        <w:t>(12), 2168–2178. https://doi.org/10.2337/db25-0120</w:t>
      </w:r>
    </w:p>
    <w:p w14:paraId="46075CB8" w14:textId="77777777" w:rsidR="0074215A" w:rsidRPr="0074215A" w:rsidRDefault="0074215A" w:rsidP="0074215A">
      <w:pPr>
        <w:pStyle w:val="Bibliography"/>
        <w:rPr>
          <w:rFonts w:ascii="Aptos"/>
        </w:rPr>
      </w:pPr>
      <w:r w:rsidRPr="0074215A">
        <w:rPr>
          <w:rFonts w:ascii="Aptos"/>
        </w:rPr>
        <w:t xml:space="preserve">Etxabe, J., &amp; Vazquez, J. A. (1994). Morbidity and mortality in Cushing’s disease: An epidemiological approach. </w:t>
      </w:r>
      <w:r w:rsidRPr="0074215A">
        <w:rPr>
          <w:rFonts w:ascii="Aptos"/>
          <w:i/>
          <w:iCs/>
        </w:rPr>
        <w:t>Clin Endocrinol (Oxf)</w:t>
      </w:r>
      <w:r w:rsidRPr="0074215A">
        <w:rPr>
          <w:rFonts w:ascii="Aptos"/>
        </w:rPr>
        <w:t xml:space="preserve">, </w:t>
      </w:r>
      <w:r w:rsidRPr="0074215A">
        <w:rPr>
          <w:rFonts w:ascii="Aptos"/>
          <w:i/>
          <w:iCs/>
        </w:rPr>
        <w:t>40</w:t>
      </w:r>
      <w:r w:rsidRPr="0074215A">
        <w:rPr>
          <w:rFonts w:ascii="Aptos"/>
        </w:rPr>
        <w:t>(4), 479–484. https://doi.org/10.1111/j.1365-2265.1994.tb02486.x</w:t>
      </w:r>
    </w:p>
    <w:p w14:paraId="237CCD72" w14:textId="77777777" w:rsidR="0074215A" w:rsidRPr="0074215A" w:rsidRDefault="0074215A" w:rsidP="0074215A">
      <w:pPr>
        <w:pStyle w:val="Bibliography"/>
        <w:rPr>
          <w:rFonts w:ascii="Aptos"/>
        </w:rPr>
      </w:pPr>
      <w:r w:rsidRPr="0074215A">
        <w:rPr>
          <w:rFonts w:ascii="Aptos"/>
        </w:rPr>
        <w:t xml:space="preserve">Fleseriu, M., Auchus, R., Bancos, I., Ben-Shlomo, A., Bertherat, J., Biermasz, N. R., Boguszewski, C. L., Bronstein, M. D., Buchfelder, M., Carmichael, J. D., Casanueva, F. F., Castinetti, F., Chanson, P., Findling, J., Gadelha, M., Geer, E. B., Giustina, A., Grossman, A., Gurnell, M., … Biller, B. M. K. (2021). Consensus on Diagnosis and Management of Cushing’s Disease: A Guideline Update. </w:t>
      </w:r>
      <w:r w:rsidRPr="0074215A">
        <w:rPr>
          <w:rFonts w:ascii="Aptos"/>
          <w:i/>
          <w:iCs/>
        </w:rPr>
        <w:t>The Lancet. Diabetes &amp; Endocrinology</w:t>
      </w:r>
      <w:r w:rsidRPr="0074215A">
        <w:rPr>
          <w:rFonts w:ascii="Aptos"/>
        </w:rPr>
        <w:t xml:space="preserve">, </w:t>
      </w:r>
      <w:r w:rsidRPr="0074215A">
        <w:rPr>
          <w:rFonts w:ascii="Aptos"/>
          <w:i/>
          <w:iCs/>
        </w:rPr>
        <w:t>9</w:t>
      </w:r>
      <w:r w:rsidRPr="0074215A">
        <w:rPr>
          <w:rFonts w:ascii="Aptos"/>
        </w:rPr>
        <w:t>(12), 847–875. https://doi.org/10.1016/S2213-8587(21)00235-7</w:t>
      </w:r>
    </w:p>
    <w:p w14:paraId="05E256A6" w14:textId="77777777" w:rsidR="0074215A" w:rsidRPr="0074215A" w:rsidRDefault="0074215A" w:rsidP="0074215A">
      <w:pPr>
        <w:pStyle w:val="Bibliography"/>
        <w:rPr>
          <w:rFonts w:ascii="Aptos"/>
        </w:rPr>
      </w:pPr>
      <w:r w:rsidRPr="0074215A">
        <w:rPr>
          <w:rFonts w:ascii="Aptos"/>
        </w:rPr>
        <w:t xml:space="preserve">Gadelha, M., Gatto, F., Wildemberg, L. E., &amp; Fleseriu, M. (2023). Cushing’s syndrome. </w:t>
      </w:r>
      <w:r w:rsidRPr="0074215A">
        <w:rPr>
          <w:rFonts w:ascii="Aptos"/>
          <w:i/>
          <w:iCs/>
        </w:rPr>
        <w:t>The Lancet</w:t>
      </w:r>
      <w:r w:rsidRPr="0074215A">
        <w:rPr>
          <w:rFonts w:ascii="Aptos"/>
        </w:rPr>
        <w:t xml:space="preserve">, </w:t>
      </w:r>
      <w:r w:rsidRPr="0074215A">
        <w:rPr>
          <w:rFonts w:ascii="Aptos"/>
          <w:i/>
          <w:iCs/>
        </w:rPr>
        <w:t>402</w:t>
      </w:r>
      <w:r w:rsidRPr="0074215A">
        <w:rPr>
          <w:rFonts w:ascii="Aptos"/>
        </w:rPr>
        <w:t>(10418), 2237–2252. https://doi.org/10.1016/S0140-6736(23)01961-X</w:t>
      </w:r>
    </w:p>
    <w:p w14:paraId="5722D5AD" w14:textId="77777777" w:rsidR="0074215A" w:rsidRPr="0074215A" w:rsidRDefault="0074215A" w:rsidP="0074215A">
      <w:pPr>
        <w:pStyle w:val="Bibliography"/>
        <w:rPr>
          <w:rFonts w:ascii="Aptos"/>
        </w:rPr>
      </w:pPr>
      <w:r w:rsidRPr="0074215A">
        <w:rPr>
          <w:rFonts w:ascii="Aptos"/>
        </w:rPr>
        <w:lastRenderedPageBreak/>
        <w:t xml:space="preserve">Giordano, R., Picu, A., Marinazzo, E., D’Angelo, V., Berardelli, R., Karamouzis, I., Forno, D., Zinnà, D., Maccario, M., Ghigo, E., &amp; Arvat, E. (2011). Metabolic and cardiovascular outcomes in patients with Cushing’s syndrome of different aetiologies during active disease and 1 year after remission. </w:t>
      </w:r>
      <w:r w:rsidRPr="0074215A">
        <w:rPr>
          <w:rFonts w:ascii="Aptos"/>
          <w:i/>
          <w:iCs/>
        </w:rPr>
        <w:t>Clinical Endocrinology</w:t>
      </w:r>
      <w:r w:rsidRPr="0074215A">
        <w:rPr>
          <w:rFonts w:ascii="Aptos"/>
        </w:rPr>
        <w:t xml:space="preserve">, </w:t>
      </w:r>
      <w:r w:rsidRPr="0074215A">
        <w:rPr>
          <w:rFonts w:ascii="Aptos"/>
          <w:i/>
          <w:iCs/>
        </w:rPr>
        <w:t>75</w:t>
      </w:r>
      <w:r w:rsidRPr="0074215A">
        <w:rPr>
          <w:rFonts w:ascii="Aptos"/>
        </w:rPr>
        <w:t>(3), 354–360. https://doi.org/10.1111/j.1365-2265.2011.04055.x</w:t>
      </w:r>
    </w:p>
    <w:p w14:paraId="6E6C309A" w14:textId="77777777" w:rsidR="0074215A" w:rsidRPr="0074215A" w:rsidRDefault="0074215A" w:rsidP="0074215A">
      <w:pPr>
        <w:pStyle w:val="Bibliography"/>
        <w:rPr>
          <w:rFonts w:ascii="Aptos"/>
        </w:rPr>
      </w:pPr>
      <w:r w:rsidRPr="0074215A">
        <w:rPr>
          <w:rFonts w:ascii="Aptos"/>
        </w:rPr>
        <w:t xml:space="preserve">Ho, D., Imai, K., King, G., &amp; Stuart, E. A. (2011). MatchIt: Nonparametric Preprocessing for Parametric Causal Inference. </w:t>
      </w:r>
      <w:r w:rsidRPr="0074215A">
        <w:rPr>
          <w:rFonts w:ascii="Aptos"/>
          <w:i/>
          <w:iCs/>
        </w:rPr>
        <w:t>Journal of Statistical Software</w:t>
      </w:r>
      <w:r w:rsidRPr="0074215A">
        <w:rPr>
          <w:rFonts w:ascii="Aptos"/>
        </w:rPr>
        <w:t xml:space="preserve">, </w:t>
      </w:r>
      <w:r w:rsidRPr="0074215A">
        <w:rPr>
          <w:rFonts w:ascii="Aptos"/>
          <w:i/>
          <w:iCs/>
        </w:rPr>
        <w:t>42</w:t>
      </w:r>
      <w:r w:rsidRPr="0074215A">
        <w:rPr>
          <w:rFonts w:ascii="Aptos"/>
        </w:rPr>
        <w:t>, 1–28. https://doi.org/10.18637/jss.v042.i08</w:t>
      </w:r>
    </w:p>
    <w:p w14:paraId="47916D38" w14:textId="77777777" w:rsidR="0074215A" w:rsidRPr="0074215A" w:rsidRDefault="0074215A" w:rsidP="0074215A">
      <w:pPr>
        <w:pStyle w:val="Bibliography"/>
        <w:rPr>
          <w:rFonts w:ascii="Aptos"/>
        </w:rPr>
      </w:pPr>
      <w:r w:rsidRPr="0074215A">
        <w:rPr>
          <w:rFonts w:ascii="Aptos"/>
        </w:rPr>
        <w:t xml:space="preserve">Ioachimescu, A. G., Goswami, N., Handa, T., Pappy, A., Veledar, E., &amp; Oyesiku, N. M. (2022). Racial Disparities in Acromegaly and Cushing’s Disease: A Referral Center Study in 241 Patients. </w:t>
      </w:r>
      <w:r w:rsidRPr="0074215A">
        <w:rPr>
          <w:rFonts w:ascii="Aptos"/>
          <w:i/>
          <w:iCs/>
        </w:rPr>
        <w:t>Journal of the Endocrine Society</w:t>
      </w:r>
      <w:r w:rsidRPr="0074215A">
        <w:rPr>
          <w:rFonts w:ascii="Aptos"/>
        </w:rPr>
        <w:t xml:space="preserve">, </w:t>
      </w:r>
      <w:r w:rsidRPr="0074215A">
        <w:rPr>
          <w:rFonts w:ascii="Aptos"/>
          <w:i/>
          <w:iCs/>
        </w:rPr>
        <w:t>6</w:t>
      </w:r>
      <w:r w:rsidRPr="0074215A">
        <w:rPr>
          <w:rFonts w:ascii="Aptos"/>
        </w:rPr>
        <w:t>(1), bvab176. https://doi.org/10.1210/jendso/bvab176</w:t>
      </w:r>
    </w:p>
    <w:p w14:paraId="3117DF20" w14:textId="77777777" w:rsidR="0074215A" w:rsidRPr="0074215A" w:rsidRDefault="0074215A" w:rsidP="0074215A">
      <w:pPr>
        <w:pStyle w:val="Bibliography"/>
        <w:rPr>
          <w:rFonts w:ascii="Aptos"/>
        </w:rPr>
      </w:pPr>
      <w:r w:rsidRPr="0074215A">
        <w:rPr>
          <w:rFonts w:ascii="Aptos"/>
        </w:rPr>
        <w:t xml:space="preserve">Matthiasdottir, A. M., Hardarson, T. O., Arnardottir, S., &amp; Sigurjonsdottir, H. A. (2024). Cushing’s Disease May Have Higher Incidence than Previously Thought: A Nationwide Study in Iceland 2010–2019. </w:t>
      </w:r>
      <w:r w:rsidRPr="0074215A">
        <w:rPr>
          <w:rFonts w:ascii="Aptos"/>
          <w:i/>
          <w:iCs/>
        </w:rPr>
        <w:t>Neuroendocrinology</w:t>
      </w:r>
      <w:r w:rsidRPr="0074215A">
        <w:rPr>
          <w:rFonts w:ascii="Aptos"/>
        </w:rPr>
        <w:t xml:space="preserve">, </w:t>
      </w:r>
      <w:r w:rsidRPr="0074215A">
        <w:rPr>
          <w:rFonts w:ascii="Aptos"/>
          <w:i/>
          <w:iCs/>
        </w:rPr>
        <w:t>114</w:t>
      </w:r>
      <w:r w:rsidRPr="0074215A">
        <w:rPr>
          <w:rFonts w:ascii="Aptos"/>
        </w:rPr>
        <w:t>(10), 950–957. https://doi.org/10.1159/000540205</w:t>
      </w:r>
    </w:p>
    <w:p w14:paraId="7BD7AA09" w14:textId="77777777" w:rsidR="0074215A" w:rsidRPr="0074215A" w:rsidRDefault="0074215A" w:rsidP="0074215A">
      <w:pPr>
        <w:pStyle w:val="Bibliography"/>
        <w:rPr>
          <w:rFonts w:ascii="Aptos"/>
        </w:rPr>
      </w:pPr>
      <w:r w:rsidRPr="0074215A">
        <w:rPr>
          <w:rFonts w:ascii="Aptos"/>
        </w:rPr>
        <w:t xml:space="preserve">Nieman, L. K. (2002). Diagnostic Tests for Cushing’s Syndrome. </w:t>
      </w:r>
      <w:r w:rsidRPr="0074215A">
        <w:rPr>
          <w:rFonts w:ascii="Aptos"/>
          <w:i/>
          <w:iCs/>
        </w:rPr>
        <w:t>Annals of the New York Academy of Sciences</w:t>
      </w:r>
      <w:r w:rsidRPr="0074215A">
        <w:rPr>
          <w:rFonts w:ascii="Aptos"/>
        </w:rPr>
        <w:t xml:space="preserve">, </w:t>
      </w:r>
      <w:r w:rsidRPr="0074215A">
        <w:rPr>
          <w:rFonts w:ascii="Aptos"/>
          <w:i/>
          <w:iCs/>
        </w:rPr>
        <w:t>970</w:t>
      </w:r>
      <w:r w:rsidRPr="0074215A">
        <w:rPr>
          <w:rFonts w:ascii="Aptos"/>
        </w:rPr>
        <w:t>(1), 112–118. https://doi.org/10.1111/j.1749-6632.2002.tb04417.x</w:t>
      </w:r>
    </w:p>
    <w:p w14:paraId="1BA30C30" w14:textId="77777777" w:rsidR="0074215A" w:rsidRPr="0074215A" w:rsidRDefault="0074215A" w:rsidP="0074215A">
      <w:pPr>
        <w:pStyle w:val="Bibliography"/>
        <w:rPr>
          <w:rFonts w:ascii="Aptos"/>
        </w:rPr>
      </w:pPr>
      <w:r w:rsidRPr="0074215A">
        <w:rPr>
          <w:rFonts w:ascii="Aptos"/>
        </w:rPr>
        <w:t xml:space="preserve">Omotosho, Y. B., McGlotten, R., Chittiboina, P., &amp; Nieman, L. (2024). MON-113 Racial Disparity in the Time to Diagnosis of Cushing’s Disease. </w:t>
      </w:r>
      <w:r w:rsidRPr="0074215A">
        <w:rPr>
          <w:rFonts w:ascii="Aptos"/>
          <w:i/>
          <w:iCs/>
        </w:rPr>
        <w:t xml:space="preserve">Journal of the Endocrine </w:t>
      </w:r>
      <w:r w:rsidRPr="0074215A">
        <w:rPr>
          <w:rFonts w:ascii="Aptos"/>
          <w:i/>
          <w:iCs/>
        </w:rPr>
        <w:lastRenderedPageBreak/>
        <w:t>Society</w:t>
      </w:r>
      <w:r w:rsidRPr="0074215A">
        <w:rPr>
          <w:rFonts w:ascii="Aptos"/>
        </w:rPr>
        <w:t xml:space="preserve">, </w:t>
      </w:r>
      <w:r w:rsidRPr="0074215A">
        <w:rPr>
          <w:rFonts w:ascii="Aptos"/>
          <w:i/>
          <w:iCs/>
        </w:rPr>
        <w:t>8</w:t>
      </w:r>
      <w:r w:rsidRPr="0074215A">
        <w:rPr>
          <w:rFonts w:ascii="Aptos"/>
        </w:rPr>
        <w:t>(Supplement_1), bvae163.2408. https://doi.org/10.1210/jendso/bvae163.2408</w:t>
      </w:r>
    </w:p>
    <w:p w14:paraId="59175D16" w14:textId="77777777" w:rsidR="0074215A" w:rsidRPr="0074215A" w:rsidRDefault="0074215A" w:rsidP="0074215A">
      <w:pPr>
        <w:pStyle w:val="Bibliography"/>
        <w:rPr>
          <w:rFonts w:ascii="Aptos"/>
        </w:rPr>
      </w:pPr>
      <w:r w:rsidRPr="0074215A">
        <w:rPr>
          <w:rFonts w:ascii="Aptos"/>
        </w:rPr>
        <w:t xml:space="preserve">R Core Team. (2019). </w:t>
      </w:r>
      <w:r w:rsidRPr="0074215A">
        <w:rPr>
          <w:rFonts w:ascii="Aptos"/>
          <w:i/>
          <w:iCs/>
        </w:rPr>
        <w:t>R: A Language and Environment for Statistical Computing</w:t>
      </w:r>
      <w:r w:rsidRPr="0074215A">
        <w:rPr>
          <w:rFonts w:ascii="Aptos"/>
        </w:rPr>
        <w:t>. R Foundation for Statistical Computing. http://www.r-project.org/</w:t>
      </w:r>
    </w:p>
    <w:p w14:paraId="705AF20D" w14:textId="77777777" w:rsidR="0074215A" w:rsidRPr="0074215A" w:rsidRDefault="0074215A" w:rsidP="0074215A">
      <w:pPr>
        <w:pStyle w:val="Bibliography"/>
        <w:rPr>
          <w:rFonts w:ascii="Aptos"/>
        </w:rPr>
      </w:pPr>
      <w:r w:rsidRPr="0074215A">
        <w:rPr>
          <w:rFonts w:ascii="Aptos"/>
        </w:rPr>
        <w:t xml:space="preserve">Sharma, Susmeeta T., Nieman, L. K., &amp; Feelders, R. A. (2015). Cushing’s syndrome: Epidemiology and developments in disease management. </w:t>
      </w:r>
      <w:r w:rsidRPr="0074215A">
        <w:rPr>
          <w:rFonts w:ascii="Aptos"/>
          <w:i/>
          <w:iCs/>
        </w:rPr>
        <w:t>Clinical Epidemiology</w:t>
      </w:r>
      <w:r w:rsidRPr="0074215A">
        <w:rPr>
          <w:rFonts w:ascii="Aptos"/>
        </w:rPr>
        <w:t>, 281–293.</w:t>
      </w:r>
    </w:p>
    <w:p w14:paraId="6C04CD7D" w14:textId="77777777" w:rsidR="0074215A" w:rsidRPr="0074215A" w:rsidRDefault="0074215A" w:rsidP="0074215A">
      <w:pPr>
        <w:pStyle w:val="Bibliography"/>
        <w:rPr>
          <w:rFonts w:ascii="Aptos"/>
        </w:rPr>
      </w:pPr>
      <w:r w:rsidRPr="0074215A">
        <w:rPr>
          <w:rFonts w:ascii="Aptos"/>
        </w:rPr>
        <w:t xml:space="preserve">Steffensen, C., Bak, A. M., Zøylner Rubeck, K., &amp; Jørgensen, J. O. L. (2010). Epidemiology of Cushing’s Syndrome. </w:t>
      </w:r>
      <w:r w:rsidRPr="0074215A">
        <w:rPr>
          <w:rFonts w:ascii="Aptos"/>
          <w:i/>
          <w:iCs/>
        </w:rPr>
        <w:t>Neuroendocrinology</w:t>
      </w:r>
      <w:r w:rsidRPr="0074215A">
        <w:rPr>
          <w:rFonts w:ascii="Aptos"/>
        </w:rPr>
        <w:t xml:space="preserve">, </w:t>
      </w:r>
      <w:r w:rsidRPr="0074215A">
        <w:rPr>
          <w:rFonts w:ascii="Aptos"/>
          <w:i/>
          <w:iCs/>
        </w:rPr>
        <w:t>92</w:t>
      </w:r>
      <w:r w:rsidRPr="0074215A">
        <w:rPr>
          <w:rFonts w:ascii="Aptos"/>
        </w:rPr>
        <w:t>(Suppl. 1), 1–5. https://doi.org/10.1159/000314297</w:t>
      </w:r>
    </w:p>
    <w:p w14:paraId="0F4C1C7D" w14:textId="77777777" w:rsidR="0074215A" w:rsidRPr="0074215A" w:rsidRDefault="0074215A" w:rsidP="0074215A">
      <w:pPr>
        <w:pStyle w:val="Bibliography"/>
        <w:rPr>
          <w:rFonts w:ascii="Aptos"/>
        </w:rPr>
      </w:pPr>
      <w:r w:rsidRPr="0074215A">
        <w:rPr>
          <w:rFonts w:ascii="Aptos"/>
        </w:rPr>
        <w:t xml:space="preserve">Zillo, M., Barbot, M., Ceccato, F., Camozzi, C., Bilora, F., Casonato, A., Frigo, A., Albiger, N., Daidone, V., Mazzai, M., Mantero, F., &amp; Scaroni, C. (2014). Diagnosis and complications of Cushing’s disease: Gender-related differences. </w:t>
      </w:r>
      <w:r w:rsidRPr="0074215A">
        <w:rPr>
          <w:rFonts w:ascii="Aptos"/>
          <w:i/>
          <w:iCs/>
        </w:rPr>
        <w:t>Clinical Endocrinology</w:t>
      </w:r>
      <w:r w:rsidRPr="0074215A">
        <w:rPr>
          <w:rFonts w:ascii="Aptos"/>
        </w:rPr>
        <w:t xml:space="preserve">, </w:t>
      </w:r>
      <w:r w:rsidRPr="0074215A">
        <w:rPr>
          <w:rFonts w:ascii="Aptos"/>
          <w:i/>
          <w:iCs/>
        </w:rPr>
        <w:t>80</w:t>
      </w:r>
      <w:r w:rsidRPr="0074215A">
        <w:rPr>
          <w:rFonts w:ascii="Aptos"/>
        </w:rPr>
        <w:t>(3), 403–410.</w:t>
      </w:r>
    </w:p>
    <w:p w14:paraId="26F9D85B" w14:textId="75EDA66C" w:rsidR="00AB7571" w:rsidRPr="00AB7571" w:rsidRDefault="00AB7571" w:rsidP="0074215A">
      <w:pPr>
        <w:pStyle w:val="Bibliography"/>
      </w:pPr>
      <w:r>
        <w:fldChar w:fldCharType="end"/>
      </w:r>
    </w:p>
    <w:p w14:paraId="54D2437B" w14:textId="128E1D7D" w:rsidR="00EB133A" w:rsidRDefault="00EB133A" w:rsidP="00EB133A">
      <w:pPr>
        <w:pStyle w:val="Heading1"/>
      </w:pPr>
      <w:r>
        <w:t xml:space="preserve">Figure </w:t>
      </w:r>
      <w:r w:rsidR="00D44D39">
        <w:t xml:space="preserve">and Table </w:t>
      </w:r>
      <w:r>
        <w:t>Legends</w:t>
      </w:r>
    </w:p>
    <w:p w14:paraId="11D6C00B" w14:textId="3B3B0083" w:rsidR="005A3F4C" w:rsidRDefault="005A3F4C" w:rsidP="00EB133A">
      <w:pPr>
        <w:pStyle w:val="NormalWeb"/>
        <w:rPr>
          <w:b/>
          <w:bCs/>
        </w:rPr>
      </w:pPr>
      <w:r>
        <w:rPr>
          <w:b/>
          <w:bCs/>
        </w:rPr>
        <w:t xml:space="preserve">Figure 1: </w:t>
      </w:r>
      <w:r w:rsidR="00340CA3">
        <w:rPr>
          <w:b/>
          <w:bCs/>
        </w:rPr>
        <w:t>Participant flow diagram</w:t>
      </w:r>
      <w:r>
        <w:rPr>
          <w:b/>
          <w:bCs/>
        </w:rPr>
        <w:t>.</w:t>
      </w:r>
    </w:p>
    <w:p w14:paraId="30350933" w14:textId="57D3AF33" w:rsidR="00944106" w:rsidRPr="000C0011" w:rsidRDefault="00944106" w:rsidP="00EB133A">
      <w:pPr>
        <w:pStyle w:val="NormalWeb"/>
      </w:pPr>
      <w:r>
        <w:rPr>
          <w:b/>
          <w:bCs/>
        </w:rPr>
        <w:t xml:space="preserve">Figure 2: </w:t>
      </w:r>
      <w:r w:rsidR="000C0011">
        <w:rPr>
          <w:b/>
          <w:bCs/>
        </w:rPr>
        <w:t xml:space="preserve">Effects of Cushing’s disease and Obesity on Laboratory Values.  </w:t>
      </w:r>
      <w:r w:rsidR="000C0011">
        <w:t xml:space="preserve">Laboratory values were within </w:t>
      </w:r>
      <w:r w:rsidR="006A5ED4">
        <w:t>a year</w:t>
      </w:r>
      <w:r w:rsidR="000C0011">
        <w:t xml:space="preserve"> of Cushing’s disease surgery for cases.  Obesity was defined as a BMI above or below 30 kg/m</w:t>
      </w:r>
      <w:r w:rsidR="000C0011" w:rsidRPr="000C0011">
        <w:rPr>
          <w:vertAlign w:val="superscript"/>
        </w:rPr>
        <w:t>2</w:t>
      </w:r>
      <w:r w:rsidR="000C0011">
        <w:t xml:space="preserve">.  </w:t>
      </w:r>
      <w:r w:rsidR="000C0011" w:rsidRPr="000C0011">
        <w:t>Data are presented as mean</w:t>
      </w:r>
      <w:r w:rsidR="00AB6721">
        <w:t>s with a 95% confidence interval</w:t>
      </w:r>
      <w:r w:rsidR="003971E3">
        <w:t>, with ligh</w:t>
      </w:r>
      <w:r w:rsidR="00666B75">
        <w:t>t</w:t>
      </w:r>
      <w:r w:rsidR="003971E3">
        <w:t>er grey indicating data from participants with Cushing’s disease</w:t>
      </w:r>
      <w:r w:rsidR="006A5ED4">
        <w:t xml:space="preserve"> compared to propensity matched controls</w:t>
      </w:r>
      <w:r w:rsidR="000C0011">
        <w:t>.</w:t>
      </w:r>
      <w:r w:rsidR="007F3FF1">
        <w:t xml:space="preserve">   Table 3 reports </w:t>
      </w:r>
      <w:r w:rsidR="005301C8">
        <w:t>effect sizes and</w:t>
      </w:r>
      <w:r w:rsidR="007F3FF1">
        <w:t xml:space="preserve"> p-values for effects of Cushing’s disease and the interaction between disease and obesity.</w:t>
      </w:r>
    </w:p>
    <w:p w14:paraId="46509E87" w14:textId="0D88813A" w:rsidR="00A059AA" w:rsidRDefault="00A059AA" w:rsidP="00EB133A">
      <w:pPr>
        <w:pStyle w:val="NormalWeb"/>
      </w:pPr>
      <w:r>
        <w:rPr>
          <w:b/>
          <w:bCs/>
        </w:rPr>
        <w:lastRenderedPageBreak/>
        <w:t>Table 1: Participant characteristics</w:t>
      </w:r>
      <w:r w:rsidR="00027DE9">
        <w:rPr>
          <w:b/>
          <w:bCs/>
        </w:rPr>
        <w:t xml:space="preserve"> after </w:t>
      </w:r>
      <w:r w:rsidR="00383C2A">
        <w:rPr>
          <w:b/>
          <w:bCs/>
        </w:rPr>
        <w:t xml:space="preserve">covariate </w:t>
      </w:r>
      <w:r w:rsidR="00027DE9">
        <w:rPr>
          <w:b/>
          <w:bCs/>
        </w:rPr>
        <w:t>matching.</w:t>
      </w:r>
      <w:r w:rsidR="00027DE9">
        <w:t xml:space="preserve">  Participants were matched for age, gender and race/ethnicity but not BMI.  This table represents the matched set for </w:t>
      </w:r>
      <w:r w:rsidR="00487A21">
        <w:t xml:space="preserve">patients with </w:t>
      </w:r>
      <w:r w:rsidR="00027DE9">
        <w:t xml:space="preserve">Cushing’s </w:t>
      </w:r>
      <w:r w:rsidR="00487A21">
        <w:t>disease</w:t>
      </w:r>
      <w:r w:rsidR="00027DE9">
        <w:t xml:space="preserve"> with any laboratory value we considered.  Supplementary Tables S2A-E describe outcome-specific matched </w:t>
      </w:r>
      <w:r w:rsidR="00487A21">
        <w:t>characteristics</w:t>
      </w:r>
      <w:r w:rsidR="00027DE9">
        <w:t>.</w:t>
      </w:r>
    </w:p>
    <w:p w14:paraId="4A154099" w14:textId="7519E749" w:rsidR="00733E55" w:rsidRDefault="00733E55" w:rsidP="00EB133A">
      <w:pPr>
        <w:pStyle w:val="NormalWeb"/>
      </w:pPr>
      <w:r w:rsidRPr="00733E55">
        <w:rPr>
          <w:b/>
          <w:bCs/>
        </w:rPr>
        <w:t>Table 2: Participant characteristics after stratification by obesity</w:t>
      </w:r>
      <w:r>
        <w:t xml:space="preserve">.  Values are mean ± SD or n (%). Groups were stratified by Cushing’s status and obesity; no matching was performed across these strata. Kruskal-Wallis or χ² </w:t>
      </w:r>
      <w:r w:rsidR="00D50C55">
        <w:t xml:space="preserve">tests </w:t>
      </w:r>
      <w:r>
        <w:t xml:space="preserve">compare across the four </w:t>
      </w:r>
      <w:r w:rsidR="00D50C55">
        <w:t>groups as appropriate.</w:t>
      </w:r>
    </w:p>
    <w:p w14:paraId="5E7282D0" w14:textId="3DCECAE8" w:rsidR="00666B75" w:rsidRDefault="00666B75" w:rsidP="00EB133A">
      <w:pPr>
        <w:pStyle w:val="NormalWeb"/>
      </w:pPr>
      <w:r>
        <w:rPr>
          <w:b/>
          <w:bCs/>
        </w:rPr>
        <w:t xml:space="preserve">Table 3: Effect sizes and statistical significance for each outcome.  </w:t>
      </w:r>
      <w:r>
        <w:t xml:space="preserve">A) Sub-group specific effects of Cushing’s disease after adjusting for age, gender and race/ethnicity for each outcome.  B) Summary of interactions between obesity and Cushing’s disease on each outcome, after adjusting for age, gender, and race/ethnicity.  </w:t>
      </w:r>
      <w:r w:rsidR="002E0B3A">
        <w:t xml:space="preserve">Data are presented as mean with 95% confidence intervals.  </w:t>
      </w:r>
    </w:p>
    <w:p w14:paraId="48C0ADCB" w14:textId="4CB48B03" w:rsidR="005015D3" w:rsidRPr="005015D3" w:rsidRDefault="005015D3" w:rsidP="00EB133A">
      <w:pPr>
        <w:pStyle w:val="NormalWeb"/>
      </w:pPr>
      <w:r>
        <w:rPr>
          <w:b/>
          <w:bCs/>
        </w:rPr>
        <w:t>Table 4: Sensitivity analyses for obesity-Cushing’s disease interactions.</w:t>
      </w:r>
      <w:r>
        <w:t xml:space="preserve">  We report the estimate for the Cushing’s-Obesity interaction for each laboratory result as mean [95% confidence interval].  Each row describes a different analytical approach including subgroup analyses, and the inclusion of a more limited number of covariates.  We also report several alternate models for obesity including adjusting for BMI within the primary stratified analyses, treating BMI as a non-linear covariate using non-linear splines, and including BMI as part of the propensity matching approach. Asterisks indicate p</w:t>
      </w:r>
      <w:r w:rsidRPr="005015D3">
        <w:rPr>
          <w:vertAlign w:val="subscript"/>
        </w:rPr>
        <w:t>interaction</w:t>
      </w:r>
      <w:r>
        <w:t>&lt;0.05</w:t>
      </w:r>
      <w:r w:rsidR="00176674">
        <w:t>.</w:t>
      </w:r>
    </w:p>
    <w:p w14:paraId="1B67D71C" w14:textId="5A957180" w:rsidR="004C3E7B" w:rsidRPr="004C3E7B" w:rsidRDefault="00A059AA" w:rsidP="00EB133A">
      <w:pPr>
        <w:pStyle w:val="NormalWeb"/>
      </w:pPr>
      <w:r>
        <w:rPr>
          <w:b/>
          <w:bCs/>
        </w:rPr>
        <w:t>Supplementary Figure</w:t>
      </w:r>
      <w:r w:rsidR="004C3E7B" w:rsidRPr="004C3E7B">
        <w:rPr>
          <w:b/>
          <w:bCs/>
        </w:rPr>
        <w:t xml:space="preserve"> </w:t>
      </w:r>
      <w:r>
        <w:rPr>
          <w:b/>
          <w:bCs/>
        </w:rPr>
        <w:t>1</w:t>
      </w:r>
      <w:r w:rsidR="004C3E7B" w:rsidRPr="004C3E7B">
        <w:rPr>
          <w:b/>
          <w:bCs/>
        </w:rPr>
        <w:t>: Love plot</w:t>
      </w:r>
      <w:r w:rsidR="00E024E8">
        <w:rPr>
          <w:b/>
          <w:bCs/>
        </w:rPr>
        <w:t>s</w:t>
      </w:r>
      <w:r w:rsidR="004C3E7B" w:rsidRPr="004C3E7B">
        <w:rPr>
          <w:b/>
          <w:bCs/>
        </w:rPr>
        <w:t xml:space="preserve"> </w:t>
      </w:r>
      <w:r w:rsidR="00E024E8">
        <w:rPr>
          <w:b/>
          <w:bCs/>
        </w:rPr>
        <w:t>showing</w:t>
      </w:r>
      <w:r w:rsidR="004C3E7B" w:rsidRPr="004C3E7B">
        <w:rPr>
          <w:b/>
          <w:bCs/>
        </w:rPr>
        <w:t xml:space="preserve"> </w:t>
      </w:r>
      <w:r w:rsidR="00E024E8">
        <w:rPr>
          <w:b/>
          <w:bCs/>
        </w:rPr>
        <w:t>covariate balance</w:t>
      </w:r>
      <w:r w:rsidR="004C3E7B" w:rsidRPr="004C3E7B">
        <w:rPr>
          <w:b/>
          <w:bCs/>
        </w:rPr>
        <w:t xml:space="preserve"> each outcome.</w:t>
      </w:r>
      <w:r w:rsidR="004C3E7B">
        <w:t xml:space="preserve">  Plots describe the </w:t>
      </w:r>
      <w:r w:rsidR="00217D46">
        <w:t>standardized mean difference</w:t>
      </w:r>
      <w:r w:rsidR="004C3E7B">
        <w:t xml:space="preserve"> for each variable prior to- and after propensity mapping.  </w:t>
      </w:r>
      <w:r w:rsidR="00217D46">
        <w:t xml:space="preserve">Dashed line indicates the </w:t>
      </w:r>
      <w:r w:rsidR="00E024E8">
        <w:t xml:space="preserve">standardized mean </w:t>
      </w:r>
      <w:r w:rsidR="00F227EF">
        <w:t xml:space="preserve">difference </w:t>
      </w:r>
      <w:r w:rsidR="00E024E8">
        <w:t>cutoff</w:t>
      </w:r>
      <w:r w:rsidR="00217D46">
        <w:t xml:space="preserve"> of </w:t>
      </w:r>
      <w:r w:rsidR="00E024E8">
        <w:t xml:space="preserve">0.1.  </w:t>
      </w:r>
      <w:r w:rsidR="004C3E7B">
        <w:t xml:space="preserve">Note </w:t>
      </w:r>
      <w:r w:rsidR="00E024E8">
        <w:t xml:space="preserve">that </w:t>
      </w:r>
      <w:r w:rsidR="004C3E7B">
        <w:t xml:space="preserve">age, </w:t>
      </w:r>
      <w:r w:rsidR="00091D8B">
        <w:t>race/</w:t>
      </w:r>
      <w:r w:rsidR="004C3E7B">
        <w:t>ethnicity and gender were all exactly matched.</w:t>
      </w:r>
    </w:p>
    <w:p w14:paraId="6FAD538F" w14:textId="60FFD41A" w:rsidR="00EB133A" w:rsidRDefault="00FA3B24" w:rsidP="00EB133A">
      <w:pPr>
        <w:pStyle w:val="NormalWeb"/>
      </w:pPr>
      <w:r w:rsidRPr="00AB6DA4">
        <w:rPr>
          <w:b/>
          <w:bCs/>
        </w:rPr>
        <w:t xml:space="preserve">Supplementary Table S1: </w:t>
      </w:r>
      <w:r w:rsidR="00AB6DA4">
        <w:rPr>
          <w:b/>
          <w:bCs/>
        </w:rPr>
        <w:t>Covariate m</w:t>
      </w:r>
      <w:r w:rsidRPr="00AB6DA4">
        <w:rPr>
          <w:b/>
          <w:bCs/>
        </w:rPr>
        <w:t>atching diagnostics for age.</w:t>
      </w:r>
      <w:r>
        <w:t xml:space="preserve">  Averages, standard </w:t>
      </w:r>
      <w:r w:rsidR="002F7D72">
        <w:t>errors</w:t>
      </w:r>
      <w:r>
        <w:t xml:space="preserve"> and standardized mean difference for age are shown for each outcome before and after propensity matching.  Matching was exact for race and ethnicity.</w:t>
      </w:r>
    </w:p>
    <w:p w14:paraId="20916108" w14:textId="1558D922" w:rsidR="00EB133A" w:rsidRDefault="00AB6DA4" w:rsidP="00EB133A">
      <w:pPr>
        <w:pStyle w:val="NormalWeb"/>
      </w:pPr>
      <w:r w:rsidRPr="00AB6DA4">
        <w:rPr>
          <w:b/>
          <w:bCs/>
        </w:rPr>
        <w:t>Supplementary Tables S2</w:t>
      </w:r>
      <w:r w:rsidR="006A5ED4">
        <w:rPr>
          <w:b/>
          <w:bCs/>
        </w:rPr>
        <w:t>-6</w:t>
      </w:r>
      <w:r w:rsidRPr="00AB6DA4">
        <w:rPr>
          <w:b/>
          <w:bCs/>
        </w:rPr>
        <w:t>: Outcome-specific participant characteristics after matching</w:t>
      </w:r>
      <w:r>
        <w:t xml:space="preserve">. </w:t>
      </w:r>
      <w:r w:rsidR="00C37945">
        <w:t xml:space="preserve">Since propensity matching was completed for each Cushing’s patient with a laboratory value, the specific demographic characteristics for each analysis varies.  </w:t>
      </w:r>
      <w:r w:rsidR="00785B34">
        <w:t xml:space="preserve">For each analysis we report the demographics of those patients for </w:t>
      </w:r>
      <w:r w:rsidR="00C37945">
        <w:t>[</w:t>
      </w:r>
      <w:r w:rsidR="005015D3">
        <w:t>S2</w:t>
      </w:r>
      <w:r w:rsidR="00C37945">
        <w:t>]</w:t>
      </w:r>
      <w:r>
        <w:t xml:space="preserve"> Glucose, </w:t>
      </w:r>
      <w:r w:rsidR="00C37945">
        <w:t>[</w:t>
      </w:r>
      <w:r w:rsidR="005015D3">
        <w:t>S3</w:t>
      </w:r>
      <w:r w:rsidR="00C37945">
        <w:t>]</w:t>
      </w:r>
      <w:r>
        <w:t xml:space="preserve"> HbA1c, </w:t>
      </w:r>
      <w:r w:rsidR="00C37945">
        <w:t>[</w:t>
      </w:r>
      <w:r w:rsidR="005015D3">
        <w:t>S4</w:t>
      </w:r>
      <w:r w:rsidR="00C37945">
        <w:t>]</w:t>
      </w:r>
      <w:r>
        <w:t xml:space="preserve"> ALT, </w:t>
      </w:r>
      <w:r w:rsidR="005015D3">
        <w:t>[S5]</w:t>
      </w:r>
      <w:r>
        <w:t xml:space="preserve"> </w:t>
      </w:r>
      <w:r w:rsidR="005015D3">
        <w:t>AST</w:t>
      </w:r>
      <w:r w:rsidR="00785B34">
        <w:t>,</w:t>
      </w:r>
      <w:r w:rsidR="005015D3">
        <w:t xml:space="preserve"> and  [S6] </w:t>
      </w:r>
      <w:r>
        <w:t>Blood Pressure</w:t>
      </w:r>
      <w:r w:rsidR="00C37945">
        <w:t>.</w:t>
      </w:r>
      <w:r>
        <w:t xml:space="preserve"> </w:t>
      </w:r>
    </w:p>
    <w:p w14:paraId="26E2D748" w14:textId="77777777" w:rsidR="00EB133A" w:rsidRDefault="00EB133A"/>
    <w:sectPr w:rsidR="00EB133A">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Dave Bridges" w:date="2025-12-12T11:23:00Z" w:initials="DB">
    <w:p w14:paraId="1A4606F5" w14:textId="77777777" w:rsidR="001F22CD" w:rsidRDefault="001F22CD" w:rsidP="001F22CD">
      <w:r>
        <w:rPr>
          <w:rStyle w:val="CommentReference"/>
        </w:rPr>
        <w:annotationRef/>
      </w:r>
      <w:r>
        <w:rPr>
          <w:sz w:val="20"/>
          <w:szCs w:val="20"/>
        </w:rPr>
        <w:t>Need to add</w:t>
      </w:r>
    </w:p>
  </w:comment>
  <w:comment w:id="1" w:author="Dave Bridges" w:date="2025-12-12T08:11:00Z" w:initials="DB">
    <w:p w14:paraId="4F482A5D" w14:textId="77777777" w:rsidR="00CA6704" w:rsidRDefault="00CA6704" w:rsidP="00CA6704">
      <w:r>
        <w:rPr>
          <w:rStyle w:val="CommentReference"/>
        </w:rPr>
        <w:annotationRef/>
      </w:r>
      <w:r>
        <w:rPr>
          <w:sz w:val="20"/>
          <w:szCs w:val="20"/>
        </w:rPr>
        <w:t>Is this what Data Direct Parameters means?</w:t>
      </w:r>
    </w:p>
  </w:comment>
  <w:comment w:id="2" w:author="Carr, Treyton" w:date="2025-12-01T15:54:00Z" w:initials="CT">
    <w:p w14:paraId="445B2449" w14:textId="77777777" w:rsidR="00211F2C" w:rsidRDefault="00211F2C" w:rsidP="00211F2C">
      <w:r>
        <w:rPr>
          <w:rStyle w:val="CommentReference"/>
        </w:rPr>
        <w:annotationRef/>
      </w:r>
      <w:hyperlink r:id="rId1" w:history="1">
        <w:r w:rsidRPr="00144BE0">
          <w:rPr>
            <w:rStyle w:val="Hyperlink"/>
            <w:sz w:val="20"/>
            <w:szCs w:val="20"/>
          </w:rPr>
          <w:t>https://pubmed-ncbi-nlm-nih-gov.proxy.lib.umich.edu/23889360/</w:t>
        </w:r>
      </w:hyperlink>
    </w:p>
    <w:p w14:paraId="778BE240" w14:textId="77777777" w:rsidR="00211F2C" w:rsidRDefault="00211F2C" w:rsidP="00211F2C"/>
    <w:p w14:paraId="4C73BA5E" w14:textId="77777777" w:rsidR="00211F2C" w:rsidRDefault="00211F2C" w:rsidP="00211F2C">
      <w:hyperlink r:id="rId2" w:history="1">
        <w:r w:rsidRPr="00144BE0">
          <w:rPr>
            <w:rStyle w:val="Hyperlink"/>
            <w:sz w:val="20"/>
            <w:szCs w:val="20"/>
          </w:rPr>
          <w:t>https://www.sciencedirect.com/science/article/abs/pii/S014067362301961X</w:t>
        </w:r>
      </w:hyperlink>
    </w:p>
  </w:comment>
  <w:comment w:id="3" w:author="Dave Bridges" w:date="2025-09-23T09:45:00Z" w:initials="DB">
    <w:p w14:paraId="6CC275EF" w14:textId="56ACBB29" w:rsidR="00547E80" w:rsidRDefault="00547E80" w:rsidP="00547E80">
      <w:r>
        <w:rPr>
          <w:rStyle w:val="CommentReference"/>
        </w:rPr>
        <w:annotationRef/>
      </w:r>
      <w:r>
        <w:rPr>
          <w:sz w:val="20"/>
          <w:szCs w:val="20"/>
        </w:rPr>
        <w:t>Lets just report anything under 0.001 as &lt;0.001 since these are all astronomically low.</w:t>
      </w:r>
    </w:p>
    <w:p w14:paraId="7B334848" w14:textId="77777777" w:rsidR="00547E80" w:rsidRDefault="00547E80" w:rsidP="00547E80"/>
    <w:p w14:paraId="4ACD75D6" w14:textId="77777777" w:rsidR="00547E80" w:rsidRDefault="00547E80" w:rsidP="00547E80">
      <w:r>
        <w:rPr>
          <w:sz w:val="20"/>
          <w:szCs w:val="20"/>
        </w:rPr>
        <w:t>Also include effect sizes</w:t>
      </w:r>
    </w:p>
  </w:comment>
  <w:comment w:id="4" w:author="Dave Bridges" w:date="2025-12-13T09:34:00Z" w:initials="DB">
    <w:p w14:paraId="634B6532" w14:textId="77777777" w:rsidR="00AF2CDB" w:rsidRDefault="006970D5" w:rsidP="00AF2CDB">
      <w:r>
        <w:rPr>
          <w:rStyle w:val="CommentReference"/>
        </w:rPr>
        <w:annotationRef/>
      </w:r>
      <w:r w:rsidR="00AF2CDB">
        <w:rPr>
          <w:sz w:val="20"/>
          <w:szCs w:val="20"/>
        </w:rPr>
        <w:t>Harvey, Gunder</w:t>
      </w:r>
    </w:p>
  </w:comment>
  <w:comment w:id="5" w:author="Dave Bridges" w:date="2025-12-13T09:34:00Z" w:initials="DB">
    <w:p w14:paraId="6B4E3D78" w14:textId="77777777" w:rsidR="006970D5" w:rsidRDefault="006970D5" w:rsidP="006970D5">
      <w:r>
        <w:rPr>
          <w:rStyle w:val="CommentReference"/>
        </w:rPr>
        <w:annotationRef/>
      </w:r>
      <w:r>
        <w:rPr>
          <w:sz w:val="20"/>
          <w:szCs w:val="20"/>
        </w:rPr>
        <w:t>Hochberg</w:t>
      </w:r>
    </w:p>
  </w:comment>
  <w:comment w:id="6" w:author="Dave Bridges" w:date="2025-12-13T09:46:00Z" w:initials="DB">
    <w:p w14:paraId="76A58E14" w14:textId="77777777" w:rsidR="00AF2CDB" w:rsidRDefault="00AF2CDB" w:rsidP="00AF2CDB">
      <w:r>
        <w:rPr>
          <w:rStyle w:val="CommentReference"/>
        </w:rPr>
        <w:annotationRef/>
      </w:r>
      <w:r>
        <w:rPr>
          <w:sz w:val="20"/>
          <w:szCs w:val="20"/>
        </w:rPr>
        <w:t>parvanovaMechanismsTreatmentObesityrelated2024</w:t>
      </w:r>
    </w:p>
  </w:comment>
  <w:comment w:id="7" w:author="Dave Bridges" w:date="2025-12-13T09:39:00Z" w:initials="DB">
    <w:p w14:paraId="6BA12295" w14:textId="77777777" w:rsidR="00AF2CDB" w:rsidRDefault="00AF2CDB" w:rsidP="00AF2CDB">
      <w:r>
        <w:rPr>
          <w:rStyle w:val="CommentReference"/>
        </w:rPr>
        <w:annotationRef/>
      </w:r>
      <w:r>
        <w:rPr>
          <w:sz w:val="20"/>
          <w:szCs w:val="20"/>
        </w:rPr>
        <w:t>Trey can you summarize</w:t>
      </w:r>
    </w:p>
  </w:comment>
  <w:comment w:id="8" w:author="Dave Bridges" w:date="2025-12-13T09:46:00Z" w:initials="DB">
    <w:p w14:paraId="1725DB63" w14:textId="77777777" w:rsidR="00691E73" w:rsidRDefault="00691E73" w:rsidP="00691E73">
      <w:r>
        <w:rPr>
          <w:rStyle w:val="CommentReference"/>
        </w:rPr>
        <w:annotationRef/>
      </w:r>
      <w:r>
        <w:rPr>
          <w:sz w:val="20"/>
          <w:szCs w:val="20"/>
        </w:rPr>
        <w:t>Look into sex differences in obesity and salt-sensitive hypertension</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A4606F5" w15:done="0"/>
  <w15:commentEx w15:paraId="4F482A5D" w15:done="0"/>
  <w15:commentEx w15:paraId="4C73BA5E" w15:done="0"/>
  <w15:commentEx w15:paraId="4ACD75D6" w15:done="1"/>
  <w15:commentEx w15:paraId="634B6532" w15:done="0"/>
  <w15:commentEx w15:paraId="6B4E3D78" w15:done="0"/>
  <w15:commentEx w15:paraId="76A58E14" w15:done="0"/>
  <w15:commentEx w15:paraId="6BA12295" w15:done="0"/>
  <w15:commentEx w15:paraId="1725DB63"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0CF6BFD" w16cex:dateUtc="2025-12-12T16:23:00Z"/>
  <w16cex:commentExtensible w16cex:durableId="1C9E561D" w16cex:dateUtc="2025-12-12T13:11:00Z"/>
  <w16cex:commentExtensible w16cex:durableId="5D090D3A" w16cex:dateUtc="2025-12-01T20:54:00Z"/>
  <w16cex:commentExtensible w16cex:durableId="2F71EC13" w16cex:dateUtc="2025-09-23T13:45:00Z"/>
  <w16cex:commentExtensible w16cex:durableId="38E76C14" w16cex:dateUtc="2025-12-13T14:34:00Z"/>
  <w16cex:commentExtensible w16cex:durableId="5031C284" w16cex:dateUtc="2025-12-13T14:34:00Z"/>
  <w16cex:commentExtensible w16cex:durableId="42B8B1D8" w16cex:dateUtc="2025-12-13T14:46:00Z"/>
  <w16cex:commentExtensible w16cex:durableId="3B45A1F1" w16cex:dateUtc="2025-12-13T14:39:00Z"/>
  <w16cex:commentExtensible w16cex:durableId="6C701679" w16cex:dateUtc="2025-12-13T14:4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A4606F5" w16cid:durableId="00CF6BFD"/>
  <w16cid:commentId w16cid:paraId="4F482A5D" w16cid:durableId="1C9E561D"/>
  <w16cid:commentId w16cid:paraId="4C73BA5E" w16cid:durableId="5D090D3A"/>
  <w16cid:commentId w16cid:paraId="4ACD75D6" w16cid:durableId="2F71EC13"/>
  <w16cid:commentId w16cid:paraId="634B6532" w16cid:durableId="38E76C14"/>
  <w16cid:commentId w16cid:paraId="6B4E3D78" w16cid:durableId="5031C284"/>
  <w16cid:commentId w16cid:paraId="76A58E14" w16cid:durableId="42B8B1D8"/>
  <w16cid:commentId w16cid:paraId="6BA12295" w16cid:durableId="3B45A1F1"/>
  <w16cid:commentId w16cid:paraId="1725DB63" w16cid:durableId="6C701679"/>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2470A5"/>
    <w:multiLevelType w:val="hybridMultilevel"/>
    <w:tmpl w:val="935CBA8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54F3807"/>
    <w:multiLevelType w:val="hybridMultilevel"/>
    <w:tmpl w:val="50B6D7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CAC1845"/>
    <w:multiLevelType w:val="hybridMultilevel"/>
    <w:tmpl w:val="687CB94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14E464B"/>
    <w:multiLevelType w:val="multilevel"/>
    <w:tmpl w:val="DF14C6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3697BBF"/>
    <w:multiLevelType w:val="multilevel"/>
    <w:tmpl w:val="5404B7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39A3A3B"/>
    <w:multiLevelType w:val="multilevel"/>
    <w:tmpl w:val="31E0D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51860B2"/>
    <w:multiLevelType w:val="multilevel"/>
    <w:tmpl w:val="D02474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B4E447A"/>
    <w:multiLevelType w:val="hybridMultilevel"/>
    <w:tmpl w:val="939C46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65693CBF"/>
    <w:multiLevelType w:val="hybridMultilevel"/>
    <w:tmpl w:val="4976B1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75AB7E4B"/>
    <w:multiLevelType w:val="multilevel"/>
    <w:tmpl w:val="ABE024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5784557">
    <w:abstractNumId w:val="3"/>
  </w:num>
  <w:num w:numId="2" w16cid:durableId="278075531">
    <w:abstractNumId w:val="5"/>
  </w:num>
  <w:num w:numId="3" w16cid:durableId="759060415">
    <w:abstractNumId w:val="6"/>
  </w:num>
  <w:num w:numId="4" w16cid:durableId="702511983">
    <w:abstractNumId w:val="9"/>
  </w:num>
  <w:num w:numId="5" w16cid:durableId="178588088">
    <w:abstractNumId w:val="4"/>
  </w:num>
  <w:num w:numId="6" w16cid:durableId="142549117">
    <w:abstractNumId w:val="0"/>
  </w:num>
  <w:num w:numId="7" w16cid:durableId="360321715">
    <w:abstractNumId w:val="1"/>
  </w:num>
  <w:num w:numId="8" w16cid:durableId="1722634927">
    <w:abstractNumId w:val="7"/>
  </w:num>
  <w:num w:numId="9" w16cid:durableId="641931215">
    <w:abstractNumId w:val="2"/>
  </w:num>
  <w:num w:numId="10" w16cid:durableId="114756200">
    <w:abstractNumId w:val="8"/>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Dave Bridges">
    <w15:presenceInfo w15:providerId="None" w15:userId="Dave Bridges"/>
  </w15:person>
  <w15:person w15:author="Carr, Treyton">
    <w15:presenceInfo w15:providerId="AD" w15:userId="S::treycarr@umich.edu::2d7a502c-7154-4eba-af5f-8ba5f8b51ac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33DA7"/>
    <w:rsid w:val="00000C79"/>
    <w:rsid w:val="00001178"/>
    <w:rsid w:val="00011DCF"/>
    <w:rsid w:val="000211F7"/>
    <w:rsid w:val="00027DE9"/>
    <w:rsid w:val="0005218F"/>
    <w:rsid w:val="000655A6"/>
    <w:rsid w:val="0006637A"/>
    <w:rsid w:val="000725D7"/>
    <w:rsid w:val="00072D8C"/>
    <w:rsid w:val="0008602F"/>
    <w:rsid w:val="00087B01"/>
    <w:rsid w:val="00091D69"/>
    <w:rsid w:val="00091D8B"/>
    <w:rsid w:val="0009550C"/>
    <w:rsid w:val="000A3109"/>
    <w:rsid w:val="000A32E7"/>
    <w:rsid w:val="000C0011"/>
    <w:rsid w:val="000C0BDB"/>
    <w:rsid w:val="000C5590"/>
    <w:rsid w:val="000C7A6D"/>
    <w:rsid w:val="000D3297"/>
    <w:rsid w:val="000D6A57"/>
    <w:rsid w:val="000E1126"/>
    <w:rsid w:val="000E114C"/>
    <w:rsid w:val="000E4E9E"/>
    <w:rsid w:val="00115D9B"/>
    <w:rsid w:val="0011718F"/>
    <w:rsid w:val="00117948"/>
    <w:rsid w:val="00141C21"/>
    <w:rsid w:val="00146173"/>
    <w:rsid w:val="0015020F"/>
    <w:rsid w:val="001515AD"/>
    <w:rsid w:val="001525EE"/>
    <w:rsid w:val="001558E0"/>
    <w:rsid w:val="00161005"/>
    <w:rsid w:val="00165647"/>
    <w:rsid w:val="00176674"/>
    <w:rsid w:val="001A5301"/>
    <w:rsid w:val="001A623C"/>
    <w:rsid w:val="001C5750"/>
    <w:rsid w:val="001D4725"/>
    <w:rsid w:val="001D7BA6"/>
    <w:rsid w:val="001E3F4F"/>
    <w:rsid w:val="001E5F79"/>
    <w:rsid w:val="001F149F"/>
    <w:rsid w:val="001F1825"/>
    <w:rsid w:val="001F22CD"/>
    <w:rsid w:val="001F2A30"/>
    <w:rsid w:val="001F2B27"/>
    <w:rsid w:val="001F3717"/>
    <w:rsid w:val="001F37CB"/>
    <w:rsid w:val="00211C64"/>
    <w:rsid w:val="00211F2C"/>
    <w:rsid w:val="002120E7"/>
    <w:rsid w:val="00217D46"/>
    <w:rsid w:val="00222730"/>
    <w:rsid w:val="0022433B"/>
    <w:rsid w:val="00225091"/>
    <w:rsid w:val="002313EA"/>
    <w:rsid w:val="00233DA7"/>
    <w:rsid w:val="00244F96"/>
    <w:rsid w:val="00250B3C"/>
    <w:rsid w:val="00251095"/>
    <w:rsid w:val="00251B10"/>
    <w:rsid w:val="0025516C"/>
    <w:rsid w:val="00257105"/>
    <w:rsid w:val="00274AF9"/>
    <w:rsid w:val="0028006B"/>
    <w:rsid w:val="002827EA"/>
    <w:rsid w:val="00293D99"/>
    <w:rsid w:val="002964F2"/>
    <w:rsid w:val="002A005D"/>
    <w:rsid w:val="002C7C4B"/>
    <w:rsid w:val="002D16BA"/>
    <w:rsid w:val="002D2E10"/>
    <w:rsid w:val="002D4286"/>
    <w:rsid w:val="002D4F83"/>
    <w:rsid w:val="002D6593"/>
    <w:rsid w:val="002D773C"/>
    <w:rsid w:val="002E0B3A"/>
    <w:rsid w:val="002E219B"/>
    <w:rsid w:val="002E3F3F"/>
    <w:rsid w:val="002F3DB8"/>
    <w:rsid w:val="002F563D"/>
    <w:rsid w:val="002F6AFF"/>
    <w:rsid w:val="002F7776"/>
    <w:rsid w:val="002F7D72"/>
    <w:rsid w:val="00300DA1"/>
    <w:rsid w:val="00304F59"/>
    <w:rsid w:val="00307DE8"/>
    <w:rsid w:val="00327582"/>
    <w:rsid w:val="00330AF2"/>
    <w:rsid w:val="003318B0"/>
    <w:rsid w:val="00332E69"/>
    <w:rsid w:val="003376C5"/>
    <w:rsid w:val="00340CA3"/>
    <w:rsid w:val="00347044"/>
    <w:rsid w:val="00357A9C"/>
    <w:rsid w:val="00357D5C"/>
    <w:rsid w:val="00364B2E"/>
    <w:rsid w:val="00366F5C"/>
    <w:rsid w:val="003734AC"/>
    <w:rsid w:val="00382FE3"/>
    <w:rsid w:val="00383C2A"/>
    <w:rsid w:val="00384276"/>
    <w:rsid w:val="003868BC"/>
    <w:rsid w:val="00392C7F"/>
    <w:rsid w:val="00392FE2"/>
    <w:rsid w:val="00395991"/>
    <w:rsid w:val="003971E3"/>
    <w:rsid w:val="00397C62"/>
    <w:rsid w:val="003B3419"/>
    <w:rsid w:val="003C031C"/>
    <w:rsid w:val="003C0A11"/>
    <w:rsid w:val="003C375C"/>
    <w:rsid w:val="003C6D51"/>
    <w:rsid w:val="003D16DC"/>
    <w:rsid w:val="003E5857"/>
    <w:rsid w:val="003F09D7"/>
    <w:rsid w:val="003F6B95"/>
    <w:rsid w:val="003F6EB0"/>
    <w:rsid w:val="004056E9"/>
    <w:rsid w:val="00406C2E"/>
    <w:rsid w:val="004323ED"/>
    <w:rsid w:val="00445280"/>
    <w:rsid w:val="004561B8"/>
    <w:rsid w:val="004709DD"/>
    <w:rsid w:val="004777E7"/>
    <w:rsid w:val="00477D86"/>
    <w:rsid w:val="00484144"/>
    <w:rsid w:val="00484410"/>
    <w:rsid w:val="00487A21"/>
    <w:rsid w:val="004A06E2"/>
    <w:rsid w:val="004A23A7"/>
    <w:rsid w:val="004B0142"/>
    <w:rsid w:val="004B19B0"/>
    <w:rsid w:val="004B6782"/>
    <w:rsid w:val="004C2F28"/>
    <w:rsid w:val="004C3E7B"/>
    <w:rsid w:val="004C5BA6"/>
    <w:rsid w:val="004C6219"/>
    <w:rsid w:val="004C7F1F"/>
    <w:rsid w:val="004D346F"/>
    <w:rsid w:val="004D46DB"/>
    <w:rsid w:val="004E3BB2"/>
    <w:rsid w:val="004E67D8"/>
    <w:rsid w:val="004E7691"/>
    <w:rsid w:val="004F037F"/>
    <w:rsid w:val="004F2F6A"/>
    <w:rsid w:val="004F6EB4"/>
    <w:rsid w:val="005015D3"/>
    <w:rsid w:val="0050389F"/>
    <w:rsid w:val="00506077"/>
    <w:rsid w:val="005100C2"/>
    <w:rsid w:val="005123D2"/>
    <w:rsid w:val="00512484"/>
    <w:rsid w:val="00514AC5"/>
    <w:rsid w:val="005175C1"/>
    <w:rsid w:val="00523070"/>
    <w:rsid w:val="005245FA"/>
    <w:rsid w:val="00526CE3"/>
    <w:rsid w:val="005301C8"/>
    <w:rsid w:val="00531147"/>
    <w:rsid w:val="0053238C"/>
    <w:rsid w:val="00535314"/>
    <w:rsid w:val="00537BCF"/>
    <w:rsid w:val="00544AC6"/>
    <w:rsid w:val="00547E80"/>
    <w:rsid w:val="00552455"/>
    <w:rsid w:val="00556C78"/>
    <w:rsid w:val="00575431"/>
    <w:rsid w:val="00576DB5"/>
    <w:rsid w:val="00590023"/>
    <w:rsid w:val="00590933"/>
    <w:rsid w:val="00590F5F"/>
    <w:rsid w:val="005A3F4C"/>
    <w:rsid w:val="005A4BA3"/>
    <w:rsid w:val="005B5A17"/>
    <w:rsid w:val="005B674A"/>
    <w:rsid w:val="005C51F7"/>
    <w:rsid w:val="005C6416"/>
    <w:rsid w:val="005C770F"/>
    <w:rsid w:val="005D1B0C"/>
    <w:rsid w:val="005D20D7"/>
    <w:rsid w:val="005D2153"/>
    <w:rsid w:val="005D2597"/>
    <w:rsid w:val="005D57A7"/>
    <w:rsid w:val="005E1BF2"/>
    <w:rsid w:val="005E3FBA"/>
    <w:rsid w:val="005E5E64"/>
    <w:rsid w:val="005F2A7E"/>
    <w:rsid w:val="005F5D6B"/>
    <w:rsid w:val="00603279"/>
    <w:rsid w:val="00606297"/>
    <w:rsid w:val="00607605"/>
    <w:rsid w:val="00610F74"/>
    <w:rsid w:val="0061406A"/>
    <w:rsid w:val="00623FB0"/>
    <w:rsid w:val="00624300"/>
    <w:rsid w:val="00624349"/>
    <w:rsid w:val="00630F22"/>
    <w:rsid w:val="00637BDD"/>
    <w:rsid w:val="00644D5A"/>
    <w:rsid w:val="006474D9"/>
    <w:rsid w:val="00666B75"/>
    <w:rsid w:val="0067322A"/>
    <w:rsid w:val="00680857"/>
    <w:rsid w:val="0068193C"/>
    <w:rsid w:val="00691E73"/>
    <w:rsid w:val="00693DE3"/>
    <w:rsid w:val="0069411B"/>
    <w:rsid w:val="006970B2"/>
    <w:rsid w:val="006970D5"/>
    <w:rsid w:val="006A21CF"/>
    <w:rsid w:val="006A5655"/>
    <w:rsid w:val="006A5ED4"/>
    <w:rsid w:val="006B07F9"/>
    <w:rsid w:val="006D3471"/>
    <w:rsid w:val="006D6F09"/>
    <w:rsid w:val="006E0585"/>
    <w:rsid w:val="006E213E"/>
    <w:rsid w:val="006E5D80"/>
    <w:rsid w:val="006E63C3"/>
    <w:rsid w:val="006E63D1"/>
    <w:rsid w:val="006F63F4"/>
    <w:rsid w:val="006F745F"/>
    <w:rsid w:val="006F7B40"/>
    <w:rsid w:val="00700188"/>
    <w:rsid w:val="00701106"/>
    <w:rsid w:val="007067B2"/>
    <w:rsid w:val="00706DA5"/>
    <w:rsid w:val="00707168"/>
    <w:rsid w:val="00717EE5"/>
    <w:rsid w:val="00717FF2"/>
    <w:rsid w:val="007238AC"/>
    <w:rsid w:val="00726A26"/>
    <w:rsid w:val="00733E55"/>
    <w:rsid w:val="0073637F"/>
    <w:rsid w:val="0074215A"/>
    <w:rsid w:val="00745F22"/>
    <w:rsid w:val="00746609"/>
    <w:rsid w:val="007513E1"/>
    <w:rsid w:val="0075342D"/>
    <w:rsid w:val="007563ED"/>
    <w:rsid w:val="00756DF4"/>
    <w:rsid w:val="00757F8B"/>
    <w:rsid w:val="00760470"/>
    <w:rsid w:val="00762DC2"/>
    <w:rsid w:val="00766990"/>
    <w:rsid w:val="0076763C"/>
    <w:rsid w:val="007762DE"/>
    <w:rsid w:val="007778CD"/>
    <w:rsid w:val="0078085F"/>
    <w:rsid w:val="00785B34"/>
    <w:rsid w:val="00794C81"/>
    <w:rsid w:val="007A4F25"/>
    <w:rsid w:val="007A68CC"/>
    <w:rsid w:val="007B483A"/>
    <w:rsid w:val="007C0841"/>
    <w:rsid w:val="007C359B"/>
    <w:rsid w:val="007C7FAA"/>
    <w:rsid w:val="007E45EA"/>
    <w:rsid w:val="007F1332"/>
    <w:rsid w:val="007F3FF1"/>
    <w:rsid w:val="007F5037"/>
    <w:rsid w:val="007F7122"/>
    <w:rsid w:val="007F7E35"/>
    <w:rsid w:val="00803AF3"/>
    <w:rsid w:val="00803FF2"/>
    <w:rsid w:val="008070DF"/>
    <w:rsid w:val="00807321"/>
    <w:rsid w:val="008132DA"/>
    <w:rsid w:val="008174BE"/>
    <w:rsid w:val="00820009"/>
    <w:rsid w:val="00823B54"/>
    <w:rsid w:val="00824505"/>
    <w:rsid w:val="008255C6"/>
    <w:rsid w:val="008263E3"/>
    <w:rsid w:val="0083381B"/>
    <w:rsid w:val="00833E08"/>
    <w:rsid w:val="00836F7B"/>
    <w:rsid w:val="0084083C"/>
    <w:rsid w:val="00843B6D"/>
    <w:rsid w:val="008461E9"/>
    <w:rsid w:val="00846B21"/>
    <w:rsid w:val="00856B5B"/>
    <w:rsid w:val="008610C9"/>
    <w:rsid w:val="00862CD1"/>
    <w:rsid w:val="0087149B"/>
    <w:rsid w:val="00871AD9"/>
    <w:rsid w:val="00877754"/>
    <w:rsid w:val="008778C4"/>
    <w:rsid w:val="008839F6"/>
    <w:rsid w:val="0088544C"/>
    <w:rsid w:val="00886180"/>
    <w:rsid w:val="00892425"/>
    <w:rsid w:val="008A2BDA"/>
    <w:rsid w:val="008A349D"/>
    <w:rsid w:val="008A54E1"/>
    <w:rsid w:val="008B790B"/>
    <w:rsid w:val="008C3302"/>
    <w:rsid w:val="008E0C96"/>
    <w:rsid w:val="008E145A"/>
    <w:rsid w:val="008E3845"/>
    <w:rsid w:val="008F4A4D"/>
    <w:rsid w:val="008F5172"/>
    <w:rsid w:val="008F51CB"/>
    <w:rsid w:val="008F5461"/>
    <w:rsid w:val="009030CE"/>
    <w:rsid w:val="00906A0F"/>
    <w:rsid w:val="00907390"/>
    <w:rsid w:val="00907AA6"/>
    <w:rsid w:val="0091409B"/>
    <w:rsid w:val="009259D6"/>
    <w:rsid w:val="00926BC0"/>
    <w:rsid w:val="00927FED"/>
    <w:rsid w:val="00934570"/>
    <w:rsid w:val="00944106"/>
    <w:rsid w:val="00945DFB"/>
    <w:rsid w:val="00951FF9"/>
    <w:rsid w:val="0095308E"/>
    <w:rsid w:val="0095434B"/>
    <w:rsid w:val="00967922"/>
    <w:rsid w:val="0097297D"/>
    <w:rsid w:val="00973DF3"/>
    <w:rsid w:val="0097647B"/>
    <w:rsid w:val="00976AD7"/>
    <w:rsid w:val="00980D41"/>
    <w:rsid w:val="00990A8A"/>
    <w:rsid w:val="00992B19"/>
    <w:rsid w:val="00995BC6"/>
    <w:rsid w:val="0099707F"/>
    <w:rsid w:val="009A1E34"/>
    <w:rsid w:val="009B1202"/>
    <w:rsid w:val="009B6B1E"/>
    <w:rsid w:val="009B7D61"/>
    <w:rsid w:val="009D21D3"/>
    <w:rsid w:val="009D5C66"/>
    <w:rsid w:val="009D7F38"/>
    <w:rsid w:val="009E1413"/>
    <w:rsid w:val="009E4E77"/>
    <w:rsid w:val="009F2F1E"/>
    <w:rsid w:val="00A01365"/>
    <w:rsid w:val="00A055E2"/>
    <w:rsid w:val="00A059AA"/>
    <w:rsid w:val="00A066E7"/>
    <w:rsid w:val="00A12A68"/>
    <w:rsid w:val="00A15DB0"/>
    <w:rsid w:val="00A250E3"/>
    <w:rsid w:val="00A326D8"/>
    <w:rsid w:val="00A4251B"/>
    <w:rsid w:val="00A458DF"/>
    <w:rsid w:val="00A46BC5"/>
    <w:rsid w:val="00A55A54"/>
    <w:rsid w:val="00A6487A"/>
    <w:rsid w:val="00A71528"/>
    <w:rsid w:val="00A72D3E"/>
    <w:rsid w:val="00A95A18"/>
    <w:rsid w:val="00A9666F"/>
    <w:rsid w:val="00AA272E"/>
    <w:rsid w:val="00AA6407"/>
    <w:rsid w:val="00AB6721"/>
    <w:rsid w:val="00AB6DA4"/>
    <w:rsid w:val="00AB7571"/>
    <w:rsid w:val="00AC5992"/>
    <w:rsid w:val="00AD3DB0"/>
    <w:rsid w:val="00AD3EA3"/>
    <w:rsid w:val="00AD6AAA"/>
    <w:rsid w:val="00AE3366"/>
    <w:rsid w:val="00AE6179"/>
    <w:rsid w:val="00AE722C"/>
    <w:rsid w:val="00AE7A00"/>
    <w:rsid w:val="00AF2CDB"/>
    <w:rsid w:val="00AF7C3C"/>
    <w:rsid w:val="00B019BA"/>
    <w:rsid w:val="00B04A0C"/>
    <w:rsid w:val="00B120BC"/>
    <w:rsid w:val="00B1299C"/>
    <w:rsid w:val="00B131E7"/>
    <w:rsid w:val="00B13840"/>
    <w:rsid w:val="00B13E52"/>
    <w:rsid w:val="00B15E61"/>
    <w:rsid w:val="00B25EBD"/>
    <w:rsid w:val="00B32E48"/>
    <w:rsid w:val="00B332B4"/>
    <w:rsid w:val="00B442E2"/>
    <w:rsid w:val="00B5317F"/>
    <w:rsid w:val="00B56D2A"/>
    <w:rsid w:val="00B623DA"/>
    <w:rsid w:val="00B82286"/>
    <w:rsid w:val="00B822C5"/>
    <w:rsid w:val="00B83F54"/>
    <w:rsid w:val="00B859CD"/>
    <w:rsid w:val="00B87243"/>
    <w:rsid w:val="00B917E0"/>
    <w:rsid w:val="00B96ED4"/>
    <w:rsid w:val="00BA26CD"/>
    <w:rsid w:val="00BB142D"/>
    <w:rsid w:val="00BC1FAB"/>
    <w:rsid w:val="00BD23D4"/>
    <w:rsid w:val="00BF3E45"/>
    <w:rsid w:val="00BF48EC"/>
    <w:rsid w:val="00BF6701"/>
    <w:rsid w:val="00C120C9"/>
    <w:rsid w:val="00C13A34"/>
    <w:rsid w:val="00C16149"/>
    <w:rsid w:val="00C17174"/>
    <w:rsid w:val="00C17BC9"/>
    <w:rsid w:val="00C24F2C"/>
    <w:rsid w:val="00C33455"/>
    <w:rsid w:val="00C363FB"/>
    <w:rsid w:val="00C37945"/>
    <w:rsid w:val="00C452F2"/>
    <w:rsid w:val="00C47B8B"/>
    <w:rsid w:val="00C530B0"/>
    <w:rsid w:val="00C53982"/>
    <w:rsid w:val="00C56731"/>
    <w:rsid w:val="00C6034C"/>
    <w:rsid w:val="00C60D56"/>
    <w:rsid w:val="00C6526C"/>
    <w:rsid w:val="00C71CFA"/>
    <w:rsid w:val="00C75CF8"/>
    <w:rsid w:val="00C768F8"/>
    <w:rsid w:val="00C77D95"/>
    <w:rsid w:val="00C910F4"/>
    <w:rsid w:val="00CA6704"/>
    <w:rsid w:val="00CA6AA1"/>
    <w:rsid w:val="00CB1C77"/>
    <w:rsid w:val="00CB1DEF"/>
    <w:rsid w:val="00CB34F2"/>
    <w:rsid w:val="00CC022F"/>
    <w:rsid w:val="00CC183C"/>
    <w:rsid w:val="00CC3CD9"/>
    <w:rsid w:val="00CC7459"/>
    <w:rsid w:val="00CD04B1"/>
    <w:rsid w:val="00CD286D"/>
    <w:rsid w:val="00CD44D9"/>
    <w:rsid w:val="00CD4531"/>
    <w:rsid w:val="00CD5385"/>
    <w:rsid w:val="00CD7E21"/>
    <w:rsid w:val="00CE39F7"/>
    <w:rsid w:val="00CE6FC9"/>
    <w:rsid w:val="00CE7389"/>
    <w:rsid w:val="00D04751"/>
    <w:rsid w:val="00D06B2A"/>
    <w:rsid w:val="00D11E7C"/>
    <w:rsid w:val="00D21775"/>
    <w:rsid w:val="00D24A48"/>
    <w:rsid w:val="00D25FD9"/>
    <w:rsid w:val="00D374A8"/>
    <w:rsid w:val="00D37846"/>
    <w:rsid w:val="00D44D39"/>
    <w:rsid w:val="00D50C55"/>
    <w:rsid w:val="00D52FF1"/>
    <w:rsid w:val="00D54468"/>
    <w:rsid w:val="00D54B93"/>
    <w:rsid w:val="00D61050"/>
    <w:rsid w:val="00D61241"/>
    <w:rsid w:val="00D6267F"/>
    <w:rsid w:val="00D63F7D"/>
    <w:rsid w:val="00D64C42"/>
    <w:rsid w:val="00D72666"/>
    <w:rsid w:val="00D808B0"/>
    <w:rsid w:val="00D82F2C"/>
    <w:rsid w:val="00D9027A"/>
    <w:rsid w:val="00D92D6A"/>
    <w:rsid w:val="00D92F6A"/>
    <w:rsid w:val="00D94528"/>
    <w:rsid w:val="00D94DFE"/>
    <w:rsid w:val="00DA5579"/>
    <w:rsid w:val="00DB1CA5"/>
    <w:rsid w:val="00DB1E56"/>
    <w:rsid w:val="00DC2082"/>
    <w:rsid w:val="00DC6771"/>
    <w:rsid w:val="00DC6EFA"/>
    <w:rsid w:val="00DC7DB2"/>
    <w:rsid w:val="00DC7FDB"/>
    <w:rsid w:val="00DE29C9"/>
    <w:rsid w:val="00DE3FF2"/>
    <w:rsid w:val="00DE6AEE"/>
    <w:rsid w:val="00DF0342"/>
    <w:rsid w:val="00E0079E"/>
    <w:rsid w:val="00E00F5E"/>
    <w:rsid w:val="00E024E8"/>
    <w:rsid w:val="00E05798"/>
    <w:rsid w:val="00E07284"/>
    <w:rsid w:val="00E16C92"/>
    <w:rsid w:val="00E17F7E"/>
    <w:rsid w:val="00E2062D"/>
    <w:rsid w:val="00E26C14"/>
    <w:rsid w:val="00E3456B"/>
    <w:rsid w:val="00E37D90"/>
    <w:rsid w:val="00E37E42"/>
    <w:rsid w:val="00E46FD8"/>
    <w:rsid w:val="00E539D6"/>
    <w:rsid w:val="00E55817"/>
    <w:rsid w:val="00E644BF"/>
    <w:rsid w:val="00E90D91"/>
    <w:rsid w:val="00EA0B24"/>
    <w:rsid w:val="00EA6CE9"/>
    <w:rsid w:val="00EB0CB1"/>
    <w:rsid w:val="00EB133A"/>
    <w:rsid w:val="00ED1443"/>
    <w:rsid w:val="00EE4FAC"/>
    <w:rsid w:val="00EF21C3"/>
    <w:rsid w:val="00F01EE3"/>
    <w:rsid w:val="00F02252"/>
    <w:rsid w:val="00F153C5"/>
    <w:rsid w:val="00F227EF"/>
    <w:rsid w:val="00F247B6"/>
    <w:rsid w:val="00F41EEB"/>
    <w:rsid w:val="00F43778"/>
    <w:rsid w:val="00F455CD"/>
    <w:rsid w:val="00F47A9B"/>
    <w:rsid w:val="00F51B95"/>
    <w:rsid w:val="00F541B2"/>
    <w:rsid w:val="00F603A0"/>
    <w:rsid w:val="00F67CDF"/>
    <w:rsid w:val="00F77AFC"/>
    <w:rsid w:val="00F823CE"/>
    <w:rsid w:val="00F93FE3"/>
    <w:rsid w:val="00FA3B24"/>
    <w:rsid w:val="00FB04DA"/>
    <w:rsid w:val="00FB26BE"/>
    <w:rsid w:val="00FB3A40"/>
    <w:rsid w:val="00FC0A4C"/>
    <w:rsid w:val="00FE6593"/>
    <w:rsid w:val="00FF3CC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4C916FBB"/>
  <w15:chartTrackingRefBased/>
  <w15:docId w15:val="{96C65D48-722D-1A4D-8C0A-FDC5B98753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33DA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33DA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233DA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33DA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33DA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33DA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33DA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33DA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33DA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33DA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33DA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233DA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33DA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33DA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33DA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33DA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33DA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33DA7"/>
    <w:rPr>
      <w:rFonts w:eastAsiaTheme="majorEastAsia" w:cstheme="majorBidi"/>
      <w:color w:val="272727" w:themeColor="text1" w:themeTint="D8"/>
    </w:rPr>
  </w:style>
  <w:style w:type="paragraph" w:styleId="Title">
    <w:name w:val="Title"/>
    <w:basedOn w:val="Normal"/>
    <w:next w:val="Normal"/>
    <w:link w:val="TitleChar"/>
    <w:uiPriority w:val="10"/>
    <w:qFormat/>
    <w:rsid w:val="00233DA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33DA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33DA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33DA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33DA7"/>
    <w:pPr>
      <w:spacing w:before="160"/>
      <w:jc w:val="center"/>
    </w:pPr>
    <w:rPr>
      <w:i/>
      <w:iCs/>
      <w:color w:val="404040" w:themeColor="text1" w:themeTint="BF"/>
    </w:rPr>
  </w:style>
  <w:style w:type="character" w:customStyle="1" w:styleId="QuoteChar">
    <w:name w:val="Quote Char"/>
    <w:basedOn w:val="DefaultParagraphFont"/>
    <w:link w:val="Quote"/>
    <w:uiPriority w:val="29"/>
    <w:rsid w:val="00233DA7"/>
    <w:rPr>
      <w:i/>
      <w:iCs/>
      <w:color w:val="404040" w:themeColor="text1" w:themeTint="BF"/>
    </w:rPr>
  </w:style>
  <w:style w:type="paragraph" w:styleId="ListParagraph">
    <w:name w:val="List Paragraph"/>
    <w:basedOn w:val="Normal"/>
    <w:uiPriority w:val="34"/>
    <w:qFormat/>
    <w:rsid w:val="00233DA7"/>
    <w:pPr>
      <w:ind w:left="720"/>
      <w:contextualSpacing/>
    </w:pPr>
  </w:style>
  <w:style w:type="character" w:styleId="IntenseEmphasis">
    <w:name w:val="Intense Emphasis"/>
    <w:basedOn w:val="DefaultParagraphFont"/>
    <w:uiPriority w:val="21"/>
    <w:qFormat/>
    <w:rsid w:val="00233DA7"/>
    <w:rPr>
      <w:i/>
      <w:iCs/>
      <w:color w:val="0F4761" w:themeColor="accent1" w:themeShade="BF"/>
    </w:rPr>
  </w:style>
  <w:style w:type="paragraph" w:styleId="IntenseQuote">
    <w:name w:val="Intense Quote"/>
    <w:basedOn w:val="Normal"/>
    <w:next w:val="Normal"/>
    <w:link w:val="IntenseQuoteChar"/>
    <w:uiPriority w:val="30"/>
    <w:qFormat/>
    <w:rsid w:val="00233DA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33DA7"/>
    <w:rPr>
      <w:i/>
      <w:iCs/>
      <w:color w:val="0F4761" w:themeColor="accent1" w:themeShade="BF"/>
    </w:rPr>
  </w:style>
  <w:style w:type="character" w:styleId="IntenseReference">
    <w:name w:val="Intense Reference"/>
    <w:basedOn w:val="DefaultParagraphFont"/>
    <w:uiPriority w:val="32"/>
    <w:qFormat/>
    <w:rsid w:val="00233DA7"/>
    <w:rPr>
      <w:b/>
      <w:bCs/>
      <w:smallCaps/>
      <w:color w:val="0F4761" w:themeColor="accent1" w:themeShade="BF"/>
      <w:spacing w:val="5"/>
    </w:rPr>
  </w:style>
  <w:style w:type="paragraph" w:styleId="NormalWeb">
    <w:name w:val="Normal (Web)"/>
    <w:basedOn w:val="Normal"/>
    <w:uiPriority w:val="99"/>
    <w:semiHidden/>
    <w:unhideWhenUsed/>
    <w:rsid w:val="00EB133A"/>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EB133A"/>
    <w:rPr>
      <w:b/>
      <w:bCs/>
    </w:rPr>
  </w:style>
  <w:style w:type="character" w:styleId="CommentReference">
    <w:name w:val="annotation reference"/>
    <w:basedOn w:val="DefaultParagraphFont"/>
    <w:uiPriority w:val="99"/>
    <w:semiHidden/>
    <w:unhideWhenUsed/>
    <w:rsid w:val="00B859CD"/>
    <w:rPr>
      <w:sz w:val="16"/>
      <w:szCs w:val="16"/>
    </w:rPr>
  </w:style>
  <w:style w:type="paragraph" w:styleId="CommentText">
    <w:name w:val="annotation text"/>
    <w:basedOn w:val="Normal"/>
    <w:link w:val="CommentTextChar"/>
    <w:uiPriority w:val="99"/>
    <w:semiHidden/>
    <w:unhideWhenUsed/>
    <w:rsid w:val="00B859CD"/>
    <w:pPr>
      <w:spacing w:line="240" w:lineRule="auto"/>
    </w:pPr>
    <w:rPr>
      <w:sz w:val="20"/>
      <w:szCs w:val="20"/>
    </w:rPr>
  </w:style>
  <w:style w:type="character" w:customStyle="1" w:styleId="CommentTextChar">
    <w:name w:val="Comment Text Char"/>
    <w:basedOn w:val="DefaultParagraphFont"/>
    <w:link w:val="CommentText"/>
    <w:uiPriority w:val="99"/>
    <w:semiHidden/>
    <w:rsid w:val="00B859CD"/>
    <w:rPr>
      <w:sz w:val="20"/>
      <w:szCs w:val="20"/>
    </w:rPr>
  </w:style>
  <w:style w:type="paragraph" w:styleId="CommentSubject">
    <w:name w:val="annotation subject"/>
    <w:basedOn w:val="CommentText"/>
    <w:next w:val="CommentText"/>
    <w:link w:val="CommentSubjectChar"/>
    <w:uiPriority w:val="99"/>
    <w:semiHidden/>
    <w:unhideWhenUsed/>
    <w:rsid w:val="00B859CD"/>
    <w:rPr>
      <w:b/>
      <w:bCs/>
    </w:rPr>
  </w:style>
  <w:style w:type="character" w:customStyle="1" w:styleId="CommentSubjectChar">
    <w:name w:val="Comment Subject Char"/>
    <w:basedOn w:val="CommentTextChar"/>
    <w:link w:val="CommentSubject"/>
    <w:uiPriority w:val="99"/>
    <w:semiHidden/>
    <w:rsid w:val="00B859CD"/>
    <w:rPr>
      <w:b/>
      <w:bCs/>
      <w:sz w:val="20"/>
      <w:szCs w:val="20"/>
    </w:rPr>
  </w:style>
  <w:style w:type="paragraph" w:styleId="Bibliography">
    <w:name w:val="Bibliography"/>
    <w:basedOn w:val="Normal"/>
    <w:next w:val="Normal"/>
    <w:uiPriority w:val="37"/>
    <w:unhideWhenUsed/>
    <w:rsid w:val="00AB7571"/>
    <w:pPr>
      <w:spacing w:after="0" w:line="480" w:lineRule="auto"/>
      <w:ind w:left="720" w:hanging="720"/>
    </w:pPr>
  </w:style>
  <w:style w:type="character" w:styleId="Hyperlink">
    <w:name w:val="Hyperlink"/>
    <w:basedOn w:val="DefaultParagraphFont"/>
    <w:uiPriority w:val="99"/>
    <w:unhideWhenUsed/>
    <w:rsid w:val="00C13A34"/>
    <w:rPr>
      <w:color w:val="467886" w:themeColor="hyperlink"/>
      <w:u w:val="single"/>
    </w:rPr>
  </w:style>
  <w:style w:type="character" w:styleId="UnresolvedMention">
    <w:name w:val="Unresolved Mention"/>
    <w:basedOn w:val="DefaultParagraphFont"/>
    <w:uiPriority w:val="99"/>
    <w:semiHidden/>
    <w:unhideWhenUsed/>
    <w:rsid w:val="00C13A3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comments.xml.rels><?xml version="1.0" encoding="UTF-8" standalone="yes"?>
<Relationships xmlns="http://schemas.openxmlformats.org/package/2006/relationships"><Relationship Id="rId2" Type="http://schemas.openxmlformats.org/officeDocument/2006/relationships/hyperlink" Target="https://www.sciencedirect.com/science/article/abs/pii/S014067362301961X" TargetMode="External"/><Relationship Id="rId1" Type="http://schemas.openxmlformats.org/officeDocument/2006/relationships/hyperlink" Target="https://pubmed-ncbi-nlm-nih-gov.proxy.lib.umich.edu/23889360/" TargetMode="External"/></Relationship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3" Type="http://schemas.openxmlformats.org/officeDocument/2006/relationships/settings" Target="settings.xml"/><Relationship Id="rId7" Type="http://schemas.microsoft.com/office/2016/09/relationships/commentsIds" Target="commentsIds.xml"/><Relationship Id="rId2" Type="http://schemas.openxmlformats.org/officeDocument/2006/relationships/styles" Target="styles.xm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theme" Target="theme/theme1.xml"/><Relationship Id="rId5" Type="http://schemas.openxmlformats.org/officeDocument/2006/relationships/comments" Target="comments.xml"/><Relationship Id="rId10" Type="http://schemas.microsoft.com/office/2011/relationships/people" Target="people.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526</TotalTime>
  <Pages>11</Pages>
  <Words>10994</Words>
  <Characters>62670</Characters>
  <Application>Microsoft Office Word</Application>
  <DocSecurity>0</DocSecurity>
  <Lines>522</Lines>
  <Paragraphs>147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73517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Dave Bridges</dc:creator>
  <cp:keywords/>
  <dc:description/>
  <cp:lastModifiedBy>Dave Bridges</cp:lastModifiedBy>
  <cp:revision>162</cp:revision>
  <dcterms:created xsi:type="dcterms:W3CDTF">2025-09-05T13:57:00Z</dcterms:created>
  <dcterms:modified xsi:type="dcterms:W3CDTF">2025-12-13T15:08:00Z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zotero-version="7.0.30"&gt;&lt;session id="dXZmAYDT"/&gt;&lt;style id="http://www.zotero.org/styles/apa" locale="en-US" hasBibliography="1" bibliographyStyleHasBeenSet="1"/&gt;&lt;prefs&gt;&lt;pref name="fieldType" value="Field"/&gt;&lt;/prefs&gt;&lt;/data&gt;</vt:lpwstr>
  </property>
</Properties>
</file>