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bookmarkStart w:id="0" w:name="_GoBack"/>
      <w:bookmarkEnd w:id="0"/>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77777777" w:rsidR="006439EA"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Cs/>
        </w:rPr>
        <w:t>Irit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Acromegalic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 xml:space="preserve">Acromegaly, Lipolysis, Insulin Resistance, </w:t>
      </w:r>
      <w:proofErr w:type="gramStart"/>
      <w:r w:rsidRPr="003A3AC8">
        <w:rPr>
          <w:rFonts w:ascii="Times New Roman" w:hAnsi="Times New Roman" w:cs="Times New Roman"/>
          <w:bCs/>
        </w:rPr>
        <w:t>Growth</w:t>
      </w:r>
      <w:proofErr w:type="gramEnd"/>
      <w:r w:rsidRPr="003A3AC8">
        <w:rPr>
          <w:rFonts w:ascii="Times New Roman" w:hAnsi="Times New Roman" w:cs="Times New Roman"/>
          <w:bCs/>
        </w:rPr>
        <w:t xml:space="preserve"> Hormone</w:t>
      </w:r>
    </w:p>
    <w:p w14:paraId="07445013"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commentRangeStart w:id="1"/>
      <w:r w:rsidR="004B30C4">
        <w:rPr>
          <w:rFonts w:ascii="Times New Roman" w:hAnsi="Times New Roman" w:cs="Times New Roman"/>
          <w:bCs/>
        </w:rPr>
        <w:t>4108</w:t>
      </w:r>
      <w:commentRangeEnd w:id="1"/>
      <w:r w:rsidR="004B30C4">
        <w:rPr>
          <w:rStyle w:val="CommentReference"/>
        </w:rPr>
        <w:commentReference w:id="1"/>
      </w:r>
    </w:p>
    <w:p w14:paraId="62C0A7C4"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Irit Hochberg</w:t>
      </w:r>
      <w:proofErr w:type="gramStart"/>
      <w:r w:rsidR="002F4F6E" w:rsidRPr="003A3AC8">
        <w:rPr>
          <w:rFonts w:ascii="Times New Roman" w:hAnsi="Times New Roman" w:cs="Times New Roman"/>
          <w:bCs/>
        </w:rPr>
        <w:t>,</w:t>
      </w:r>
      <w:r w:rsidR="00BC03D4" w:rsidRPr="003A3AC8">
        <w:rPr>
          <w:rFonts w:ascii="Times New Roman" w:hAnsi="Times New Roman" w:cs="Times New Roman"/>
          <w:bCs/>
        </w:rPr>
        <w:t xml:space="preserve"> </w:t>
      </w:r>
      <w:r w:rsidR="002F4F6E" w:rsidRPr="003A3AC8">
        <w:rPr>
          <w:rFonts w:ascii="Times New Roman" w:hAnsi="Times New Roman" w:cs="Times New Roman"/>
          <w:bCs/>
        </w:rPr>
        <w:t xml:space="preserve"> </w:t>
      </w:r>
      <w:r w:rsidR="00BC03D4" w:rsidRPr="003A3AC8">
        <w:rPr>
          <w:rFonts w:ascii="Times New Roman" w:hAnsi="Times New Roman" w:cs="Times New Roman"/>
          <w:bCs/>
        </w:rPr>
        <w:t>Rambam</w:t>
      </w:r>
      <w:proofErr w:type="gramEnd"/>
      <w:r w:rsidR="00BC03D4" w:rsidRPr="003A3AC8">
        <w:rPr>
          <w:rFonts w:ascii="Times New Roman" w:hAnsi="Times New Roman" w:cs="Times New Roman"/>
          <w:bCs/>
        </w:rPr>
        <w:t xml:space="preserve">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r w:rsidR="00BC03D4" w:rsidRPr="003A3AC8">
        <w:rPr>
          <w:rFonts w:ascii="Times New Roman" w:hAnsi="Times New Roman" w:cs="Times New Roman"/>
          <w:bCs/>
        </w:rPr>
        <w:t xml:space="preserve">Irit Hochberg, 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Design. </w:t>
      </w:r>
      <w:proofErr w:type="gramStart"/>
      <w:r w:rsidRPr="003A3AC8">
        <w:rPr>
          <w:rFonts w:ascii="Times New Roman" w:hAnsi="Times New Roman" w:cs="Times New Roman"/>
        </w:rPr>
        <w:t>Prospective observational study from March 2011 to June 2012.</w:t>
      </w:r>
      <w:proofErr w:type="gramEnd"/>
      <w:r w:rsidRPr="003A3AC8">
        <w:rPr>
          <w:rFonts w:ascii="Times New Roman" w:hAnsi="Times New Roman" w:cs="Times New Roman"/>
        </w:rPr>
        <w:t xml:space="preserve">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w:t>
      </w:r>
      <w:proofErr w:type="gramStart"/>
      <w:r w:rsidRPr="003A3AC8">
        <w:rPr>
          <w:rFonts w:ascii="Times New Roman" w:eastAsia="Times New Roman" w:hAnsi="Times New Roman" w:cs="Times New Roman"/>
          <w:color w:val="000000"/>
        </w:rPr>
        <w:t>non functioning</w:t>
      </w:r>
      <w:proofErr w:type="gramEnd"/>
      <w:r w:rsidRPr="003A3AC8">
        <w:rPr>
          <w:rFonts w:ascii="Times New Roman" w:eastAsia="Times New Roman" w:hAnsi="Times New Roman" w:cs="Times New Roman"/>
          <w:color w:val="000000"/>
        </w:rPr>
        <w:t xml:space="preserve">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The patients underwent clinical and metabolic profiling including assessment of HOMA-IR. Explants of adipose tissue were assayed ex-vivo for lipolysis. Adipose tissue was analysed by RNAseq</w:t>
      </w:r>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Pr="003A3AC8">
        <w:rPr>
          <w:rFonts w:ascii="Times New Roman" w:hAnsi="Times New Roman" w:cs="Times New Roman"/>
        </w:rPr>
        <w:t>are classically known to be induced</w:t>
      </w:r>
      <w:proofErr w:type="gramEnd"/>
      <w:r w:rsidRPr="003A3AC8">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proofErr w:type="gramStart"/>
      <w:r w:rsidR="004531BB" w:rsidRPr="003A3AC8">
        <w:rPr>
          <w:rFonts w:ascii="Times New Roman" w:hAnsi="Times New Roman" w:cs="Times New Roman"/>
          <w:i/>
        </w:rPr>
        <w:t>NRIP1</w:t>
      </w:r>
      <w:proofErr w:type="gramEnd"/>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6D4B52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Acromegaly, excess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1BA17FF9"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not many studies addressing the affect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adiopse tissue biopsies taken after acute GH </w:t>
      </w:r>
      <w:r w:rsidR="0073573E" w:rsidRPr="003A3AC8">
        <w:rPr>
          <w:rFonts w:ascii="Times New Roman" w:hAnsi="Times New Roman" w:cs="Times New Roman"/>
        </w:rPr>
        <w:t xml:space="preserve">treatment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F341BB" w:rsidRPr="003A3AC8">
        <w:rPr>
          <w:rFonts w:ascii="Times New Roman" w:hAnsi="Times New Roman" w:cs="Times New Roman"/>
        </w:rPr>
        <w:t xml:space="preserve">Subcutanous adipocytes extracted from acromegalic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7777777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New techniques of transcriptomics open an opporunity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on adipose tissue,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to study </w:t>
      </w:r>
      <w:r w:rsidR="00C5610E" w:rsidRPr="003A3AC8">
        <w:rPr>
          <w:rFonts w:ascii="Times New Roman" w:hAnsi="Times New Roman" w:cs="Times New Roman"/>
        </w:rPr>
        <w:lastRenderedPageBreak/>
        <w:t xml:space="preserve">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ceramide and glucosylceramide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To assess whether ceramides are important in GH-induced insulin resistance we also measured ceramides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77777777"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w:t>
      </w:r>
      <w:r w:rsidR="002748A1" w:rsidRPr="003A3AC8">
        <w:rPr>
          <w:rFonts w:ascii="Times New Roman" w:eastAsia="Times New Roman" w:hAnsi="Times New Roman" w:cs="Times New Roman"/>
          <w:color w:val="191919"/>
        </w:rPr>
        <w:t xml:space="preserve">the </w:t>
      </w:r>
      <w:r w:rsidR="0025439D" w:rsidRPr="003A3AC8">
        <w:rPr>
          <w:rFonts w:ascii="Times New Roman" w:eastAsia="Times New Roman" w:hAnsi="Times New Roman" w:cs="Times New Roman"/>
          <w:color w:val="191919"/>
        </w:rPr>
        <w:t xml:space="preserve">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w:t>
      </w:r>
      <w:proofErr w:type="gramStart"/>
      <w:r w:rsidR="000120B5" w:rsidRPr="003A3AC8">
        <w:rPr>
          <w:rFonts w:ascii="Times New Roman" w:eastAsia="Times New Roman" w:hAnsi="Times New Roman" w:cs="Times New Roman"/>
          <w:color w:val="191919"/>
        </w:rPr>
        <w:t>diabetes</w:t>
      </w:r>
      <w:proofErr w:type="gramEnd"/>
      <w:r w:rsidR="000120B5" w:rsidRPr="003A3AC8">
        <w:rPr>
          <w:rFonts w:ascii="Times New Roman" w:eastAsia="Times New Roman" w:hAnsi="Times New Roman" w:cs="Times New Roman"/>
          <w:color w:val="191919"/>
        </w:rPr>
        <w:t xml:space="preserve">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7777777"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Briefly, frozen tissue samples were pulverized under liquid nitrogen, then 20 mg portions were extracted using 1.6 mL of a 2:1:0.8 mixture of chloroform</w:t>
      </w:r>
      <w:proofErr w:type="gramStart"/>
      <w:r w:rsidRPr="003A3AC8">
        <w:rPr>
          <w:rFonts w:ascii="Times New Roman" w:hAnsi="Times New Roman" w:cs="Times New Roman"/>
          <w:bCs/>
        </w:rPr>
        <w:t>:methanol:water</w:t>
      </w:r>
      <w:proofErr w:type="gramEnd"/>
      <w:r w:rsidRPr="003A3AC8">
        <w:rPr>
          <w:rFonts w:ascii="Times New Roman" w:hAnsi="Times New Roman" w:cs="Times New Roman"/>
          <w:bCs/>
        </w:rPr>
        <w:t xml:space="preserve">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Xbridge C18 2.5 µ, 50 mm x 2.1 mm i.d.  Mobile phase A was 5mM ammonium acetate, adjusted to pH 9.9 with ammonium hydroxide; mobile phase B was 60:40 acetonitrile</w:t>
      </w:r>
      <w:proofErr w:type="gramStart"/>
      <w:r w:rsidRPr="003A3AC8">
        <w:rPr>
          <w:rFonts w:ascii="Times New Roman" w:hAnsi="Times New Roman" w:cs="Times New Roman"/>
          <w:bCs/>
        </w:rPr>
        <w:t>:isopropanol</w:t>
      </w:r>
      <w:proofErr w:type="gramEnd"/>
      <w:r w:rsidRPr="003A3AC8">
        <w:rPr>
          <w:rFonts w:ascii="Times New Roman" w:hAnsi="Times New Roman" w:cs="Times New Roman"/>
          <w:bCs/>
        </w:rPr>
        <w:t>.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FD8338" w14:textId="2BF581E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HiSeq </w:t>
      </w:r>
      <w:r w:rsidR="00A87C6A" w:rsidRPr="003A3AC8">
        <w:rPr>
          <w:rFonts w:ascii="Times New Roman" w:eastAsia="Times New Roman" w:hAnsi="Times New Roman" w:cs="Times New Roman"/>
          <w:color w:val="191919"/>
        </w:rPr>
        <w:lastRenderedPageBreak/>
        <w:t>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RNAseq data.</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Benjamini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vs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77777777"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 xml:space="preserve">=0.01)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metabolism, including fatty acid metabolism, biosynthesis of unsaturated fatty acids, valine leucine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propanoate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969F9C0"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 dependent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400AF073"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suppresors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C8292E" w:rsidRPr="003A3AC8">
        <w:rPr>
          <w:rFonts w:ascii="Times New Roman" w:hAnsi="Times New Roman" w:cs="Times New Roman"/>
        </w:rPr>
        <w:t>Broadly the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an adrenomedullin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cAMP-dependent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r w:rsidRPr="003A3AC8">
        <w:rPr>
          <w:rFonts w:ascii="Times New Roman" w:hAnsi="Times New Roman" w:cs="Times New Roman"/>
        </w:rPr>
        <w:t>A</w:t>
      </w:r>
      <w:r w:rsidR="00F57F4D" w:rsidRPr="003A3AC8">
        <w:rPr>
          <w:rFonts w:ascii="Times New Roman" w:hAnsi="Times New Roman" w:cs="Times New Roman"/>
        </w:rPr>
        <w:t>ngiopoietin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Acetyl Co-A carboxylse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A4A0FC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in expression of the three fatty acid desaturases - </w:t>
      </w:r>
      <w:r w:rsidRPr="003A3AC8">
        <w:rPr>
          <w:rFonts w:ascii="Times New Roman" w:hAnsi="Times New Roman" w:cs="Times New Roman"/>
        </w:rPr>
        <w:lastRenderedPageBreak/>
        <w:t>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do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55800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ation of the 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5A2BBE" w:rsidRPr="003A3AC8">
        <w:rPr>
          <w:rFonts w:ascii="Times New Roman" w:hAnsi="Times New Roman" w:cs="Times New Roman"/>
        </w:rPr>
        <w:t xml:space="preserve">also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 but this</w:t>
      </w:r>
      <w:r w:rsidR="00741E18" w:rsidRPr="003A3AC8">
        <w:rPr>
          <w:rFonts w:ascii="Times New Roman" w:hAnsi="Times New Roman" w:cs="Times New Roman"/>
        </w:rPr>
        <w:t xml:space="preserve"> indicat</w:t>
      </w:r>
      <w:r w:rsidR="008573D9" w:rsidRPr="003A3AC8">
        <w:rPr>
          <w:rFonts w:ascii="Times New Roman" w:hAnsi="Times New Roman" w:cs="Times New Roman"/>
        </w:rPr>
        <w:t>es</w:t>
      </w:r>
      <w:r w:rsidR="00741E18" w:rsidRPr="003A3AC8">
        <w:rPr>
          <w:rFonts w:ascii="Times New Roman" w:hAnsi="Times New Roman" w:cs="Times New Roman"/>
        </w:rPr>
        <w:t xml:space="preserve"> that ceramide elevations are not likely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F160C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0C1783" w:rsidRPr="003A3AC8">
        <w:rPr>
          <w:rFonts w:ascii="Times New Roman" w:hAnsi="Times New Roman" w:cs="Times New Roman"/>
          <w:lang w:val="en-GB"/>
        </w:rPr>
        <w:t xml:space="preserve">activates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proofErr w:type="gramStart"/>
      <w:r w:rsidR="008C6C03" w:rsidRPr="003A3AC8">
        <w:rPr>
          <w:rFonts w:ascii="Times New Roman" w:hAnsi="Times New Roman" w:cs="Times New Roman"/>
          <w:i/>
        </w:rPr>
        <w:t>,</w:t>
      </w:r>
      <w:r w:rsidR="00F0368D" w:rsidRPr="003A3AC8">
        <w:rPr>
          <w:rFonts w:ascii="Times New Roman" w:hAnsi="Times New Roman" w:cs="Times New Roman"/>
        </w:rPr>
        <w:t>1.5</w:t>
      </w:r>
      <w:proofErr w:type="gramEnd"/>
      <w:r w:rsidR="00F0368D" w:rsidRPr="003A3AC8">
        <w:rPr>
          <w:rFonts w:ascii="Times New Roman" w:hAnsi="Times New Roman" w:cs="Times New Roman"/>
        </w:rPr>
        <w:t xml:space="preserve">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7777777"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lastRenderedPageBreak/>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Ashburner M, Ball CA, Blake JA, Botstein D, Butler H, Cherry JM, Davis AP, Dolinski K, Dwight SS, Eppig JT, Harris MA, Hill DP, Issel-Tarver L, Kasarskis A, Lewis S, 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4EBA2FBD" w14:textId="77777777" w:rsidR="00C5610E" w:rsidRPr="003A3AC8" w:rsidRDefault="00D377FA" w:rsidP="002F38E1">
      <w:pPr>
        <w:bidi w:val="0"/>
        <w:spacing w:after="0" w:line="480" w:lineRule="auto"/>
        <w:ind w:left="720" w:hanging="720"/>
        <w:jc w:val="both"/>
        <w:rPr>
          <w:rFonts w:ascii="Times New Roman" w:hAnsi="Times New Roman" w:cs="Times New Roman"/>
          <w:b/>
          <w:bCs/>
        </w:rPr>
      </w:pPr>
      <w:r w:rsidRPr="003A3AC8">
        <w:rPr>
          <w:rFonts w:ascii="Times New Roman" w:hAnsi="Times New Roman" w:cs="Times New Roman"/>
          <w:b/>
          <w:bCs/>
        </w:rPr>
        <w:br w:type="page"/>
      </w:r>
      <w:r w:rsidRPr="003A3AC8">
        <w:rPr>
          <w:rFonts w:ascii="Times New Roman" w:hAnsi="Times New Roman" w:cs="Times New Roman"/>
          <w:b/>
          <w:bCs/>
        </w:rPr>
        <w:lastRenderedPageBreak/>
        <w:t>Table Legends:</w:t>
      </w:r>
    </w:p>
    <w:p w14:paraId="57C65347" w14:textId="77777777" w:rsidR="00D377FA" w:rsidRPr="003A3AC8" w:rsidRDefault="00D377FA" w:rsidP="002F38E1">
      <w:pPr>
        <w:bidi w:val="0"/>
        <w:spacing w:after="0" w:line="480" w:lineRule="auto"/>
        <w:ind w:left="720" w:hanging="720"/>
        <w:jc w:val="both"/>
        <w:rPr>
          <w:rFonts w:ascii="Times New Roman" w:hAnsi="Times New Roman" w:cs="Times New Roman"/>
          <w:b/>
          <w:bCs/>
        </w:rPr>
      </w:pPr>
    </w:p>
    <w:p w14:paraId="6E75C107" w14:textId="77777777" w:rsidR="0034380E" w:rsidRPr="003A3AC8" w:rsidRDefault="00D377FA"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p w14:paraId="367B1B83" w14:textId="77777777" w:rsidR="00661E03" w:rsidRPr="003A3AC8" w:rsidRDefault="00661E03" w:rsidP="002F38E1">
      <w:pPr>
        <w:bidi w:val="0"/>
        <w:spacing w:after="0" w:line="480" w:lineRule="auto"/>
        <w:jc w:val="both"/>
        <w:rPr>
          <w:rFonts w:ascii="Times New Roman" w:hAnsi="Times New Roman" w:cs="Times New Roman"/>
          <w:bCs/>
        </w:rPr>
      </w:pP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commentRangeStart w:id="2"/>
      <w:r w:rsidR="0091026A" w:rsidRPr="003A3AC8">
        <w:rPr>
          <w:rFonts w:ascii="Times New Roman" w:hAnsi="Times New Roman" w:cs="Times New Roman"/>
          <w:b/>
          <w:bCs/>
        </w:rPr>
        <w:t xml:space="preserve">trend for </w:t>
      </w:r>
      <w:commentRangeEnd w:id="2"/>
      <w:r w:rsidR="002F38E1" w:rsidRPr="003A3AC8">
        <w:rPr>
          <w:rStyle w:val="CommentReference"/>
          <w:sz w:val="22"/>
          <w:szCs w:val="22"/>
        </w:rPr>
        <w:commentReference w:id="2"/>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Pr="003A3AC8"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kilobase per million reads).</w:t>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Barplots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Barplots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64"/>
      <w:footerReference w:type="even" r:id="rId65"/>
      <w:footerReference w:type="default" r:id="rId6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05-14T09:50:00Z" w:initials="DB">
    <w:p w14:paraId="591D8F08" w14:textId="77777777" w:rsidR="004B30C4" w:rsidRDefault="004B30C4">
      <w:pPr>
        <w:pStyle w:val="CommentText"/>
      </w:pPr>
      <w:r>
        <w:rPr>
          <w:rStyle w:val="CommentReference"/>
        </w:rPr>
        <w:annotationRef/>
      </w:r>
      <w:r>
        <w:rPr>
          <w:rtl/>
        </w:rPr>
        <w:t>update before submissino, does not include abstract figure captions or references</w:t>
      </w:r>
    </w:p>
  </w:comment>
  <w:comment w:id="2" w:author="Dave Bridges" w:date="2014-05-14T09:18:00Z" w:initials="DB">
    <w:p w14:paraId="5E04FE05" w14:textId="77777777" w:rsidR="003A3AC8" w:rsidRDefault="003A3AC8">
      <w:pPr>
        <w:pStyle w:val="CommentText"/>
      </w:pPr>
      <w:r>
        <w:rPr>
          <w:rStyle w:val="CommentReference"/>
        </w:rPr>
        <w:annotationRef/>
      </w:r>
      <w:r>
        <w:rPr>
          <w:rtl/>
        </w:rPr>
        <w:t>Quynh can you word this appropriately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8464" w14:textId="77777777" w:rsidR="003A3AC8" w:rsidRDefault="003A3AC8" w:rsidP="00C44BCA">
      <w:pPr>
        <w:spacing w:after="0" w:line="240" w:lineRule="auto"/>
      </w:pPr>
      <w:r>
        <w:separator/>
      </w:r>
    </w:p>
  </w:endnote>
  <w:endnote w:type="continuationSeparator" w:id="0">
    <w:p w14:paraId="0DCDD5FB" w14:textId="77777777" w:rsidR="003A3AC8" w:rsidRDefault="003A3AC8" w:rsidP="00C44BCA">
      <w:pPr>
        <w:spacing w:after="0" w:line="240" w:lineRule="auto"/>
      </w:pPr>
      <w:r>
        <w:continuationSeparator/>
      </w:r>
    </w:p>
  </w:endnote>
  <w:endnote w:type="continuationNotice" w:id="1">
    <w:p w14:paraId="2B4A3C28" w14:textId="77777777" w:rsidR="003A3AC8" w:rsidRDefault="003A3A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3A3AC8" w:rsidRDefault="003A3AC8" w:rsidP="003A3AC8">
    <w:pPr>
      <w:pStyle w:val="Footer"/>
      <w:framePr w:wrap="around" w:vAnchor="text" w:hAnchor="margin" w:xAlign="center" w:y="1"/>
      <w:rPr>
        <w:ins w:id="3" w:author="Dave Bridges" w:date="2014-05-14T09:46:00Z"/>
        <w:rStyle w:val="PageNumber"/>
      </w:rPr>
    </w:pPr>
    <w:ins w:id="4" w:author="Dave Bridges" w:date="2014-05-14T09:46:00Z">
      <w:r>
        <w:rPr>
          <w:rStyle w:val="PageNumber"/>
          <w:rtl/>
        </w:rPr>
        <w:fldChar w:fldCharType="begin"/>
      </w:r>
      <w:r>
        <w:rPr>
          <w:rStyle w:val="PageNumber"/>
        </w:rPr>
        <w:instrText xml:space="preserve">PAGE  </w:instrText>
      </w:r>
      <w:r>
        <w:rPr>
          <w:rStyle w:val="PageNumber"/>
          <w:rtl/>
        </w:rPr>
        <w:fldChar w:fldCharType="end"/>
      </w:r>
    </w:ins>
  </w:p>
  <w:p w14:paraId="6F5E25B3" w14:textId="77777777" w:rsidR="003A3AC8" w:rsidRDefault="003A3A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3A3AC8" w:rsidRDefault="003A3AC8" w:rsidP="003A3AC8">
    <w:pPr>
      <w:pStyle w:val="Footer"/>
      <w:framePr w:wrap="around" w:vAnchor="text" w:hAnchor="margin" w:xAlign="center" w:y="1"/>
      <w:rPr>
        <w:ins w:id="5" w:author="Dave Bridges" w:date="2014-05-14T09:46:00Z"/>
        <w:rStyle w:val="PageNumber"/>
      </w:rPr>
    </w:pPr>
    <w:ins w:id="6" w:author="Dave Bridges" w:date="2014-05-14T09:46:00Z">
      <w:r>
        <w:rPr>
          <w:rStyle w:val="PageNumber"/>
          <w:rtl/>
        </w:rPr>
        <w:fldChar w:fldCharType="begin"/>
      </w:r>
      <w:r>
        <w:rPr>
          <w:rStyle w:val="PageNumber"/>
        </w:rPr>
        <w:instrText xml:space="preserve">PAGE  </w:instrText>
      </w:r>
    </w:ins>
    <w:r>
      <w:rPr>
        <w:rStyle w:val="PageNumber"/>
        <w:rtl/>
      </w:rPr>
      <w:fldChar w:fldCharType="separate"/>
    </w:r>
    <w:r w:rsidR="00E9078B">
      <w:rPr>
        <w:rStyle w:val="PageNumber"/>
        <w:noProof/>
      </w:rPr>
      <w:t>20</w:t>
    </w:r>
    <w:ins w:id="7" w:author="Dave Bridges" w:date="2014-05-14T09:46:00Z">
      <w:r>
        <w:rPr>
          <w:rStyle w:val="PageNumber"/>
          <w:rtl/>
        </w:rPr>
        <w:fldChar w:fldCharType="end"/>
      </w:r>
    </w:ins>
  </w:p>
  <w:p w14:paraId="023FDEDC" w14:textId="77777777" w:rsidR="003A3AC8" w:rsidRDefault="003A3A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ED95A" w14:textId="77777777" w:rsidR="003A3AC8" w:rsidRDefault="003A3AC8" w:rsidP="00C44BCA">
      <w:pPr>
        <w:spacing w:after="0" w:line="240" w:lineRule="auto"/>
      </w:pPr>
      <w:r>
        <w:separator/>
      </w:r>
    </w:p>
  </w:footnote>
  <w:footnote w:type="continuationSeparator" w:id="0">
    <w:p w14:paraId="0C3BA4C3" w14:textId="77777777" w:rsidR="003A3AC8" w:rsidRDefault="003A3AC8" w:rsidP="00C44BCA">
      <w:pPr>
        <w:spacing w:after="0" w:line="240" w:lineRule="auto"/>
      </w:pPr>
      <w:r>
        <w:continuationSeparator/>
      </w:r>
    </w:p>
  </w:footnote>
  <w:footnote w:type="continuationNotice" w:id="1">
    <w:p w14:paraId="321B0B66" w14:textId="77777777" w:rsidR="003A3AC8" w:rsidRDefault="003A3AC8">
      <w:pPr>
        <w:spacing w:after="0" w:line="240" w:lineRule="auto"/>
      </w:pPr>
    </w:p>
  </w:footnote>
  <w:footnote w:id="2">
    <w:p w14:paraId="6168D655" w14:textId="77777777" w:rsidR="003A3AC8" w:rsidRDefault="003A3AC8"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F365CE" w14:textId="77777777" w:rsidR="003A3AC8" w:rsidRDefault="003A3AC8"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3A3AC8" w:rsidRDefault="003A3AC8"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3A3AC8" w:rsidRDefault="003A3AC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3A3AC8" w:rsidRDefault="003A3AC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3A3AC8" w:rsidRPr="00E25CCF" w:rsidRDefault="003A3AC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3A3AC8" w:rsidRPr="009B4168" w:rsidRDefault="003A3AC8"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3A3AC8" w:rsidRPr="009B4168" w:rsidRDefault="003A3AC8"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54C16" w14:textId="77777777" w:rsidR="003A3AC8" w:rsidRDefault="003A3A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10.xml><?xml version="1.0" encoding="utf-8"?>
<ds:datastoreItem xmlns:ds="http://schemas.openxmlformats.org/officeDocument/2006/customXml" ds:itemID="{D2C7F908-D00A-1145-8D21-72C41D9609BE}">
  <ds:schemaRefs>
    <ds:schemaRef ds:uri="http://schemas.openxmlformats.org/officeDocument/2006/bibliography"/>
  </ds:schemaRefs>
</ds:datastoreItem>
</file>

<file path=customXml/itemProps11.xml><?xml version="1.0" encoding="utf-8"?>
<ds:datastoreItem xmlns:ds="http://schemas.openxmlformats.org/officeDocument/2006/customXml" ds:itemID="{88ECCCC2-4425-9243-9348-9F43D2D60214}">
  <ds:schemaRefs>
    <ds:schemaRef ds:uri="http://schemas.openxmlformats.org/officeDocument/2006/bibliography"/>
  </ds:schemaRefs>
</ds:datastoreItem>
</file>

<file path=customXml/itemProps12.xml><?xml version="1.0" encoding="utf-8"?>
<ds:datastoreItem xmlns:ds="http://schemas.openxmlformats.org/officeDocument/2006/customXml" ds:itemID="{E2BA5463-D475-FC4E-960B-A89A8989DB33}">
  <ds:schemaRefs>
    <ds:schemaRef ds:uri="http://schemas.openxmlformats.org/officeDocument/2006/bibliography"/>
  </ds:schemaRefs>
</ds:datastoreItem>
</file>

<file path=customXml/itemProps13.xml><?xml version="1.0" encoding="utf-8"?>
<ds:datastoreItem xmlns:ds="http://schemas.openxmlformats.org/officeDocument/2006/customXml" ds:itemID="{F6480121-8FFC-6241-8D11-3118D06301E2}">
  <ds:schemaRefs>
    <ds:schemaRef ds:uri="http://schemas.openxmlformats.org/officeDocument/2006/bibliography"/>
  </ds:schemaRefs>
</ds:datastoreItem>
</file>

<file path=customXml/itemProps14.xml><?xml version="1.0" encoding="utf-8"?>
<ds:datastoreItem xmlns:ds="http://schemas.openxmlformats.org/officeDocument/2006/customXml" ds:itemID="{EB2CC5EC-BD42-E841-B5F5-231C85F9B0D3}">
  <ds:schemaRefs>
    <ds:schemaRef ds:uri="http://schemas.openxmlformats.org/officeDocument/2006/bibliography"/>
  </ds:schemaRefs>
</ds:datastoreItem>
</file>

<file path=customXml/itemProps15.xml><?xml version="1.0" encoding="utf-8"?>
<ds:datastoreItem xmlns:ds="http://schemas.openxmlformats.org/officeDocument/2006/customXml" ds:itemID="{412846C5-4455-A341-8C69-7A08C0CDCF4E}">
  <ds:schemaRefs>
    <ds:schemaRef ds:uri="http://schemas.openxmlformats.org/officeDocument/2006/bibliography"/>
  </ds:schemaRefs>
</ds:datastoreItem>
</file>

<file path=customXml/itemProps16.xml><?xml version="1.0" encoding="utf-8"?>
<ds:datastoreItem xmlns:ds="http://schemas.openxmlformats.org/officeDocument/2006/customXml" ds:itemID="{EA163E06-BC81-3149-920A-223B13843D3F}">
  <ds:schemaRefs>
    <ds:schemaRef ds:uri="http://schemas.openxmlformats.org/officeDocument/2006/bibliography"/>
  </ds:schemaRefs>
</ds:datastoreItem>
</file>

<file path=customXml/itemProps17.xml><?xml version="1.0" encoding="utf-8"?>
<ds:datastoreItem xmlns:ds="http://schemas.openxmlformats.org/officeDocument/2006/customXml" ds:itemID="{F2E31B77-6E4A-BD4D-8A8C-1657A0925202}">
  <ds:schemaRefs>
    <ds:schemaRef ds:uri="http://schemas.openxmlformats.org/officeDocument/2006/bibliography"/>
  </ds:schemaRefs>
</ds:datastoreItem>
</file>

<file path=customXml/itemProps18.xml><?xml version="1.0" encoding="utf-8"?>
<ds:datastoreItem xmlns:ds="http://schemas.openxmlformats.org/officeDocument/2006/customXml" ds:itemID="{F0796414-BE14-7F47-9D3A-E66EDC3807DF}">
  <ds:schemaRefs>
    <ds:schemaRef ds:uri="http://schemas.openxmlformats.org/officeDocument/2006/bibliography"/>
  </ds:schemaRefs>
</ds:datastoreItem>
</file>

<file path=customXml/itemProps19.xml><?xml version="1.0" encoding="utf-8"?>
<ds:datastoreItem xmlns:ds="http://schemas.openxmlformats.org/officeDocument/2006/customXml" ds:itemID="{40019E30-4DEC-274D-AF13-48594AB5C3D0}">
  <ds:schemaRefs>
    <ds:schemaRef ds:uri="http://schemas.openxmlformats.org/officeDocument/2006/bibliography"/>
  </ds:schemaRefs>
</ds:datastoreItem>
</file>

<file path=customXml/itemProps2.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20.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21.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22.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23.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24.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25.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26.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27.xml><?xml version="1.0" encoding="utf-8"?>
<ds:datastoreItem xmlns:ds="http://schemas.openxmlformats.org/officeDocument/2006/customXml" ds:itemID="{E9A7641C-225D-0F45-BBFC-0E00367FD07B}">
  <ds:schemaRefs>
    <ds:schemaRef ds:uri="http://schemas.openxmlformats.org/officeDocument/2006/bibliography"/>
  </ds:schemaRefs>
</ds:datastoreItem>
</file>

<file path=customXml/itemProps28.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29.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3.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30.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31.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32.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33.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34.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5.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6.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7.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38.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39.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40.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41.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42.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43.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44.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45.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46.xml><?xml version="1.0" encoding="utf-8"?>
<ds:datastoreItem xmlns:ds="http://schemas.openxmlformats.org/officeDocument/2006/customXml" ds:itemID="{A5034B12-CDC2-4B4C-972C-32B94393D427}">
  <ds:schemaRefs>
    <ds:schemaRef ds:uri="http://schemas.openxmlformats.org/officeDocument/2006/bibliography"/>
  </ds:schemaRefs>
</ds:datastoreItem>
</file>

<file path=customXml/itemProps47.xml><?xml version="1.0" encoding="utf-8"?>
<ds:datastoreItem xmlns:ds="http://schemas.openxmlformats.org/officeDocument/2006/customXml" ds:itemID="{5A18D987-B3C1-BA4C-AB28-B7D3EF405B3B}">
  <ds:schemaRefs>
    <ds:schemaRef ds:uri="http://schemas.openxmlformats.org/officeDocument/2006/bibliography"/>
  </ds:schemaRefs>
</ds:datastoreItem>
</file>

<file path=customXml/itemProps48.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49.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5.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50.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51.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52.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53.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54.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55.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6.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7.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8.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9.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40719</Words>
  <Characters>232100</Characters>
  <Application>Microsoft Macintosh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272275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4</cp:revision>
  <cp:lastPrinted>2014-05-14T14:48:00Z</cp:lastPrinted>
  <dcterms:created xsi:type="dcterms:W3CDTF">2014-05-14T14:22:00Z</dcterms:created>
  <dcterms:modified xsi:type="dcterms:W3CDTF">2014-05-14T14:56:00Z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