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Cs/>
        </w:rPr>
        <w:t>Irit Hochberg</w:t>
      </w:r>
      <w:r w:rsidR="0021603B" w:rsidRPr="003A3AC8">
        <w:rPr>
          <w:rStyle w:val="FootnoteReference"/>
          <w:rFonts w:ascii="Times New Roman" w:hAnsi="Times New Roman" w:cs="Times New Roman"/>
          <w:bCs/>
        </w:rPr>
        <w:footnoteReference w:id="2"/>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Acromegalic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Acromegaly, Lipolysis, Insulin Resistance, Growth Hormone</w:t>
      </w:r>
    </w:p>
    <w:p w14:paraId="07445013" w14:textId="44287BD6"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4B30C4">
        <w:rPr>
          <w:rFonts w:ascii="Times New Roman" w:hAnsi="Times New Roman" w:cs="Times New Roman"/>
          <w:bCs/>
        </w:rPr>
        <w:t>41</w:t>
      </w:r>
      <w:r w:rsidR="00E06311">
        <w:rPr>
          <w:rFonts w:ascii="Times New Roman" w:hAnsi="Times New Roman" w:cs="Times New Roman"/>
          <w:bCs/>
        </w:rPr>
        <w:t>17</w:t>
      </w:r>
      <w:bookmarkStart w:id="0" w:name="_GoBack"/>
      <w:bookmarkEnd w:id="0"/>
    </w:p>
    <w:p w14:paraId="62C0A7C4"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r w:rsidR="002F4F6E" w:rsidRPr="003A3AC8">
        <w:rPr>
          <w:rFonts w:ascii="Times New Roman" w:hAnsi="Times New Roman" w:cs="Times New Roman"/>
          <w:bCs/>
        </w:rPr>
        <w:t>,</w:t>
      </w:r>
      <w:r w:rsidR="00BC03D4" w:rsidRPr="003A3AC8">
        <w:rPr>
          <w:rFonts w:ascii="Times New Roman" w:hAnsi="Times New Roman" w:cs="Times New Roman"/>
          <w:bCs/>
        </w:rPr>
        <w:t xml:space="preserve"> </w:t>
      </w:r>
      <w:r w:rsidR="002F4F6E" w:rsidRPr="003A3AC8">
        <w:rPr>
          <w:rFonts w:ascii="Times New Roman" w:hAnsi="Times New Roman" w:cs="Times New Roman"/>
          <w:bCs/>
        </w:rPr>
        <w:t xml:space="preserve"> </w:t>
      </w:r>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r w:rsidR="00BC03D4" w:rsidRPr="003A3AC8">
        <w:rPr>
          <w:rFonts w:ascii="Times New Roman" w:hAnsi="Times New Roman" w:cs="Times New Roman"/>
          <w:bCs/>
        </w:rPr>
        <w:t xml:space="preserve">Irit Hochberg, 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Design. </w:t>
      </w:r>
      <w:r w:rsidRPr="003A3AC8">
        <w:rPr>
          <w:rFonts w:ascii="Times New Roman" w:hAnsi="Times New Roman" w:cs="Times New Roman"/>
        </w:rPr>
        <w:t xml:space="preserve">Prospective observational study from March 2011 to June 2012.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non functioning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are classically known to be induced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sidR="004531BB" w:rsidRPr="003A3AC8">
        <w:rPr>
          <w:rFonts w:ascii="Times New Roman" w:hAnsi="Times New Roman" w:cs="Times New Roman"/>
          <w:i/>
        </w:rPr>
        <w:t>NRIP1</w:t>
      </w:r>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1BA17FF9"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not many studies addressing the affect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adiopse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F341BB" w:rsidRPr="003A3AC8">
        <w:rPr>
          <w:rFonts w:ascii="Times New Roman" w:hAnsi="Times New Roman" w:cs="Times New Roman"/>
        </w:rPr>
        <w:t xml:space="preserve">Subcutanous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7777777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New techniques of transcriptomics open an opporunity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2BF581E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HiSeq </w:t>
      </w:r>
      <w:r w:rsidR="00A87C6A" w:rsidRPr="003A3AC8">
        <w:rPr>
          <w:rFonts w:ascii="Times New Roman" w:eastAsia="Times New Roman" w:hAnsi="Times New Roman" w:cs="Times New Roman"/>
          <w:color w:val="191919"/>
        </w:rPr>
        <w:lastRenderedPageBreak/>
        <w:t>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Benjamini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log based 2 fold</w:t>
      </w:r>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400AF073"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suppresors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an adrenomedullin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cAMP-dependent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desaturases - </w:t>
      </w:r>
      <w:r w:rsidRPr="003A3AC8">
        <w:rPr>
          <w:rFonts w:ascii="Times New Roman" w:hAnsi="Times New Roman" w:cs="Times New Roman"/>
        </w:rPr>
        <w:lastRenderedPageBreak/>
        <w:t>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 xml:space="preserve">SLC2A4 </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tissue </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In our study it's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xml:space="preserve">).  Glucocorticoid receptor expression is repressed by </w:t>
      </w:r>
      <w:r w:rsidR="00855875" w:rsidRPr="003A3AC8">
        <w:rPr>
          <w:rFonts w:ascii="Times New Roman" w:hAnsi="Times New Roman" w:cs="Times New Roman"/>
        </w:rPr>
        <w:lastRenderedPageBreak/>
        <w:t>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 xml:space="preserve">Ashburner M, Ball CA, Blake JA, Botstein D, Butler H, Cherry JM, Davis AP, Dolinski K, Dwight SS, Eppig JT, Harris MA, Hill DP, Issel-Tarver L, Kasarskis A, Lewis S, </w:t>
      </w:r>
      <w:r w:rsidRPr="00E9078B">
        <w:rPr>
          <w:rFonts w:ascii="Times New Roman" w:hAnsi="Times New Roman"/>
          <w:b/>
          <w:bCs/>
          <w:noProof/>
          <w:sz w:val="22"/>
        </w:rPr>
        <w:lastRenderedPageBreak/>
        <w:t>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4EBA2FBD" w14:textId="77777777" w:rsidR="00C5610E" w:rsidRPr="003A3AC8" w:rsidRDefault="00D377FA" w:rsidP="002F38E1">
      <w:pPr>
        <w:bidi w:val="0"/>
        <w:spacing w:after="0" w:line="480" w:lineRule="auto"/>
        <w:ind w:left="720" w:hanging="720"/>
        <w:jc w:val="both"/>
        <w:rPr>
          <w:rFonts w:ascii="Times New Roman" w:hAnsi="Times New Roman" w:cs="Times New Roman"/>
          <w:b/>
          <w:bCs/>
        </w:rPr>
      </w:pPr>
      <w:r w:rsidRPr="003A3AC8">
        <w:rPr>
          <w:rFonts w:ascii="Times New Roman" w:hAnsi="Times New Roman" w:cs="Times New Roman"/>
          <w:b/>
          <w:bCs/>
        </w:rPr>
        <w:br w:type="page"/>
      </w:r>
      <w:r w:rsidRPr="003A3AC8">
        <w:rPr>
          <w:rFonts w:ascii="Times New Roman" w:hAnsi="Times New Roman" w:cs="Times New Roman"/>
          <w:b/>
          <w:bCs/>
        </w:rPr>
        <w:lastRenderedPageBreak/>
        <w:t>Table Legends:</w:t>
      </w:r>
    </w:p>
    <w:p w14:paraId="57C65347" w14:textId="77777777" w:rsidR="00D377FA" w:rsidRPr="003A3AC8" w:rsidRDefault="00D377FA" w:rsidP="002F38E1">
      <w:pPr>
        <w:bidi w:val="0"/>
        <w:spacing w:after="0" w:line="480" w:lineRule="auto"/>
        <w:ind w:left="720" w:hanging="720"/>
        <w:jc w:val="both"/>
        <w:rPr>
          <w:rFonts w:ascii="Times New Roman" w:hAnsi="Times New Roman" w:cs="Times New Roman"/>
          <w:b/>
          <w:bCs/>
        </w:rPr>
      </w:pPr>
    </w:p>
    <w:p w14:paraId="6E75C107" w14:textId="77777777" w:rsidR="0034380E" w:rsidRPr="003A3AC8" w:rsidRDefault="00D377FA"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p w14:paraId="367B1B83" w14:textId="77777777" w:rsidR="00661E03" w:rsidRPr="003A3AC8" w:rsidRDefault="00661E03" w:rsidP="002F38E1">
      <w:pPr>
        <w:bidi w:val="0"/>
        <w:spacing w:after="0" w:line="480" w:lineRule="auto"/>
        <w:jc w:val="both"/>
        <w:rPr>
          <w:rFonts w:ascii="Times New Roman" w:hAnsi="Times New Roman" w:cs="Times New Roman"/>
          <w:bCs/>
        </w:rPr>
      </w:pP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Pr="003A3AC8"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63"/>
      <w:footerReference w:type="even" r:id="rId64"/>
      <w:footerReference w:type="default" r:id="rId65"/>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D31B19" w:rsidRDefault="00D31B19" w:rsidP="00C44BCA">
      <w:pPr>
        <w:spacing w:after="0" w:line="240" w:lineRule="auto"/>
      </w:pPr>
      <w:r>
        <w:separator/>
      </w:r>
    </w:p>
  </w:endnote>
  <w:endnote w:type="continuationSeparator" w:id="0">
    <w:p w14:paraId="0DCDD5FB" w14:textId="77777777" w:rsidR="00D31B19" w:rsidRDefault="00D31B19" w:rsidP="00C44BCA">
      <w:pPr>
        <w:spacing w:after="0" w:line="240" w:lineRule="auto"/>
      </w:pPr>
      <w:r>
        <w:continuationSeparator/>
      </w:r>
    </w:p>
  </w:endnote>
  <w:endnote w:type="continuationNotice" w:id="1">
    <w:p w14:paraId="2B4A3C28" w14:textId="77777777" w:rsidR="00D31B19" w:rsidRDefault="00D31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ins w:id="1" w:author="Dave Bridges" w:date="2014-05-14T09:46:00Z"/>
        <w:rStyle w:val="PageNumber"/>
      </w:rPr>
    </w:pPr>
    <w:ins w:id="2"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E06311">
      <w:rPr>
        <w:rStyle w:val="PageNumber"/>
        <w:noProof/>
      </w:rPr>
      <w:t>1</w:t>
    </w:r>
    <w:ins w:id="5" w:author="Dave Bridges" w:date="2014-05-14T09:46:00Z">
      <w:r>
        <w:rPr>
          <w:rStyle w:val="PageNumber"/>
          <w:rtl/>
        </w:rPr>
        <w:fldChar w:fldCharType="end"/>
      </w:r>
    </w:ins>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D31B19" w:rsidRDefault="00D31B19" w:rsidP="00C44BCA">
      <w:pPr>
        <w:spacing w:after="0" w:line="240" w:lineRule="auto"/>
      </w:pPr>
      <w:r>
        <w:separator/>
      </w:r>
    </w:p>
  </w:footnote>
  <w:footnote w:type="continuationSeparator" w:id="0">
    <w:p w14:paraId="0C3BA4C3" w14:textId="77777777" w:rsidR="00D31B19" w:rsidRDefault="00D31B19" w:rsidP="00C44BCA">
      <w:pPr>
        <w:spacing w:after="0" w:line="240" w:lineRule="auto"/>
      </w:pPr>
      <w:r>
        <w:continuationSeparator/>
      </w:r>
    </w:p>
  </w:footnote>
  <w:footnote w:type="continuationNotice" w:id="1">
    <w:p w14:paraId="321B0B66" w14:textId="77777777" w:rsidR="00D31B19" w:rsidRDefault="00D31B19">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54C16" w14:textId="77777777" w:rsidR="00D31B19" w:rsidRDefault="00D31B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10.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11.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12.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13.xml><?xml version="1.0" encoding="utf-8"?>
<ds:datastoreItem xmlns:ds="http://schemas.openxmlformats.org/officeDocument/2006/customXml" ds:itemID="{EE00F192-9BA6-3E47-A01E-70B85FC99160}">
  <ds:schemaRefs>
    <ds:schemaRef ds:uri="http://schemas.openxmlformats.org/officeDocument/2006/bibliography"/>
  </ds:schemaRefs>
</ds:datastoreItem>
</file>

<file path=customXml/itemProps14.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15.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16.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17.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8.xml><?xml version="1.0" encoding="utf-8"?>
<ds:datastoreItem xmlns:ds="http://schemas.openxmlformats.org/officeDocument/2006/customXml" ds:itemID="{E9A7641C-225D-0F45-BBFC-0E00367FD07B}">
  <ds:schemaRefs>
    <ds:schemaRef ds:uri="http://schemas.openxmlformats.org/officeDocument/2006/bibliography"/>
  </ds:schemaRefs>
</ds:datastoreItem>
</file>

<file path=customXml/itemProps19.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2.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20.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21.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22.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23.xml><?xml version="1.0" encoding="utf-8"?>
<ds:datastoreItem xmlns:ds="http://schemas.openxmlformats.org/officeDocument/2006/customXml" ds:itemID="{6A455630-00A6-344A-88D2-7B8617C4B794}">
  <ds:schemaRefs>
    <ds:schemaRef ds:uri="http://schemas.openxmlformats.org/officeDocument/2006/bibliography"/>
  </ds:schemaRefs>
</ds:datastoreItem>
</file>

<file path=customXml/itemProps24.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25.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26.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7.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28.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9.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3.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30.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31.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2.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3.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4.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5.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6.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7.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8.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39.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40.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41.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42.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43.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44.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45.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46.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47.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48.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49.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5.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50.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51.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52.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53.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54.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55.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6.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7.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8.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9.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40727</Words>
  <Characters>232144</Characters>
  <Application>Microsoft Macintosh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272327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9</cp:revision>
  <cp:lastPrinted>2014-05-14T14:48:00Z</cp:lastPrinted>
  <dcterms:created xsi:type="dcterms:W3CDTF">2014-05-14T14:22:00Z</dcterms:created>
  <dcterms:modified xsi:type="dcterms:W3CDTF">2014-05-15T13:12:00Z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