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84FD0C4"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3BFF6C" w14:textId="4846BB78" w:rsidR="001B7D21"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001B7D21" w:rsidRPr="003A3AC8">
        <w:rPr>
          <w:rFonts w:ascii="Times New Roman" w:hAnsi="Times New Roman" w:cs="Times New Roman"/>
          <w:b/>
          <w:bCs/>
        </w:rPr>
        <w:t xml:space="preserve"> TITLE:</w:t>
      </w:r>
      <w:r w:rsidR="001B7D21" w:rsidRPr="003A3AC8">
        <w:rPr>
          <w:rFonts w:ascii="Times New Roman" w:hAnsi="Times New Roman" w:cs="Times New Roman"/>
          <w:bCs/>
        </w:rPr>
        <w:t xml:space="preserve">  Analysis of </w:t>
      </w:r>
      <w:proofErr w:type="spellStart"/>
      <w:r w:rsidR="001B7D21" w:rsidRPr="003A3AC8">
        <w:rPr>
          <w:rFonts w:ascii="Times New Roman" w:hAnsi="Times New Roman" w:cs="Times New Roman"/>
          <w:bCs/>
        </w:rPr>
        <w:t>Acromegalic</w:t>
      </w:r>
      <w:proofErr w:type="spellEnd"/>
      <w:r w:rsidR="001B7D21" w:rsidRPr="003A3AC8">
        <w:rPr>
          <w:rFonts w:ascii="Times New Roman" w:hAnsi="Times New Roman" w:cs="Times New Roman"/>
          <w:bCs/>
        </w:rPr>
        <w:t xml:space="preserve"> Adipose Tissue</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6DDA587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349AF506"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05A5B291"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548F791D"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6AADF4BE"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F66711">
        <w:rPr>
          <w:rFonts w:ascii="Times New Roman" w:eastAsia="Times New Roman" w:hAnsi="Times New Roman" w:cs="Times New Roman"/>
          <w:color w:val="191919"/>
        </w:rPr>
        <w:t xml:space="preserve">  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RDefault="00B04051" w:rsidP="00290451">
      <w:pPr>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035A369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w:t>
      </w:r>
      <w:r w:rsidR="00F66711">
        <w:rPr>
          <w:rFonts w:ascii="Times New Roman" w:eastAsia="Times New Roman" w:hAnsi="Times New Roman" w:cs="Times New Roman"/>
          <w:color w:val="191919"/>
        </w:rPr>
        <w:t>s</w:t>
      </w:r>
      <w:r w:rsidR="00B70AB3" w:rsidRPr="003A3AC8">
        <w:rPr>
          <w:rFonts w:ascii="Times New Roman" w:eastAsia="Times New Roman" w:hAnsi="Times New Roman" w:cs="Times New Roman"/>
          <w:color w:val="191919"/>
        </w:rPr>
        <w:t>.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w:t>
      </w:r>
      <w:r w:rsidR="00EC6F99">
        <w:rPr>
          <w:rFonts w:ascii="Times New Roman" w:eastAsia="Times New Roman" w:hAnsi="Times New Roman" w:cs="Times New Roman"/>
          <w:color w:val="191919"/>
        </w:rPr>
        <w:t>-</w:t>
      </w:r>
      <w:r w:rsidR="0019340C" w:rsidRPr="003A3AC8">
        <w:rPr>
          <w:rFonts w:ascii="Times New Roman" w:eastAsia="Times New Roman" w:hAnsi="Times New Roman" w:cs="Times New Roman"/>
          <w:color w:val="191919"/>
        </w:rPr>
        <w:t>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485DB95F"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6C42D6">
        <w:rPr>
          <w:rFonts w:ascii="Times New Roman" w:hAnsi="Times New Roman"/>
          <w:sz w:val="22"/>
          <w:szCs w:val="22"/>
        </w:rPr>
        <w:t>,</w:t>
      </w:r>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556988A"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5B6E2D48"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219A52AD"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1EBCCEA9"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329218F"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37964495"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bookmarkStart w:id="0" w:name="_GoBack"/>
      <w:bookmarkEnd w:id="0"/>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47F3B"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0CDA81EE"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6EC9ABB8"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39D786E"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3992B82E"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38EE4C68"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5F7527F0"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5516BB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68F0C179"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C6F99" w:rsidRDefault="00EC6F99" w:rsidP="00C44BCA">
      <w:pPr>
        <w:spacing w:after="0" w:line="240" w:lineRule="auto"/>
      </w:pPr>
      <w:r>
        <w:separator/>
      </w:r>
    </w:p>
  </w:endnote>
  <w:endnote w:type="continuationSeparator" w:id="0">
    <w:p w14:paraId="5E1DA6EB" w14:textId="77777777" w:rsidR="00EC6F99" w:rsidRDefault="00EC6F99" w:rsidP="00C44BCA">
      <w:pPr>
        <w:spacing w:after="0" w:line="240" w:lineRule="auto"/>
      </w:pPr>
      <w:r>
        <w:continuationSeparator/>
      </w:r>
    </w:p>
  </w:endnote>
  <w:endnote w:type="continuationNotice" w:id="1">
    <w:p w14:paraId="449821BE" w14:textId="77777777" w:rsidR="00EC6F99" w:rsidRDefault="00EC6F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EC6F99" w:rsidRDefault="00EC6F9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EC6F99" w:rsidRDefault="00EC6F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EC6F99" w:rsidRDefault="00EC6F9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6C42D6">
      <w:rPr>
        <w:rStyle w:val="PageNumber"/>
        <w:noProof/>
      </w:rPr>
      <w:t>22</w:t>
    </w:r>
    <w:r>
      <w:rPr>
        <w:rStyle w:val="PageNumber"/>
        <w:rtl/>
      </w:rPr>
      <w:fldChar w:fldCharType="end"/>
    </w:r>
  </w:p>
  <w:p w14:paraId="023FDEDC" w14:textId="77777777" w:rsidR="00EC6F99" w:rsidRDefault="00EC6F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C6F99" w:rsidRDefault="00EC6F99" w:rsidP="00C44BCA">
      <w:pPr>
        <w:spacing w:after="0" w:line="240" w:lineRule="auto"/>
      </w:pPr>
      <w:r>
        <w:separator/>
      </w:r>
    </w:p>
  </w:footnote>
  <w:footnote w:type="continuationSeparator" w:id="0">
    <w:p w14:paraId="3270070C" w14:textId="77777777" w:rsidR="00EC6F99" w:rsidRDefault="00EC6F99" w:rsidP="00C44BCA">
      <w:pPr>
        <w:spacing w:after="0" w:line="240" w:lineRule="auto"/>
      </w:pPr>
      <w:r>
        <w:continuationSeparator/>
      </w:r>
    </w:p>
  </w:footnote>
  <w:footnote w:type="continuationNotice" w:id="1">
    <w:p w14:paraId="231FEF3B" w14:textId="77777777" w:rsidR="00EC6F99" w:rsidRDefault="00EC6F99">
      <w:pPr>
        <w:spacing w:after="0" w:line="240" w:lineRule="auto"/>
      </w:pPr>
    </w:p>
  </w:footnote>
  <w:footnote w:id="2">
    <w:p w14:paraId="6168D655" w14:textId="77777777" w:rsidR="00EC6F99" w:rsidRDefault="00EC6F9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EC6F99" w:rsidRDefault="00EC6F9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EC6F99" w:rsidRDefault="00EC6F9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EC6F99" w:rsidRDefault="00EC6F9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EC6F99" w:rsidRDefault="00EC6F9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EC6F99" w:rsidRPr="00E25CCF" w:rsidRDefault="00EC6F9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EC6F99" w:rsidRPr="009B4168" w:rsidRDefault="00EC6F9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EC6F99" w:rsidRPr="009B4168" w:rsidRDefault="00EC6F9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EC6F99" w:rsidRDefault="00EC6F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FEA"/>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9EA"/>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11E3"/>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914"/>
    <w:rsid w:val="00EE7D5D"/>
    <w:rsid w:val="00EF04CB"/>
    <w:rsid w:val="00EF2A97"/>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66711"/>
    <w:rsid w:val="00F72F72"/>
    <w:rsid w:val="00F74AEC"/>
    <w:rsid w:val="00F74E24"/>
    <w:rsid w:val="00F75578"/>
    <w:rsid w:val="00F91FD8"/>
    <w:rsid w:val="00F93EC6"/>
    <w:rsid w:val="00FA04A4"/>
    <w:rsid w:val="00FA329D"/>
    <w:rsid w:val="00FA58EC"/>
    <w:rsid w:val="00FB0DA5"/>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10.xml><?xml version="1.0" encoding="utf-8"?>
<ds:datastoreItem xmlns:ds="http://schemas.openxmlformats.org/officeDocument/2006/customXml" ds:itemID="{1797CD45-8AE2-9B4B-8DBA-8D0DFD6A019C}">
  <ds:schemaRefs>
    <ds:schemaRef ds:uri="http://schemas.openxmlformats.org/officeDocument/2006/bibliography"/>
  </ds:schemaRefs>
</ds:datastoreItem>
</file>

<file path=customXml/itemProps11.xml><?xml version="1.0" encoding="utf-8"?>
<ds:datastoreItem xmlns:ds="http://schemas.openxmlformats.org/officeDocument/2006/customXml" ds:itemID="{F40A60E6-1B3C-0544-BCFA-C07E2AADF31C}">
  <ds:schemaRefs>
    <ds:schemaRef ds:uri="http://schemas.openxmlformats.org/officeDocument/2006/bibliography"/>
  </ds:schemaRefs>
</ds:datastoreItem>
</file>

<file path=customXml/itemProps12.xml><?xml version="1.0" encoding="utf-8"?>
<ds:datastoreItem xmlns:ds="http://schemas.openxmlformats.org/officeDocument/2006/customXml" ds:itemID="{E38B018E-1206-184B-AB46-4BC33992487E}">
  <ds:schemaRefs>
    <ds:schemaRef ds:uri="http://schemas.openxmlformats.org/officeDocument/2006/bibliography"/>
  </ds:schemaRefs>
</ds:datastoreItem>
</file>

<file path=customXml/itemProps13.xml><?xml version="1.0" encoding="utf-8"?>
<ds:datastoreItem xmlns:ds="http://schemas.openxmlformats.org/officeDocument/2006/customXml" ds:itemID="{8A100A49-1A63-4F46-95C9-8BCDE6503693}">
  <ds:schemaRefs>
    <ds:schemaRef ds:uri="http://schemas.openxmlformats.org/officeDocument/2006/bibliography"/>
  </ds:schemaRefs>
</ds:datastoreItem>
</file>

<file path=customXml/itemProps14.xml><?xml version="1.0" encoding="utf-8"?>
<ds:datastoreItem xmlns:ds="http://schemas.openxmlformats.org/officeDocument/2006/customXml" ds:itemID="{50CFFE28-D6CF-5242-B2CF-75D8AC5FF258}">
  <ds:schemaRefs>
    <ds:schemaRef ds:uri="http://schemas.openxmlformats.org/officeDocument/2006/bibliography"/>
  </ds:schemaRefs>
</ds:datastoreItem>
</file>

<file path=customXml/itemProps15.xml><?xml version="1.0" encoding="utf-8"?>
<ds:datastoreItem xmlns:ds="http://schemas.openxmlformats.org/officeDocument/2006/customXml" ds:itemID="{D8A7A769-7994-7843-BFF9-955433A02415}">
  <ds:schemaRefs>
    <ds:schemaRef ds:uri="http://schemas.openxmlformats.org/officeDocument/2006/bibliography"/>
  </ds:schemaRefs>
</ds:datastoreItem>
</file>

<file path=customXml/itemProps16.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17.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18.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19.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2.xml><?xml version="1.0" encoding="utf-8"?>
<ds:datastoreItem xmlns:ds="http://schemas.openxmlformats.org/officeDocument/2006/customXml" ds:itemID="{1DF465E0-39E5-FF4C-BECB-1D2915533E59}">
  <ds:schemaRefs>
    <ds:schemaRef ds:uri="http://schemas.openxmlformats.org/officeDocument/2006/bibliography"/>
  </ds:schemaRefs>
</ds:datastoreItem>
</file>

<file path=customXml/itemProps20.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21.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22.xml><?xml version="1.0" encoding="utf-8"?>
<ds:datastoreItem xmlns:ds="http://schemas.openxmlformats.org/officeDocument/2006/customXml" ds:itemID="{B931D791-A19B-4049-80C7-37FA12633648}">
  <ds:schemaRefs>
    <ds:schemaRef ds:uri="http://schemas.openxmlformats.org/officeDocument/2006/bibliography"/>
  </ds:schemaRefs>
</ds:datastoreItem>
</file>

<file path=customXml/itemProps23.xml><?xml version="1.0" encoding="utf-8"?>
<ds:datastoreItem xmlns:ds="http://schemas.openxmlformats.org/officeDocument/2006/customXml" ds:itemID="{C36F9FAD-D8E0-9D4A-A91F-D6935BF912BA}">
  <ds:schemaRefs>
    <ds:schemaRef ds:uri="http://schemas.openxmlformats.org/officeDocument/2006/bibliography"/>
  </ds:schemaRefs>
</ds:datastoreItem>
</file>

<file path=customXml/itemProps24.xml><?xml version="1.0" encoding="utf-8"?>
<ds:datastoreItem xmlns:ds="http://schemas.openxmlformats.org/officeDocument/2006/customXml" ds:itemID="{AB91DB2E-8E61-4F49-B5E5-3755576A5BCD}">
  <ds:schemaRefs>
    <ds:schemaRef ds:uri="http://schemas.openxmlformats.org/officeDocument/2006/bibliography"/>
  </ds:schemaRefs>
</ds:datastoreItem>
</file>

<file path=customXml/itemProps25.xml><?xml version="1.0" encoding="utf-8"?>
<ds:datastoreItem xmlns:ds="http://schemas.openxmlformats.org/officeDocument/2006/customXml" ds:itemID="{C790C9D7-FAEA-7949-8633-698C09AACBAB}">
  <ds:schemaRefs>
    <ds:schemaRef ds:uri="http://schemas.openxmlformats.org/officeDocument/2006/bibliography"/>
  </ds:schemaRefs>
</ds:datastoreItem>
</file>

<file path=customXml/itemProps26.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27.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28.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29.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3.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0.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31.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32.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33.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34.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35.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6.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7.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8.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9.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4.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40.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41.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42.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43.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44.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5.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46.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47.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48.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9.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5.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50.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51.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52.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53.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54.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55.xml><?xml version="1.0" encoding="utf-8"?>
<ds:datastoreItem xmlns:ds="http://schemas.openxmlformats.org/officeDocument/2006/customXml" ds:itemID="{A8C27312-5FD0-E746-BBC2-C50F03077BD5}">
  <ds:schemaRefs>
    <ds:schemaRef ds:uri="http://schemas.openxmlformats.org/officeDocument/2006/bibliography"/>
  </ds:schemaRefs>
</ds:datastoreItem>
</file>

<file path=customXml/itemProps56.xml><?xml version="1.0" encoding="utf-8"?>
<ds:datastoreItem xmlns:ds="http://schemas.openxmlformats.org/officeDocument/2006/customXml" ds:itemID="{36C21F49-3A30-8B49-A2F1-70236BD51145}">
  <ds:schemaRefs>
    <ds:schemaRef ds:uri="http://schemas.openxmlformats.org/officeDocument/2006/bibliography"/>
  </ds:schemaRefs>
</ds:datastoreItem>
</file>

<file path=customXml/itemProps57.xml><?xml version="1.0" encoding="utf-8"?>
<ds:datastoreItem xmlns:ds="http://schemas.openxmlformats.org/officeDocument/2006/customXml" ds:itemID="{2733D736-9636-2D43-80C5-1721BD472298}">
  <ds:schemaRefs>
    <ds:schemaRef ds:uri="http://schemas.openxmlformats.org/officeDocument/2006/bibliography"/>
  </ds:schemaRefs>
</ds:datastoreItem>
</file>

<file path=customXml/itemProps58.xml><?xml version="1.0" encoding="utf-8"?>
<ds:datastoreItem xmlns:ds="http://schemas.openxmlformats.org/officeDocument/2006/customXml" ds:itemID="{6DCABF49-9398-E44A-8C14-E61F34133FE4}">
  <ds:schemaRefs>
    <ds:schemaRef ds:uri="http://schemas.openxmlformats.org/officeDocument/2006/bibliography"/>
  </ds:schemaRefs>
</ds:datastoreItem>
</file>

<file path=customXml/itemProps59.xml><?xml version="1.0" encoding="utf-8"?>
<ds:datastoreItem xmlns:ds="http://schemas.openxmlformats.org/officeDocument/2006/customXml" ds:itemID="{C2087D94-C8D0-064D-B773-986DA8A0B36E}">
  <ds:schemaRefs>
    <ds:schemaRef ds:uri="http://schemas.openxmlformats.org/officeDocument/2006/bibliography"/>
  </ds:schemaRefs>
</ds:datastoreItem>
</file>

<file path=customXml/itemProps6.xml><?xml version="1.0" encoding="utf-8"?>
<ds:datastoreItem xmlns:ds="http://schemas.openxmlformats.org/officeDocument/2006/customXml" ds:itemID="{CB6D4703-53B8-F44D-883C-A84D94FF7B27}">
  <ds:schemaRefs>
    <ds:schemaRef ds:uri="http://schemas.openxmlformats.org/officeDocument/2006/bibliography"/>
  </ds:schemaRefs>
</ds:datastoreItem>
</file>

<file path=customXml/itemProps60.xml><?xml version="1.0" encoding="utf-8"?>
<ds:datastoreItem xmlns:ds="http://schemas.openxmlformats.org/officeDocument/2006/customXml" ds:itemID="{A32A42CC-2EF4-3A4D-A811-6B290C6F2E36}">
  <ds:schemaRefs>
    <ds:schemaRef ds:uri="http://schemas.openxmlformats.org/officeDocument/2006/bibliography"/>
  </ds:schemaRefs>
</ds:datastoreItem>
</file>

<file path=customXml/itemProps61.xml><?xml version="1.0" encoding="utf-8"?>
<ds:datastoreItem xmlns:ds="http://schemas.openxmlformats.org/officeDocument/2006/customXml" ds:itemID="{5960C59B-89B3-7842-9472-3C1810EF1626}">
  <ds:schemaRefs>
    <ds:schemaRef ds:uri="http://schemas.openxmlformats.org/officeDocument/2006/bibliography"/>
  </ds:schemaRefs>
</ds:datastoreItem>
</file>

<file path=customXml/itemProps62.xml><?xml version="1.0" encoding="utf-8"?>
<ds:datastoreItem xmlns:ds="http://schemas.openxmlformats.org/officeDocument/2006/customXml" ds:itemID="{E08050B3-2F4D-7547-8691-C78DA1546835}">
  <ds:schemaRefs>
    <ds:schemaRef ds:uri="http://schemas.openxmlformats.org/officeDocument/2006/bibliography"/>
  </ds:schemaRefs>
</ds:datastoreItem>
</file>

<file path=customXml/itemProps63.xml><?xml version="1.0" encoding="utf-8"?>
<ds:datastoreItem xmlns:ds="http://schemas.openxmlformats.org/officeDocument/2006/customXml" ds:itemID="{C415A198-4D75-E04B-AE44-E0BBB2B4503A}">
  <ds:schemaRefs>
    <ds:schemaRef ds:uri="http://schemas.openxmlformats.org/officeDocument/2006/bibliography"/>
  </ds:schemaRefs>
</ds:datastoreItem>
</file>

<file path=customXml/itemProps64.xml><?xml version="1.0" encoding="utf-8"?>
<ds:datastoreItem xmlns:ds="http://schemas.openxmlformats.org/officeDocument/2006/customXml" ds:itemID="{151F0824-ADBB-1249-AC0B-AE334428A980}">
  <ds:schemaRefs>
    <ds:schemaRef ds:uri="http://schemas.openxmlformats.org/officeDocument/2006/bibliography"/>
  </ds:schemaRefs>
</ds:datastoreItem>
</file>

<file path=customXml/itemProps65.xml><?xml version="1.0" encoding="utf-8"?>
<ds:datastoreItem xmlns:ds="http://schemas.openxmlformats.org/officeDocument/2006/customXml" ds:itemID="{5EACC8AD-42B2-1C4B-97E2-56664E496ABD}">
  <ds:schemaRefs>
    <ds:schemaRef ds:uri="http://schemas.openxmlformats.org/officeDocument/2006/bibliography"/>
  </ds:schemaRefs>
</ds:datastoreItem>
</file>

<file path=customXml/itemProps66.xml><?xml version="1.0" encoding="utf-8"?>
<ds:datastoreItem xmlns:ds="http://schemas.openxmlformats.org/officeDocument/2006/customXml" ds:itemID="{B59FBA54-34AC-EE48-ADFC-7354A7A613EC}">
  <ds:schemaRefs>
    <ds:schemaRef ds:uri="http://schemas.openxmlformats.org/officeDocument/2006/bibliography"/>
  </ds:schemaRefs>
</ds:datastoreItem>
</file>

<file path=customXml/itemProps7.xml><?xml version="1.0" encoding="utf-8"?>
<ds:datastoreItem xmlns:ds="http://schemas.openxmlformats.org/officeDocument/2006/customXml" ds:itemID="{2E5F3B76-09BA-A348-8A73-313AD5DD9CE0}">
  <ds:schemaRefs>
    <ds:schemaRef ds:uri="http://schemas.openxmlformats.org/officeDocument/2006/bibliography"/>
  </ds:schemaRefs>
</ds:datastoreItem>
</file>

<file path=customXml/itemProps8.xml><?xml version="1.0" encoding="utf-8"?>
<ds:datastoreItem xmlns:ds="http://schemas.openxmlformats.org/officeDocument/2006/customXml" ds:itemID="{805D32E2-CFA0-6B4A-B929-6F9F17B974C9}">
  <ds:schemaRefs>
    <ds:schemaRef ds:uri="http://schemas.openxmlformats.org/officeDocument/2006/bibliography"/>
  </ds:schemaRefs>
</ds:datastoreItem>
</file>

<file path=customXml/itemProps9.xml><?xml version="1.0" encoding="utf-8"?>
<ds:datastoreItem xmlns:ds="http://schemas.openxmlformats.org/officeDocument/2006/customXml" ds:itemID="{4D729631-8A9D-BF4B-A185-670FF005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25</Pages>
  <Words>40480</Words>
  <Characters>230741</Characters>
  <Application>Microsoft Macintosh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270680</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12</cp:revision>
  <cp:lastPrinted>2014-05-14T14:48:00Z</cp:lastPrinted>
  <dcterms:created xsi:type="dcterms:W3CDTF">2014-05-26T17:47:00Z</dcterms:created>
  <dcterms:modified xsi:type="dcterms:W3CDTF">2014-07-03T11:57:00Z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