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pPr>
        <w:rPr>
          <w:rFonts w:ascii="Times New Roman" w:hAnsi="Times New Roman" w:cs="Times New Roman"/>
        </w:rPr>
      </w:pPr>
    </w:p>
    <w:p w14:paraId="6BBDF261"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xml:space="preserve">: The manuscript PONE-D-14-30128 entitled “Gene Expression Signature in Adipose Tissue of Acromegaly Patients” by Hochberg et al. describes the analysis of the adipose tissue </w:t>
      </w:r>
      <w:proofErr w:type="spellStart"/>
      <w:r w:rsidRPr="00C20609">
        <w:rPr>
          <w:rFonts w:ascii="Times New Roman" w:hAnsi="Times New Roman" w:cs="Times New Roman"/>
          <w:color w:val="333333"/>
        </w:rPr>
        <w:t>transcriptome</w:t>
      </w:r>
      <w:proofErr w:type="spellEnd"/>
      <w:r w:rsidRPr="00C20609">
        <w:rPr>
          <w:rFonts w:ascii="Times New Roman" w:hAnsi="Times New Roman" w:cs="Times New Roman"/>
          <w:color w:val="333333"/>
        </w:rPr>
        <w:t xml:space="preserv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Our opinion is that</w:t>
      </w:r>
      <w:bookmarkStart w:id="0" w:name="_GoBack"/>
      <w:bookmarkEnd w:id="0"/>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20BC0B16" w14:textId="5CDEB09A" w:rsidR="00AE6B6D" w:rsidRPr="008E53AA" w:rsidRDefault="008E53AA" w:rsidP="008E53AA">
      <w:pPr>
        <w:spacing w:after="240" w:line="384" w:lineRule="atLeast"/>
        <w:ind w:left="720"/>
        <w:rPr>
          <w:rFonts w:ascii="Times New Roman" w:hAnsi="Times New Roman" w:cs="Times New Roman"/>
          <w:b/>
          <w:color w:val="FF0000"/>
        </w:rPr>
      </w:pPr>
      <w:r w:rsidRPr="008E53AA">
        <w:rPr>
          <w:rFonts w:ascii="Times New Roman" w:hAnsi="Times New Roman" w:cs="Times New Roman"/>
          <w:b/>
          <w:color w:val="FF0000"/>
        </w:rPr>
        <w:t>One potential caveat to our approach is the use of patients with a non-secreting adenoma as the control group.  It is possible that these adenomas may phenotypically affect the adipose tissue from these patients.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77777777" w:rsidR="003A69C1" w:rsidRDefault="003A69C1" w:rsidP="003A69C1">
      <w:pPr>
        <w:spacing w:after="240" w:line="384" w:lineRule="atLeast"/>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7ACDFE4" w14:textId="4E161694" w:rsidR="003A69C1" w:rsidRPr="003A69C1" w:rsidRDefault="003A69C1" w:rsidP="003A69C1">
      <w:pPr>
        <w:spacing w:after="240" w:line="384" w:lineRule="atLeast"/>
        <w:ind w:left="720"/>
        <w:rPr>
          <w:rFonts w:ascii="Times New Roman" w:hAnsi="Times New Roman" w:cs="Times New Roman"/>
          <w:b/>
          <w:color w:val="FF0000"/>
        </w:rPr>
      </w:pPr>
      <w:r w:rsidRPr="003A69C1">
        <w:rPr>
          <w:rFonts w:ascii="Times New Roman" w:hAnsi="Times New Roman" w:cs="Times New Roman"/>
          <w:b/>
          <w:color w:val="FF0000"/>
        </w:rPr>
        <w:t xml:space="preserve">To account for potential age-dependent changes in the subjects, we also did a supplementary analysis in which separated the patients into two groups, over 40 and under 40.  We then added this age group as a covariate along with the disease state, also allowing for an interaction between the age group and the disease.  </w:t>
      </w:r>
    </w:p>
    <w:p w14:paraId="0C93AE34" w14:textId="311B2161" w:rsidR="00A65D98" w:rsidRPr="003A69C1" w:rsidRDefault="003A69C1"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After this analysis we found that </w:t>
      </w:r>
    </w:p>
    <w:p w14:paraId="606759EE" w14:textId="77777777" w:rsidR="000970F4" w:rsidRPr="000970F4" w:rsidRDefault="000970F4" w:rsidP="00C20609">
      <w:pPr>
        <w:spacing w:after="240" w:line="384" w:lineRule="atLeast"/>
        <w:rPr>
          <w:rFonts w:ascii="Times New Roman" w:hAnsi="Times New Roman" w:cs="Times New Roman"/>
          <w:b/>
          <w:color w:val="333333"/>
        </w:rPr>
      </w:pPr>
    </w:p>
    <w:p w14:paraId="412B08AE" w14:textId="0BB6D744"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56CE76E2" w14:textId="77777777" w:rsidR="000970F4" w:rsidRDefault="000970F4" w:rsidP="00C20609">
      <w:pPr>
        <w:spacing w:after="240" w:line="384" w:lineRule="atLeast"/>
        <w:rPr>
          <w:rFonts w:ascii="Times New Roman" w:hAnsi="Times New Roman" w:cs="Times New Roman"/>
          <w:color w:val="333333"/>
        </w:rPr>
      </w:pPr>
    </w:p>
    <w:p w14:paraId="2AF8DF04" w14:textId="77777777" w:rsidR="00C20609" w:rsidRDefault="00C20609" w:rsidP="00C20609">
      <w:pPr>
        <w:spacing w:after="240" w:line="384" w:lineRule="atLeast"/>
        <w:rPr>
          <w:rFonts w:ascii="Times New Roman" w:hAnsi="Times New Roman" w:cs="Times New Roman"/>
          <w:color w:val="333333"/>
        </w:rPr>
      </w:pPr>
    </w:p>
    <w:p w14:paraId="28907432" w14:textId="77777777" w:rsidR="00C20609" w:rsidRDefault="00C20609" w:rsidP="00C20609">
      <w:pPr>
        <w:spacing w:after="240" w:line="384" w:lineRule="atLeast"/>
        <w:rPr>
          <w:rFonts w:ascii="Times New Roman" w:hAnsi="Times New Roman" w:cs="Times New Roman"/>
          <w:color w:val="333333"/>
        </w:rPr>
      </w:pPr>
    </w:p>
    <w:p w14:paraId="48C6708A" w14:textId="77777777" w:rsidR="00C20609" w:rsidRPr="00C20609" w:rsidRDefault="00C20609" w:rsidP="00C20609">
      <w:pPr>
        <w:spacing w:after="240" w:line="384" w:lineRule="atLeast"/>
        <w:rPr>
          <w:rFonts w:ascii="Times New Roman" w:hAnsi="Times New Roman" w:cs="Times New Roman"/>
          <w:color w:val="333333"/>
        </w:rPr>
      </w:pPr>
    </w:p>
    <w:p w14:paraId="7FD837D2"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w:t>
      </w:r>
      <w:proofErr w:type="spellStart"/>
      <w:r w:rsidRPr="00C20609">
        <w:rPr>
          <w:rFonts w:ascii="Times New Roman" w:hAnsi="Times New Roman" w:cs="Times New Roman"/>
          <w:color w:val="333333"/>
        </w:rPr>
        <w:t>transcriptomic</w:t>
      </w:r>
      <w:proofErr w:type="spellEnd"/>
      <w:r w:rsidRPr="00C20609">
        <w:rPr>
          <w:rFonts w:ascii="Times New Roman" w:hAnsi="Times New Roman" w:cs="Times New Roman"/>
          <w:color w:val="333333"/>
        </w:rPr>
        <w:t xml:space="preserve"> analysis by </w:t>
      </w:r>
      <w:proofErr w:type="spellStart"/>
      <w:r w:rsidRPr="00C20609">
        <w:rPr>
          <w:rFonts w:ascii="Times New Roman" w:hAnsi="Times New Roman" w:cs="Times New Roman"/>
          <w:color w:val="333333"/>
        </w:rPr>
        <w:t>qPCR</w:t>
      </w:r>
      <w:proofErr w:type="spellEnd"/>
      <w:r w:rsidRPr="00C20609">
        <w:rPr>
          <w:rFonts w:ascii="Times New Roman" w:hAnsi="Times New Roman" w:cs="Times New Roman"/>
          <w:color w:val="333333"/>
        </w:rPr>
        <w:t xml:space="preserve"> or western-blot, which drastically lessen the reliability of the results. </w:t>
      </w:r>
    </w:p>
    <w:p w14:paraId="24E25D64" w14:textId="77777777" w:rsidR="00C20609" w:rsidRDefault="00C20609" w:rsidP="00C20609">
      <w:pPr>
        <w:spacing w:after="240" w:line="384" w:lineRule="atLeast"/>
        <w:rPr>
          <w:rFonts w:ascii="Times New Roman" w:hAnsi="Times New Roman" w:cs="Times New Roman"/>
          <w:color w:val="333333"/>
        </w:rPr>
      </w:pPr>
    </w:p>
    <w:p w14:paraId="1B258099" w14:textId="77777777" w:rsidR="00C20609" w:rsidRDefault="00C20609" w:rsidP="00C20609">
      <w:pPr>
        <w:spacing w:after="240" w:line="384" w:lineRule="atLeast"/>
        <w:rPr>
          <w:rFonts w:ascii="Times New Roman" w:hAnsi="Times New Roman" w:cs="Times New Roman"/>
          <w:color w:val="333333"/>
        </w:rPr>
      </w:pPr>
    </w:p>
    <w:p w14:paraId="08C33B1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The missing two patients for whom we had phenotypic data but not </w:t>
      </w:r>
      <w:proofErr w:type="spellStart"/>
      <w:r>
        <w:rPr>
          <w:rFonts w:ascii="Times New Roman" w:hAnsi="Times New Roman" w:cs="Times New Roman"/>
          <w:b/>
          <w:color w:val="333333"/>
        </w:rPr>
        <w:t>RNAseq</w:t>
      </w:r>
      <w:proofErr w:type="spellEnd"/>
      <w:r>
        <w:rPr>
          <w:rFonts w:ascii="Times New Roman" w:hAnsi="Times New Roman" w:cs="Times New Roman"/>
          <w:b/>
          <w:color w:val="333333"/>
        </w:rPr>
        <w:t xml:space="preserve"> data were included in Figure 1 but not other analyses.  This was described in the methods section:</w:t>
      </w:r>
    </w:p>
    <w:p w14:paraId="44BD813F" w14:textId="15BE42B2" w:rsidR="00C20609" w:rsidRPr="00A65D98" w:rsidRDefault="00A65D98" w:rsidP="00A65D98">
      <w:pPr>
        <w:spacing w:after="240" w:line="384" w:lineRule="atLeast"/>
        <w:ind w:left="720"/>
        <w:rPr>
          <w:rFonts w:ascii="Times New Roman" w:hAnsi="Times New Roman" w:cs="Times New Roman"/>
          <w:b/>
          <w:color w:val="FF0000"/>
        </w:rPr>
      </w:pPr>
      <w:r w:rsidRPr="00A65D98">
        <w:rPr>
          <w:rFonts w:ascii="Times New Roman" w:hAnsi="Times New Roman" w:cs="Times New Roman"/>
          <w:b/>
          <w:color w:val="FF0000"/>
        </w:rPr>
        <w:t xml:space="preserve">These subjects corresponded to the patients described in Table 1, with the exception of subjects 29 and 31 (both acromegaly patients), which had clinical data but no </w:t>
      </w:r>
      <w:proofErr w:type="spellStart"/>
      <w:r w:rsidRPr="00A65D98">
        <w:rPr>
          <w:rFonts w:ascii="Times New Roman" w:hAnsi="Times New Roman" w:cs="Times New Roman"/>
          <w:b/>
          <w:color w:val="FF0000"/>
        </w:rPr>
        <w:t>RNAseq</w:t>
      </w:r>
      <w:proofErr w:type="spellEnd"/>
      <w:r w:rsidRPr="00A65D98">
        <w:rPr>
          <w:rFonts w:ascii="Times New Roman" w:hAnsi="Times New Roman" w:cs="Times New Roman"/>
          <w:b/>
          <w:color w:val="FF0000"/>
        </w:rPr>
        <w:t xml:space="preserve"> data.</w:t>
      </w:r>
    </w:p>
    <w:p w14:paraId="35141CB6" w14:textId="77777777" w:rsidR="00C20609" w:rsidRDefault="00C20609" w:rsidP="00C20609">
      <w:pPr>
        <w:spacing w:after="240" w:line="384" w:lineRule="atLeast"/>
        <w:rPr>
          <w:rFonts w:ascii="Times New Roman" w:hAnsi="Times New Roman" w:cs="Times New Roman"/>
          <w:color w:val="333333"/>
        </w:rPr>
      </w:pPr>
    </w:p>
    <w:p w14:paraId="5F9E4F40" w14:textId="77777777" w:rsidR="00C20609" w:rsidRPr="00C20609" w:rsidRDefault="00C20609" w:rsidP="00C20609">
      <w:pPr>
        <w:spacing w:after="240" w:line="384" w:lineRule="atLeast"/>
        <w:rPr>
          <w:rFonts w:ascii="Times New Roman" w:hAnsi="Times New Roman" w:cs="Times New Roman"/>
          <w:color w:val="333333"/>
        </w:rPr>
      </w:pPr>
    </w:p>
    <w:p w14:paraId="575341FC" w14:textId="77777777" w:rsidR="00C20609" w:rsidRPr="00C20609" w:rsidRDefault="00C20609" w:rsidP="00C20609">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 xml:space="preserve">Several of the results presented herein (glucose levels, insulin levels, </w:t>
      </w:r>
      <w:proofErr w:type="spellStart"/>
      <w:r w:rsidRPr="00C20609">
        <w:rPr>
          <w:rFonts w:ascii="Times New Roman" w:eastAsia="Times New Roman" w:hAnsi="Times New Roman" w:cs="Times New Roman"/>
          <w:color w:val="333333"/>
        </w:rPr>
        <w:t>lipolytic</w:t>
      </w:r>
      <w:proofErr w:type="spellEnd"/>
      <w:r w:rsidRPr="00C20609">
        <w:rPr>
          <w:rFonts w:ascii="Times New Roman" w:eastAsia="Times New Roman" w:hAnsi="Times New Roman" w:cs="Times New Roman"/>
          <w:color w:val="333333"/>
        </w:rPr>
        <w:t xml:space="preserve">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5E4E8F3"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69C9B2B4"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9D98A1D"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9947BD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4060948B"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39C3D01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813CCF1" w14:textId="77777777" w:rsidR="00C20609" w:rsidRPr="00C20609" w:rsidRDefault="00C20609">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3A69C1"/>
    <w:rsid w:val="008E53AA"/>
    <w:rsid w:val="00972CBE"/>
    <w:rsid w:val="00A34EF3"/>
    <w:rsid w:val="00A65D98"/>
    <w:rsid w:val="00AE6B6D"/>
    <w:rsid w:val="00C20609"/>
    <w:rsid w:val="00ED4A95"/>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732</Words>
  <Characters>4178</Characters>
  <Application>Microsoft Macintosh Word</Application>
  <DocSecurity>0</DocSecurity>
  <Lines>34</Lines>
  <Paragraphs>9</Paragraphs>
  <ScaleCrop>false</ScaleCrop>
  <Company>UT-HSC</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2014-09-23T13:15:00Z</dcterms:created>
  <dcterms:modified xsi:type="dcterms:W3CDTF">2014-09-23T13:50:00Z</dcterms:modified>
</cp:coreProperties>
</file>