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2FFA7" w14:textId="381764A1" w:rsidR="00972CBE" w:rsidRPr="00CD3E5D" w:rsidRDefault="00C20609" w:rsidP="00F10F3B">
      <w:pPr>
        <w:rPr>
          <w:rFonts w:ascii="Times New Roman" w:hAnsi="Times New Roman" w:cs="Times New Roman"/>
          <w:b/>
        </w:rPr>
      </w:pPr>
      <w:r w:rsidRPr="00CD3E5D">
        <w:rPr>
          <w:rFonts w:ascii="Times New Roman" w:hAnsi="Times New Roman" w:cs="Times New Roman"/>
          <w:b/>
        </w:rPr>
        <w:t xml:space="preserve">We thank the reviewer and editor for </w:t>
      </w:r>
      <w:r w:rsidR="00724917">
        <w:rPr>
          <w:rFonts w:ascii="Times New Roman" w:hAnsi="Times New Roman" w:cs="Times New Roman"/>
          <w:b/>
        </w:rPr>
        <w:t>re-</w:t>
      </w:r>
      <w:r w:rsidRPr="00CD3E5D">
        <w:rPr>
          <w:rFonts w:ascii="Times New Roman" w:hAnsi="Times New Roman" w:cs="Times New Roman"/>
          <w:b/>
        </w:rPr>
        <w:t xml:space="preserve">considering our manuscript.   We have substantially modified the manuscript to reflect these comments and suggestions as described </w:t>
      </w:r>
      <w:r w:rsidR="00724917">
        <w:rPr>
          <w:rFonts w:ascii="Times New Roman" w:hAnsi="Times New Roman" w:cs="Times New Roman"/>
          <w:b/>
        </w:rPr>
        <w:t xml:space="preserve">in detail </w:t>
      </w:r>
      <w:r w:rsidRPr="00CD3E5D">
        <w:rPr>
          <w:rFonts w:ascii="Times New Roman" w:hAnsi="Times New Roman" w:cs="Times New Roman"/>
          <w:b/>
        </w:rPr>
        <w:t>below:</w:t>
      </w:r>
    </w:p>
    <w:p w14:paraId="17567B1E" w14:textId="77777777" w:rsidR="00C20609" w:rsidRPr="00C20609" w:rsidRDefault="00C20609" w:rsidP="00F10F3B">
      <w:pPr>
        <w:rPr>
          <w:rFonts w:ascii="Times New Roman" w:hAnsi="Times New Roman" w:cs="Times New Roman"/>
        </w:rPr>
      </w:pPr>
    </w:p>
    <w:p w14:paraId="6BBDF261" w14:textId="77777777" w:rsidR="00C20609" w:rsidRPr="00C20609" w:rsidRDefault="00C20609" w:rsidP="00F10F3B">
      <w:pPr>
        <w:spacing w:after="240"/>
        <w:rPr>
          <w:rFonts w:ascii="Times New Roman" w:hAnsi="Times New Roman" w:cs="Times New Roman"/>
          <w:color w:val="333333"/>
        </w:rPr>
      </w:pPr>
      <w:r w:rsidRPr="00C20609">
        <w:rPr>
          <w:rFonts w:ascii="Times New Roman" w:hAnsi="Times New Roman" w:cs="Times New Roman"/>
          <w:iCs/>
          <w:color w:val="333333"/>
        </w:rPr>
        <w:t>Reviewer #1</w:t>
      </w:r>
      <w:r w:rsidRPr="00C20609">
        <w:rPr>
          <w:rFonts w:ascii="Times New Roman" w:hAnsi="Times New Roman" w:cs="Times New Roman"/>
          <w:color w:val="333333"/>
        </w:rPr>
        <w:t>: The manuscript PONE-D-14-30128 entitled “Gene Expression Signature in Adipose Tissue of Acromegaly Patients” by Hochberg et al. describes the analysis of the adipose tissue transcriptome form acromegaly patients vs. non-functioning adenoma patients, which revealed drastic changes in previously and newly identified targets related to metabolism, insulin and lipid pathways.</w:t>
      </w:r>
    </w:p>
    <w:p w14:paraId="7108743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The rational of the study seems to be appropriate and well defined; however there are major study and technical limitations that lessen the relevance and impact of the study. It seems that the manuscript do not describe a technically sound piece of scientific research. It is not clear if the experiments have been conducted rigorously, with appropriate controls, replication, and sample sizes.</w:t>
      </w:r>
    </w:p>
    <w:p w14:paraId="59B06398" w14:textId="5B63D911" w:rsidR="00724917" w:rsidRPr="00724917" w:rsidRDefault="00724917" w:rsidP="00F10F3B">
      <w:pPr>
        <w:spacing w:after="240"/>
        <w:rPr>
          <w:rFonts w:ascii="Times New Roman" w:hAnsi="Times New Roman" w:cs="Times New Roman"/>
          <w:b/>
          <w:color w:val="333333"/>
        </w:rPr>
      </w:pPr>
      <w:r>
        <w:rPr>
          <w:rFonts w:ascii="Times New Roman" w:hAnsi="Times New Roman" w:cs="Times New Roman"/>
          <w:b/>
          <w:color w:val="333333"/>
        </w:rPr>
        <w:t>As described below, we have provided justification for our modified analysis, taking age into account</w:t>
      </w:r>
      <w:r w:rsidR="002A3148">
        <w:rPr>
          <w:rFonts w:ascii="Times New Roman" w:hAnsi="Times New Roman" w:cs="Times New Roman"/>
          <w:b/>
          <w:color w:val="333333"/>
        </w:rPr>
        <w:t>, also discussing</w:t>
      </w:r>
      <w:r>
        <w:rPr>
          <w:rFonts w:ascii="Times New Roman" w:hAnsi="Times New Roman" w:cs="Times New Roman"/>
          <w:b/>
          <w:color w:val="333333"/>
        </w:rPr>
        <w:t xml:space="preserve"> our choice of controls and replication measures.</w:t>
      </w:r>
      <w:r w:rsidR="00B41A3A">
        <w:rPr>
          <w:rFonts w:ascii="Times New Roman" w:hAnsi="Times New Roman" w:cs="Times New Roman"/>
          <w:b/>
          <w:color w:val="333333"/>
        </w:rPr>
        <w:t xml:space="preserve">  We feel that </w:t>
      </w:r>
      <w:r w:rsidR="002A3148">
        <w:rPr>
          <w:rFonts w:ascii="Times New Roman" w:hAnsi="Times New Roman" w:cs="Times New Roman"/>
          <w:b/>
          <w:color w:val="333333"/>
        </w:rPr>
        <w:t>these changes improve</w:t>
      </w:r>
      <w:r w:rsidR="00B41A3A">
        <w:rPr>
          <w:rFonts w:ascii="Times New Roman" w:hAnsi="Times New Roman" w:cs="Times New Roman"/>
          <w:b/>
          <w:color w:val="333333"/>
        </w:rPr>
        <w:t xml:space="preserve"> the technical soundness of our wor</w:t>
      </w:r>
      <w:r w:rsidR="002A3148">
        <w:rPr>
          <w:rFonts w:ascii="Times New Roman" w:hAnsi="Times New Roman" w:cs="Times New Roman"/>
          <w:b/>
          <w:color w:val="333333"/>
        </w:rPr>
        <w:t>k.  Ideally larger sample sizes</w:t>
      </w:r>
      <w:r w:rsidR="00B41A3A">
        <w:rPr>
          <w:rFonts w:ascii="Times New Roman" w:hAnsi="Times New Roman" w:cs="Times New Roman"/>
          <w:b/>
          <w:color w:val="333333"/>
        </w:rPr>
        <w:t xml:space="preserve"> from less phenotypically variable subjects would have been obtained, but given the rare nature of this disease and the lack of data with relative lack of information on </w:t>
      </w:r>
      <w:r w:rsidR="006506EB">
        <w:rPr>
          <w:rFonts w:ascii="Times New Roman" w:hAnsi="Times New Roman" w:cs="Times New Roman"/>
          <w:b/>
          <w:color w:val="333333"/>
        </w:rPr>
        <w:t>effects in human patients our findings, even if not ideal provide an important dataset for future acromegaly research.</w:t>
      </w:r>
    </w:p>
    <w:p w14:paraId="6C5E468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 xml:space="preserve">Regarding the study design, it seems that non-functioning pituitary adenoma patients are not the appropriate controls in this study as they are not normal, healthy controls. Indeed, non-functioning pituitary adenoma patients can present several hormone dysfunctions and other comorbidities that could be impacting adipose tissue biology. </w:t>
      </w:r>
    </w:p>
    <w:p w14:paraId="26EF30AC" w14:textId="7627B2F3" w:rsidR="00C20609" w:rsidRDefault="008E53AA" w:rsidP="00F10F3B">
      <w:pPr>
        <w:spacing w:after="240"/>
        <w:rPr>
          <w:rFonts w:ascii="Times New Roman" w:hAnsi="Times New Roman" w:cs="Times New Roman"/>
          <w:b/>
          <w:color w:val="333333"/>
        </w:rPr>
      </w:pPr>
      <w:r>
        <w:rPr>
          <w:rFonts w:ascii="Times New Roman" w:hAnsi="Times New Roman" w:cs="Times New Roman"/>
          <w:b/>
          <w:color w:val="333333"/>
        </w:rPr>
        <w:t>Our opinion is that</w:t>
      </w:r>
      <w:r w:rsidR="00AE6B6D" w:rsidRPr="00AE6B6D">
        <w:rPr>
          <w:rFonts w:ascii="Times New Roman" w:hAnsi="Times New Roman" w:cs="Times New Roman"/>
          <w:b/>
          <w:color w:val="333333"/>
        </w:rPr>
        <w:t xml:space="preserve"> the non-secreting adenoma controls are technically a reasonable control, relative to “normal” controls.  These samples are collected by the same surgeons using the same techniques and were processed identically. Furthermore these patients, even if not well age matched, d</w:t>
      </w:r>
      <w:bookmarkStart w:id="0" w:name="_GoBack"/>
      <w:bookmarkEnd w:id="0"/>
      <w:r w:rsidR="00AE6B6D" w:rsidRPr="00AE6B6D">
        <w:rPr>
          <w:rFonts w:ascii="Times New Roman" w:hAnsi="Times New Roman" w:cs="Times New Roman"/>
          <w:b/>
          <w:color w:val="333333"/>
        </w:rPr>
        <w:t xml:space="preserve">o still have a pituitary tumor so </w:t>
      </w:r>
      <w:r w:rsidR="00AE6B6D">
        <w:rPr>
          <w:rFonts w:ascii="Times New Roman" w:hAnsi="Times New Roman" w:cs="Times New Roman"/>
          <w:b/>
          <w:color w:val="333333"/>
        </w:rPr>
        <w:t xml:space="preserve">we </w:t>
      </w:r>
      <w:r w:rsidR="00AE6B6D" w:rsidRPr="00AE6B6D">
        <w:rPr>
          <w:rFonts w:ascii="Times New Roman" w:hAnsi="Times New Roman" w:cs="Times New Roman"/>
          <w:b/>
          <w:color w:val="333333"/>
        </w:rPr>
        <w:t xml:space="preserve">are controlling for this factor.  </w:t>
      </w:r>
      <w:r w:rsidR="006B3B71">
        <w:rPr>
          <w:rFonts w:ascii="Times New Roman" w:hAnsi="Times New Roman" w:cs="Times New Roman"/>
          <w:b/>
          <w:color w:val="333333"/>
        </w:rPr>
        <w:t>Several other published studies have utilized non-secreting adenomas as a control</w:t>
      </w:r>
      <w:r w:rsidR="006B3B71">
        <w:rPr>
          <w:rFonts w:ascii="Times New Roman" w:hAnsi="Times New Roman" w:cs="Times New Roman"/>
          <w:b/>
          <w:color w:val="333333"/>
        </w:rPr>
        <w:t xml:space="preserve"> in similar </w:t>
      </w:r>
      <w:r w:rsidR="006B3B71" w:rsidRPr="006B3B71">
        <w:rPr>
          <w:rFonts w:ascii="Times New Roman" w:hAnsi="Times New Roman" w:cs="Times New Roman"/>
          <w:b/>
          <w:color w:val="333333"/>
        </w:rPr>
        <w:t xml:space="preserve">studies </w:t>
      </w:r>
      <w:r w:rsidR="006B3B71" w:rsidRPr="006B3B71">
        <w:rPr>
          <w:rFonts w:ascii="Times New Roman" w:hAnsi="Times New Roman" w:cs="Times New Roman"/>
          <w:b/>
          <w:color w:val="333333"/>
        </w:rPr>
        <w:fldChar w:fldCharType="begin" w:fldLock="1"/>
      </w:r>
      <w:r w:rsidR="006B3B71">
        <w:rPr>
          <w:rFonts w:ascii="Times New Roman" w:hAnsi="Times New Roman" w:cs="Times New Roman"/>
          <w:b/>
          <w:color w:val="333333"/>
        </w:rPr>
        <w:instrText>ADDIN CSL_CITATION { "citationItems" : [ { "id" : "ITEM-1", "itemData" : { "DOI" : "10.1530/EJE-10-0583", "ISSN" : "1479-683X", "PMID" : "20696792", "abstract" : "OBJECTIVES: To evaluate whether patients with Cushing's syndrome (CS) had i) changes in coagulative and fibrinolytic parameters associated with CS activity and ii) higher prevalence of venous thromboembolic events (VTE). DESIGN: Prospective study conducted on patients with CS evaluated at diagnosis and 12 months after surgery. PATIENTS AND METHODS: Forty patients with active CS (36 with Cushing's disease (CD) and 4 with an adrenal adenoma) were evaluated. Forty normal subjects and 70 patients with non-ACTH-secreting pituitary adenomas served as controls. All patients and controls underwent an assessment of coagulation and fibrinolysis indexes before and after surgery. RESULTS: CS patients at baseline had a hypercoagulative phenotype when compared with normal subjects (activated partial thromboplastin time (aPTT), fibrinogen, D-Dimer, von Willebrand factor (VWF), plasminogen activator inhibitor 1 (PAI-1 or SERPINE1), antithrombin III (ATIII or SERPINC1), P&lt;0.0001, \u03b1(2) antiplasmin, P=0.0004, thrombin-antithrombin complex (TAT), P=0.01, factor IX (F9), P=0.03). Patients with still active disease after surgery had higher coagulative parameters than those in remission (VWF (P&lt;0.0001), PAI-1 (P=0.004), TAT (P=0.0001), ATIII (P=0.0002) and \u03b1(2) antiplasmin (or SERPINF2; P=0.006)), whereas aPTT levels (P=0.007) were significantly reduced. VTE occurred in three patients with CD (7.5%): one had a pulmonary embolism and two patients had a deep venous thrombosis; no patients submitted to transsphenoidal surgery for non-Cushing's pituitary adenoma had VTE (P=0.04). CONCLUSIONS: Patients with CS have a procoagulative phenotype due to cortisol-associated changes in haemostatic and fibrinolytic markers, leading to increased incidence of VTE. Thromboprophylaxis seems to be appropriated in patients with active disease, particularly in the postoperative period.", "author" : [ { "dropping-particle" : "", "family" : "Manetti", "given" : "Luca", "non-dropping-particle" : "", "parse-names" : false, "suffix" : "" }, { "dropping-particle" : "", "family" : "Bogazzi", "given" : "Fausto", "non-dropping-particle" : "", "parse-names" : false, "suffix" : "" }, { "dropping-particle" : "", "family" : "Giovannetti", "given" : "Clara", "non-dropping-particle" : "", "parse-names" : false, "suffix" : "" }, { "dropping-particle" : "", "family" : "Raffaelli", "given" : "Valentina", "non-dropping-particle" : "", "parse-names" : false, "suffix" : "" }, { "dropping-particle" : "", "family" : "Genovesi", "given" : "Maura", "non-dropping-particle" : "", "parse-names" : false, "suffix" : "" }, { "dropping-particle" : "", "family" : "Pellegrini", "given" : "Giovanni", "non-dropping-particle" : "", "parse-names" : false, "suffix" : "" }, { "dropping-particle" : "", "family" : "Ruocco", "given" : "Lucia", "non-dropping-particle" : "", "parse-names" : false, "suffix" : "" }, { "dropping-particle" : "", "family" : "Iannelli", "given" : "Aldo", "non-dropping-particle" : "", "parse-names" : false, "suffix" : "" }, { "dropping-particle" : "", "family" : "Martino", "given" : "Enio", "non-dropping-particle" : "", "parse-names" : false, "suffix" : "" } ], "container-title" : "European journal of endocrinology / European Federation of Endocrine Societies", "id" : "ITEM-1", "issue" : "5", "issued" : { "date-parts" : [ [ "2010", "11" ] ] }, "page" : "783-91", "title" : "Changes in coagulation indexes and occurrence of venous thromboembolism in patients with Cushing's syndrome: results from a prospective study before and after surgery.", "type" : "article-journal", "volume" : "163" }, "uris" : [ "http://www.mendeley.com/documents/?uuid=8e8f2b59-24d0-45cb-9c5c-eb13ce5ce1aa" ] }, { "id" : "ITEM-2", "itemData" : { "DOI" : "10.1111/j.1365-2362.2012.02721.x", "ISSN" : "1365-2362", "PMID" : "23083406", "abstract" : "BACKGROUND: In untreated acromegaly patients, decreased cognitive functioning is reported to be associated with the degree of growth hormone (GH) and IGF-1 excess. Whether previous GH excess or current medical treatment for acromegaly specifically affects cognition remains unclear. The aim of this study was to compare cognitive functioning of patients who are treated for acromegaly with patients with non-functioning pituitary adenomas (NFA). In addition, we assessed the influence of prolonged medical treatment after initial transsphenoidal surgery on cognition. DESIGN: In this cross-sectional study, 74 patients participated, who were treated for acromegaly (n = 50; median [interquartile range] age: 53 [45-65] years) or NFA (n = 24; age: 63 [59-70] years). The NFA patients were selected for a high likelihood of normal GH secretion based on an IGF-1 z-score within the normal range (&gt; -2) and zero or one axis substituted. Of the acromegaly patients, 28 had achieved remission, while 22 were biochemically controlled with long-acting somatostatin analogues and/or pegvisomant. Memory and executive functioning were assessed by the 15 Words Test and the Ruff Figural Fluency Test, and reported as z-scores. RESULTS: The total patient group scored significantly poorer than the reference population on memory and executive functioning (P &lt; 0\u00b7001). However, cognitive test performance was not significantly different between acromegaly patients with a persistent disease, acromegaly patients in remission and NFA patients. CONCLUSION: The total patient group scored worse compared with reference populations. We found no association between previous GH excess and cognition. In addition, current medical treatment for GH excess in acromegaly was not related to memory and executive functioning.", "author" : [ { "dropping-particle" : "", "family" : "Brummelman", "given" : "Pauline", "non-dropping-particle" : "", "parse-names" : false, "suffix" : "" }, { "dropping-particle" : "", "family" : "Koerts", "given" : "Janneke", "non-dropping-particle" : "", "parse-names" : false, "suffix" : "" }, { "dropping-particle" : "", "family" : "Dullaart", "given" : "Robin P F", "non-dropping-particle" : "", "parse-names" : false, "suffix" : "" }, { "dropping-particle" : "", "family" : "Berg", "given" : "Gerrit", "non-dropping-particle" : "van den", "parse-names" : false, "suffix" : "" }, { "dropping-particle" : "", "family" : "Tucha", "given" : "Oliver", "non-dropping-particle" : "", "parse-names" : false, "suffix" : "" }, { "dropping-particle" : "", "family" : "Wolffenbuttel", "given" : "Bruce H R", "non-dropping-particle" : "", "parse-names" : false, "suffix" : "" }, { "dropping-particle" : "", "family" : "Beek", "given" : "Andr\u00e9 P", "non-dropping-particle" : "van", "parse-names" : false, "suffix" : "" } ], "container-title" : "European journal of clinical investigation", "id" : "ITEM-2", "issue" : "12", "issued" : { "date-parts" : [ [ "2012", "12" ] ] }, "page" : "1317-24", "title" : "Effects of previous growth hormone excess and current medical treatment for acromegaly on cognition.", "type" : "article-journal", "volume" : "42" }, "uris" : [ "http://www.mendeley.com/documents/?uuid=70f87405-f959-472b-8bef-08a836aec53d" ] }, { "id" : "ITEM-3", "itemData" : { "DOI" : "10.1210/jc.2010-1253", "ISSN" : "1945-7197", "PMID" : "20843947", "abstract" : "OBJECTIVE: Active acromegaly is associated with psychopathology, personality changes, and cognitive dysfunction. It is unknown whether, and to what extent, these effects are present after long-term cure of acromegaly. AIM: The aim of the study was to assess psychopathology, personality traits, and cognitive function in patients after long-term cure of acromegaly. DESIGN: This was a cross-sectional study. PATIENTS AND METHODS: We studied 68 patients after long-term cure (13\u00b11 yr) of acromegaly and 68 matched controls. We compared these data with 60 patients treated for nonfunctioning pituitary macroadenomas (NFMAs) and 60 matched controls. Psychopathology was assessed using the Apathy Scale, Irritability Scale, Hospital Anxiety and Depression Scale, and Mood and Anxiety Symptoms Questionnaire short-form, and personality was assessed by the Dimensional Assessment of Personality Pathology short-form (DAPPs). Cognitive function was assessed by 11 tests. RESULTS: Compared with matched controls, patients cured from acromegaly scored significantly worse on virtually all psychopathology questionnaires and on several subscales of the DAPPs. Compared with NFMA patients, patients cured from acromegaly scored worse on negative affect (P=0.050) and somatic arousal (P=0.009) and seven of 18 subscales of the DAPPs (P&lt;0.05). Cognitive function in patients cured from acromegaly did not differ from matched controls or patients treated for NFMA. CONCLUSION: Patients with long-term cure of acromegaly show a higher prevalence of psychopathology and maladaptive personality traits but not cognitive dysfunction, compared with matched controls and patients treated for NFMA. These results suggest irreversible effects of previous GH excess, rather than effects of pituitary adenomas per se and/or their treatment, on the central nervous system.", "author" : [ { "dropping-particle" : "", "family" : "Tiemensma", "given" : "Jitske", "non-dropping-particle" : "", "parse-names" : false, "suffix" : "" }, { "dropping-particle" : "", "family" : "Biermasz", "given" : "Nienke R", "non-dropping-particle" : "", "parse-names" : false, "suffix" : "" }, { "dropping-particle" : "", "family" : "Mast", "given" : "Roos C", "non-dropping-particle" : "van der", "parse-names" : false, "suffix" : "" }, { "dropping-particle" : "", "family" : "Wassenaar", "given" : "Moniek J E", "non-dropping-particle" : "", "parse-names" : false, "suffix" : "" }, { "dropping-particle" : "", "family" : "Middelkoop", "given" : "Huub A M", "non-dropping-particle" : "", "parse-names" : false, "suffix" : "" }, { "dropping-particle" : "", "family" : "Pereira", "given" : "Alberto M", "non-dropping-particle" : "", "parse-names" : false, "suffix" : "" }, { "dropping-particle" : "", "family" : "Romijn", "given" : "Johannes A", "non-dropping-particle" : "", "parse-names" : false, "suffix" : "" } ], "container-title" : "The Journal of clinical endocrinology and metabolism", "id" : "ITEM-3", "issue" : "12", "issued" : { "date-parts" : [ [ "2010", "12" ] ] }, "page" : "E392-402", "title" : "Increased psychopathology and maladaptive personality traits, but normal cognitive functioning, in patients after long-term cure of acromegaly.", "type" : "article-journal", "volume" : "95" }, "uris" : [ "http://www.mendeley.com/documents/?uuid=005682c8-09ef-4dd0-8f17-13738c2e5c25" ] }, { "id" : "ITEM-4", "itemData" : { "DOI" : "10.1007/s12020-013-0106-9", "ISSN" : "1559-0100", "PMID" : "24282035", "abstract" : "Pituitary adenomas (PAs) represent 15 % of all brain tumors. One-sixth of these are reported to cause acromegaly via excess growth hormone secretion. These tumors have been associated with multiple comorbidities, including neuropsychiatric and cognitive dysfunction. We aimed to assess patient perception of cognitive deficits and the relationship of cognitive changes to active acromegaly (AA) versus controlled acromegaly (CA) versus non-functional PAs (NFPA). A modified FACT-Cog survey was used, which focused on the prevalence and severity of perceived dysfunction in five areas of cognitive function: ability to learn, concentration/distractibility, mental agility, memory and recall, and verbal recall. Patient perception of current health and health change over the previous 12 months was also assessed. The overall perceived prevalence and severity of cognitive dysfunction were the highest among NFPA groups, particularly in the areas of mental agility, verbal recall, and memory/recall. Patients with AA reported greater prevalence and severity of dysfunction with respect to concentration/distractibility and ability to learn. Patients with AA reported the best overall current health, though patients with CA reported the greatest improvement in health over the previous year. These findings may indicate that PAs can affect cognitive function regardless of whether excess growth hormone is present. Acromegaly and NFPA patients perceive specific areas of cognitive dysfunction that may require further evaluation and treatment. Further research may be useful regarding patient quality of life, patient functionality during normal daily activities, and perceived dysfunction despite biological disease control.", "author" : [ { "dropping-particle" : "", "family" : "Yedinak", "given" : "Chris G", "non-dropping-particle" : "", "parse-names" : false, "suffix" : "" }, { "dropping-particle" : "", "family" : "Fleseriu", "given" : "Maria", "non-dropping-particle" : "", "parse-names" : false, "suffix" : "" } ], "container-title" : "Endocrine", "id" : "ITEM-4", "issue" : "3", "issued" : { "date-parts" : [ [ "2014", "8" ] ] }, "page" : "585-93", "title" : "Self-perception of cognitive function among patients with active acromegaly, controlled acromegaly, and non-functional pituitary adenoma: a pilot study.", "type" : "article-journal", "volume" : "46" }, "uris" : [ "http://www.mendeley.com/documents/?uuid=ccd9f726-68f6-456f-84ef-7b5ab8385909" ] } ], "mendeley" : { "previouslyFormattedCitation" : "[1\u20134]" }, "properties" : { "noteIndex" : 0 }, "schema" : "https://github.com/citation-style-language/schema/raw/master/csl-citation.json" }</w:instrText>
      </w:r>
      <w:r w:rsidR="006B3B71" w:rsidRPr="006B3B71">
        <w:rPr>
          <w:rFonts w:ascii="Times New Roman" w:hAnsi="Times New Roman" w:cs="Times New Roman"/>
          <w:b/>
          <w:color w:val="333333"/>
        </w:rPr>
        <w:fldChar w:fldCharType="separate"/>
      </w:r>
      <w:r w:rsidR="006B3B71" w:rsidRPr="006B3B71">
        <w:rPr>
          <w:rFonts w:ascii="Times New Roman" w:hAnsi="Times New Roman" w:cs="Times New Roman"/>
          <w:noProof/>
          <w:color w:val="333333"/>
        </w:rPr>
        <w:t>[1–4]</w:t>
      </w:r>
      <w:r w:rsidR="006B3B71" w:rsidRPr="006B3B71">
        <w:rPr>
          <w:rFonts w:ascii="Times New Roman" w:hAnsi="Times New Roman" w:cs="Times New Roman"/>
          <w:b/>
          <w:color w:val="333333"/>
        </w:rPr>
        <w:fldChar w:fldCharType="end"/>
      </w:r>
      <w:r w:rsidR="006B3B71" w:rsidRPr="006B3B71">
        <w:rPr>
          <w:rFonts w:ascii="Times New Roman" w:hAnsi="Times New Roman" w:cs="Times New Roman"/>
          <w:b/>
          <w:color w:val="333333"/>
        </w:rPr>
        <w:t>.</w:t>
      </w:r>
      <w:r w:rsidR="006B3B71">
        <w:rPr>
          <w:rFonts w:ascii="Times New Roman" w:hAnsi="Times New Roman" w:cs="Times New Roman"/>
          <w:b/>
          <w:color w:val="333333"/>
        </w:rPr>
        <w:t xml:space="preserve">  </w:t>
      </w:r>
      <w:r w:rsidR="00AE6B6D" w:rsidRPr="00AE6B6D">
        <w:rPr>
          <w:rFonts w:ascii="Times New Roman" w:hAnsi="Times New Roman" w:cs="Times New Roman"/>
          <w:b/>
          <w:color w:val="333333"/>
        </w:rPr>
        <w:t xml:space="preserve">To the concern that the non-functioning adenoma is phenotypically altering the physiology of these patients we propose to both mention this as a potential issue </w:t>
      </w:r>
      <w:r w:rsidR="00AE6B6D">
        <w:rPr>
          <w:rFonts w:ascii="Times New Roman" w:hAnsi="Times New Roman" w:cs="Times New Roman"/>
          <w:b/>
          <w:color w:val="333333"/>
        </w:rPr>
        <w:t>we have mentioned this as a caveat in the discussion with the following text:</w:t>
      </w:r>
    </w:p>
    <w:p w14:paraId="13EFFB17" w14:textId="77777777" w:rsidR="002B0A3B" w:rsidRPr="002B0A3B" w:rsidRDefault="002B0A3B" w:rsidP="002B0A3B">
      <w:pPr>
        <w:spacing w:after="240"/>
        <w:ind w:left="720"/>
        <w:rPr>
          <w:rFonts w:ascii="Times New Roman" w:hAnsi="Times New Roman" w:cs="Times New Roman"/>
          <w:b/>
          <w:color w:val="FF0000"/>
        </w:rPr>
      </w:pPr>
      <w:commentRangeStart w:id="1"/>
      <w:r w:rsidRPr="002B0A3B">
        <w:rPr>
          <w:rFonts w:ascii="Times New Roman" w:hAnsi="Times New Roman" w:cs="Times New Roman"/>
          <w:b/>
          <w:color w:val="FF0000"/>
        </w:rPr>
        <w:t>One potential caveat to our approach is the use of patients with a non-secreting adenoma as the control group.  To avoid the possible effects of hypopituitarism on adipose tissue we excluded patients with pituitary hormone deficiencies. We chose to include this as the control group as these samples not only collected in an identical manner from the same surgeons and processed identically, but also controls for potential non-secreting effects of pituitary tumor growths in the acromegaly subjects.</w:t>
      </w:r>
      <w:commentRangeEnd w:id="1"/>
      <w:r w:rsidR="00F90CFD">
        <w:rPr>
          <w:rStyle w:val="CommentReference"/>
        </w:rPr>
        <w:commentReference w:id="1"/>
      </w:r>
    </w:p>
    <w:p w14:paraId="4F9DEA7F" w14:textId="056FE1FD" w:rsidR="000970F4"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lastRenderedPageBreak/>
        <w:t>In addition, the patients and controls are not age matched</w:t>
      </w:r>
      <w:proofErr w:type="gramStart"/>
      <w:r w:rsidRPr="00C20609">
        <w:rPr>
          <w:rFonts w:ascii="Times New Roman" w:hAnsi="Times New Roman" w:cs="Times New Roman"/>
          <w:color w:val="333333"/>
        </w:rPr>
        <w:t>;</w:t>
      </w:r>
      <w:proofErr w:type="gramEnd"/>
      <w:r w:rsidRPr="00C20609">
        <w:rPr>
          <w:rFonts w:ascii="Times New Roman" w:hAnsi="Times New Roman" w:cs="Times New Roman"/>
          <w:color w:val="333333"/>
        </w:rPr>
        <w:t xml:space="preserve"> while age has been shown to influence adipose tissue biology. </w:t>
      </w:r>
    </w:p>
    <w:p w14:paraId="70BDC089" w14:textId="53D3C7AF" w:rsidR="003A69C1" w:rsidRDefault="003A69C1" w:rsidP="00F10F3B">
      <w:pPr>
        <w:spacing w:after="240"/>
        <w:rPr>
          <w:rFonts w:ascii="Times New Roman" w:hAnsi="Times New Roman" w:cs="Times New Roman"/>
          <w:b/>
          <w:color w:val="333333"/>
        </w:rPr>
      </w:pPr>
      <w:r>
        <w:rPr>
          <w:rFonts w:ascii="Times New Roman" w:hAnsi="Times New Roman" w:cs="Times New Roman"/>
          <w:b/>
          <w:color w:val="333333"/>
        </w:rPr>
        <w:t>The reviewer brings up an excellent point, as the previous analysis did not match the samples for age.  To directly address this, we performed an additional supplementary analysis of the data wherein we separated the samples into su</w:t>
      </w:r>
      <w:r w:rsidR="00391B07">
        <w:rPr>
          <w:rFonts w:ascii="Times New Roman" w:hAnsi="Times New Roman" w:cs="Times New Roman"/>
          <w:b/>
          <w:color w:val="333333"/>
        </w:rPr>
        <w:t xml:space="preserve">bjects </w:t>
      </w:r>
      <w:proofErr w:type="gramStart"/>
      <w:r w:rsidR="00391B07">
        <w:rPr>
          <w:rFonts w:ascii="Times New Roman" w:hAnsi="Times New Roman" w:cs="Times New Roman"/>
          <w:b/>
          <w:color w:val="333333"/>
        </w:rPr>
        <w:t>whom</w:t>
      </w:r>
      <w:proofErr w:type="gramEnd"/>
      <w:r w:rsidR="00391B07">
        <w:rPr>
          <w:rFonts w:ascii="Times New Roman" w:hAnsi="Times New Roman" w:cs="Times New Roman"/>
          <w:b/>
          <w:color w:val="333333"/>
        </w:rPr>
        <w:t xml:space="preserve"> were over or above 6</w:t>
      </w:r>
      <w:r>
        <w:rPr>
          <w:rFonts w:ascii="Times New Roman" w:hAnsi="Times New Roman" w:cs="Times New Roman"/>
          <w:b/>
          <w:color w:val="333333"/>
        </w:rPr>
        <w:t>0 years of age and repeated the analysis.  This is described in the methods section as such:</w:t>
      </w:r>
    </w:p>
    <w:p w14:paraId="4FF0F0CB" w14:textId="77777777" w:rsidR="006A1D5B" w:rsidRDefault="006A1D5B" w:rsidP="00F10F3B">
      <w:pPr>
        <w:spacing w:after="240"/>
        <w:ind w:left="720"/>
        <w:rPr>
          <w:rFonts w:ascii="Times New Roman" w:hAnsi="Times New Roman" w:cs="Times New Roman"/>
          <w:b/>
          <w:color w:val="FF0000"/>
        </w:rPr>
      </w:pPr>
      <w:r w:rsidRPr="006A1D5B">
        <w:rPr>
          <w:rFonts w:ascii="Times New Roman" w:hAnsi="Times New Roman" w:cs="Times New Roman"/>
          <w:b/>
          <w:color w:val="FF0000"/>
        </w:rPr>
        <w:t xml:space="preserve">To account for potential age-dependent changes in the subjects, we separated the patients into two groups, based on the median value, </w:t>
      </w:r>
      <w:proofErr w:type="gramStart"/>
      <w:r w:rsidRPr="006A1D5B">
        <w:rPr>
          <w:rFonts w:ascii="Times New Roman" w:hAnsi="Times New Roman" w:cs="Times New Roman"/>
          <w:b/>
          <w:color w:val="FF0000"/>
        </w:rPr>
        <w:t>under</w:t>
      </w:r>
      <w:proofErr w:type="gramEnd"/>
      <w:r w:rsidRPr="006A1D5B">
        <w:rPr>
          <w:rFonts w:ascii="Times New Roman" w:hAnsi="Times New Roman" w:cs="Times New Roman"/>
          <w:b/>
          <w:color w:val="FF0000"/>
        </w:rPr>
        <w:t xml:space="preserve"> 60 years of age versus 60 and above. We then added this age group as a covariate along with the disease state</w:t>
      </w:r>
      <w:proofErr w:type="gramStart"/>
      <w:r w:rsidRPr="006A1D5B">
        <w:rPr>
          <w:rFonts w:ascii="Times New Roman" w:hAnsi="Times New Roman" w:cs="Times New Roman"/>
          <w:b/>
          <w:color w:val="FF0000"/>
        </w:rPr>
        <w:t>..</w:t>
      </w:r>
      <w:proofErr w:type="gramEnd"/>
      <w:r w:rsidRPr="006A1D5B">
        <w:rPr>
          <w:rFonts w:ascii="Times New Roman" w:hAnsi="Times New Roman" w:cs="Times New Roman"/>
          <w:b/>
          <w:color w:val="FF0000"/>
        </w:rPr>
        <w:t xml:space="preserve"> We tested for interactions between the age group and the disease state for each gene and did not identify any interaction term after adjusting for multiple observations (q&lt;0.05).  All fold changes provided in this manuscript are age-adjusted fold change values calculated from this regression.</w:t>
      </w:r>
    </w:p>
    <w:p w14:paraId="606759EE" w14:textId="691C4819" w:rsidR="000970F4" w:rsidRDefault="00F45F82" w:rsidP="00F10F3B">
      <w:pPr>
        <w:spacing w:after="240"/>
        <w:rPr>
          <w:rFonts w:ascii="Times New Roman" w:hAnsi="Times New Roman" w:cs="Times New Roman"/>
          <w:b/>
          <w:color w:val="333333"/>
        </w:rPr>
      </w:pPr>
      <w:r>
        <w:rPr>
          <w:rFonts w:ascii="Times New Roman" w:hAnsi="Times New Roman" w:cs="Times New Roman"/>
          <w:b/>
          <w:noProof/>
          <w:color w:val="333333"/>
        </w:rPr>
        <mc:AlternateContent>
          <mc:Choice Requires="wps">
            <w:drawing>
              <wp:anchor distT="0" distB="0" distL="114300" distR="114300" simplePos="0" relativeHeight="251659264" behindDoc="0" locked="0" layoutInCell="1" allowOverlap="1" wp14:anchorId="7673F177" wp14:editId="47C649AA">
                <wp:simplePos x="0" y="0"/>
                <wp:positionH relativeFrom="column">
                  <wp:posOffset>2743200</wp:posOffset>
                </wp:positionH>
                <wp:positionV relativeFrom="paragraph">
                  <wp:posOffset>685800</wp:posOffset>
                </wp:positionV>
                <wp:extent cx="2628900" cy="4572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457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F6C1E4" w14:textId="5EAB4E78" w:rsidR="00391B07" w:rsidRDefault="00391B07">
                            <w:r>
                              <w:rPr>
                                <w:noProof/>
                              </w:rPr>
                              <w:drawing>
                                <wp:inline distT="0" distB="0" distL="0" distR="0" wp14:anchorId="668764C7" wp14:editId="313879F4">
                                  <wp:extent cx="2324100" cy="2908300"/>
                                  <wp:effectExtent l="0" t="0" r="12700" b="12700"/>
                                  <wp:docPr id="2" name="Picture 2" descr="Macintosh HD:Users:davebridges:Documents:Source:CushingAcromegalyStudy:manuscript:Acromegaly-Manuscript:reviews:response-figure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CushingAcromegalyStudy:manuscript:Acromegaly-Manuscript:reviews:response-figures:PC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908300"/>
                                          </a:xfrm>
                                          <a:prstGeom prst="rect">
                                            <a:avLst/>
                                          </a:prstGeom>
                                          <a:noFill/>
                                          <a:ln>
                                            <a:noFill/>
                                          </a:ln>
                                        </pic:spPr>
                                      </pic:pic>
                                    </a:graphicData>
                                  </a:graphic>
                                </wp:inline>
                              </w:drawing>
                            </w:r>
                          </w:p>
                          <w:p w14:paraId="021919CA" w14:textId="21135AB8" w:rsidR="00391B07" w:rsidRPr="00F45F82" w:rsidRDefault="00391B07">
                            <w:r>
                              <w:rPr>
                                <w:b/>
                              </w:rPr>
                              <w:t>Figure 1: Principal component analysis of RNAseq data.</w:t>
                            </w:r>
                            <w:r>
                              <w:t xml:space="preserve">  Principal component analysis of normalized and variance stabilization transformed counts data for all transcripts.  Shows good separation, along the first principal component of older and younger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in;margin-top:54pt;width:207pt;height:5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" filled="f" stroked="f">
                <v:textbox>
                  <w:txbxContent>
                    <w:p w14:paraId="20F6C1E4" w14:textId="5EAB4E78" w:rsidR="00391B07" w:rsidRDefault="00391B07">
                      <w:r>
                        <w:rPr>
                          <w:noProof/>
                        </w:rPr>
                        <w:drawing>
                          <wp:inline distT="0" distB="0" distL="0" distR="0" wp14:anchorId="668764C7" wp14:editId="313879F4">
                            <wp:extent cx="2324100" cy="2908300"/>
                            <wp:effectExtent l="0" t="0" r="12700" b="12700"/>
                            <wp:docPr id="2" name="Picture 2" descr="Macintosh HD:Users:davebridges:Documents:Source:CushingAcromegalyStudy:manuscript:Acromegaly-Manuscript:reviews:response-figure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CushingAcromegalyStudy:manuscript:Acromegaly-Manuscript:reviews:response-figures:PC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908300"/>
                                    </a:xfrm>
                                    <a:prstGeom prst="rect">
                                      <a:avLst/>
                                    </a:prstGeom>
                                    <a:noFill/>
                                    <a:ln>
                                      <a:noFill/>
                                    </a:ln>
                                  </pic:spPr>
                                </pic:pic>
                              </a:graphicData>
                            </a:graphic>
                          </wp:inline>
                        </w:drawing>
                      </w:r>
                    </w:p>
                    <w:p w14:paraId="021919CA" w14:textId="21135AB8" w:rsidR="00391B07" w:rsidRPr="00F45F82" w:rsidRDefault="00391B07">
                      <w:r>
                        <w:rPr>
                          <w:b/>
                        </w:rPr>
                        <w:t>Figure 1: Principal component analysis of RNAseq data.</w:t>
                      </w:r>
                      <w:r>
                        <w:t xml:space="preserve">  Principal component analysis of normalized and variance stabilization transformed counts data for all transcripts.  Shows good separation, along the first principal component of older and younger patients.</w:t>
                      </w:r>
                    </w:p>
                  </w:txbxContent>
                </v:textbox>
                <w10:wrap type="square"/>
              </v:shape>
            </w:pict>
          </mc:Fallback>
        </mc:AlternateContent>
      </w:r>
      <w:r w:rsidR="003A69C1">
        <w:rPr>
          <w:rFonts w:ascii="Times New Roman" w:hAnsi="Times New Roman" w:cs="Times New Roman"/>
          <w:b/>
          <w:color w:val="333333"/>
        </w:rPr>
        <w:t xml:space="preserve">After this analysis we found that </w:t>
      </w:r>
      <w:r w:rsidR="005968E7">
        <w:rPr>
          <w:rFonts w:ascii="Times New Roman" w:hAnsi="Times New Roman" w:cs="Times New Roman"/>
          <w:b/>
          <w:color w:val="333333"/>
        </w:rPr>
        <w:t xml:space="preserve">after controlling for age, we observed </w:t>
      </w:r>
      <w:r w:rsidR="006A1D5B">
        <w:rPr>
          <w:rFonts w:ascii="Times New Roman" w:hAnsi="Times New Roman" w:cs="Times New Roman"/>
          <w:b/>
          <w:color w:val="333333"/>
        </w:rPr>
        <w:t>418</w:t>
      </w:r>
      <w:r w:rsidR="005968E7">
        <w:rPr>
          <w:rFonts w:ascii="Times New Roman" w:hAnsi="Times New Roman" w:cs="Times New Roman"/>
          <w:b/>
          <w:color w:val="333333"/>
        </w:rPr>
        <w:t xml:space="preserve"> genes that were significantly different between acromegaly and control patients. </w:t>
      </w:r>
      <w:r w:rsidR="00475D45">
        <w:rPr>
          <w:rFonts w:ascii="Times New Roman" w:hAnsi="Times New Roman" w:cs="Times New Roman"/>
          <w:b/>
          <w:color w:val="333333"/>
        </w:rPr>
        <w:t>We have provided a new Su</w:t>
      </w:r>
      <w:r w:rsidR="00874D76">
        <w:rPr>
          <w:rFonts w:ascii="Times New Roman" w:hAnsi="Times New Roman" w:cs="Times New Roman"/>
          <w:b/>
          <w:color w:val="333333"/>
        </w:rPr>
        <w:t xml:space="preserve">pplementary Tables </w:t>
      </w:r>
      <w:r w:rsidR="006A1D5B">
        <w:rPr>
          <w:rFonts w:ascii="Times New Roman" w:hAnsi="Times New Roman" w:cs="Times New Roman"/>
          <w:b/>
          <w:color w:val="333333"/>
        </w:rPr>
        <w:t>2-4</w:t>
      </w:r>
      <w:r w:rsidR="00874D76">
        <w:rPr>
          <w:rFonts w:ascii="Times New Roman" w:hAnsi="Times New Roman" w:cs="Times New Roman"/>
          <w:b/>
          <w:color w:val="333333"/>
        </w:rPr>
        <w:t xml:space="preserve"> describing these data, and their associated pathway analyses.</w:t>
      </w:r>
      <w:r w:rsidR="00475D45">
        <w:rPr>
          <w:rFonts w:ascii="Times New Roman" w:hAnsi="Times New Roman" w:cs="Times New Roman"/>
          <w:b/>
          <w:color w:val="333333"/>
        </w:rPr>
        <w:t xml:space="preserve">  </w:t>
      </w:r>
      <w:r w:rsidR="00615741">
        <w:rPr>
          <w:rFonts w:ascii="Times New Roman" w:hAnsi="Times New Roman" w:cs="Times New Roman"/>
          <w:b/>
          <w:color w:val="333333"/>
        </w:rPr>
        <w:t>We also tested whether there were a</w:t>
      </w:r>
      <w:r w:rsidR="00391B07">
        <w:rPr>
          <w:rFonts w:ascii="Times New Roman" w:hAnsi="Times New Roman" w:cs="Times New Roman"/>
          <w:b/>
          <w:color w:val="333333"/>
        </w:rPr>
        <w:t>ge-dep</w:t>
      </w:r>
      <w:r w:rsidR="00615741">
        <w:rPr>
          <w:rFonts w:ascii="Times New Roman" w:hAnsi="Times New Roman" w:cs="Times New Roman"/>
          <w:b/>
          <w:color w:val="333333"/>
        </w:rPr>
        <w:t xml:space="preserve">endent differences in either our control or acromegalic groups and found 1 significantly different gene in the acromegalic group and none within the control group.  </w:t>
      </w:r>
      <w:r w:rsidR="00475D45">
        <w:rPr>
          <w:rFonts w:ascii="Times New Roman" w:hAnsi="Times New Roman" w:cs="Times New Roman"/>
          <w:b/>
          <w:color w:val="333333"/>
        </w:rPr>
        <w:t xml:space="preserve">This is now described in the results section </w:t>
      </w:r>
      <w:r w:rsidR="006A1D5B">
        <w:rPr>
          <w:rFonts w:ascii="Times New Roman" w:hAnsi="Times New Roman" w:cs="Times New Roman"/>
          <w:b/>
          <w:color w:val="333333"/>
        </w:rPr>
        <w:t>with updated p-values adjusting for the age differences.</w:t>
      </w:r>
    </w:p>
    <w:p w14:paraId="34041E30" w14:textId="7429FC65" w:rsidR="000C42E5" w:rsidRPr="000C42E5" w:rsidRDefault="006A311E" w:rsidP="00F10F3B">
      <w:pPr>
        <w:spacing w:after="240"/>
        <w:rPr>
          <w:rFonts w:ascii="Times New Roman" w:hAnsi="Times New Roman" w:cs="Times New Roman"/>
          <w:b/>
        </w:rPr>
      </w:pPr>
      <w:r>
        <w:rPr>
          <w:rFonts w:ascii="Times New Roman" w:hAnsi="Times New Roman" w:cs="Times New Roman"/>
          <w:b/>
        </w:rPr>
        <w:t xml:space="preserve">As the reviewer suspected, </w:t>
      </w:r>
      <w:r w:rsidR="00391B07">
        <w:rPr>
          <w:rFonts w:ascii="Times New Roman" w:hAnsi="Times New Roman" w:cs="Times New Roman"/>
          <w:b/>
        </w:rPr>
        <w:t>some</w:t>
      </w:r>
      <w:r>
        <w:rPr>
          <w:rFonts w:ascii="Times New Roman" w:hAnsi="Times New Roman" w:cs="Times New Roman"/>
          <w:b/>
        </w:rPr>
        <w:t xml:space="preserve"> previously reported genes and pathways were no longer significantly different after this adjustment, and therefore the results section has been re-written, only taking into account</w:t>
      </w:r>
      <w:r w:rsidR="00391B07">
        <w:rPr>
          <w:rFonts w:ascii="Times New Roman" w:hAnsi="Times New Roman" w:cs="Times New Roman"/>
          <w:b/>
        </w:rPr>
        <w:t xml:space="preserve"> only</w:t>
      </w:r>
      <w:r>
        <w:rPr>
          <w:rFonts w:ascii="Times New Roman" w:hAnsi="Times New Roman" w:cs="Times New Roman"/>
          <w:b/>
        </w:rPr>
        <w:t xml:space="preserve"> the age-adjusted fold changes and q-values.   We feel that this change in analysis improved the reliability of our data, since we observed only a small decrease in the total number of statistically significant genes, but the number of statistically significant pathways identified by GSEA analysis</w:t>
      </w:r>
      <w:r w:rsidR="003A0DA8">
        <w:rPr>
          <w:rFonts w:ascii="Times New Roman" w:hAnsi="Times New Roman" w:cs="Times New Roman"/>
          <w:b/>
        </w:rPr>
        <w:t xml:space="preserve"> was dramatically increased.  This suggests </w:t>
      </w:r>
      <w:r w:rsidR="003A0DA8">
        <w:rPr>
          <w:rFonts w:ascii="Times New Roman" w:hAnsi="Times New Roman" w:cs="Times New Roman"/>
          <w:b/>
        </w:rPr>
        <w:lastRenderedPageBreak/>
        <w:t xml:space="preserve">that the </w:t>
      </w:r>
      <w:proofErr w:type="gramStart"/>
      <w:r w:rsidR="003A0DA8">
        <w:rPr>
          <w:rFonts w:ascii="Times New Roman" w:hAnsi="Times New Roman" w:cs="Times New Roman"/>
          <w:b/>
        </w:rPr>
        <w:t>genes which are enriched by the age-adjusted analysis</w:t>
      </w:r>
      <w:proofErr w:type="gramEnd"/>
      <w:r w:rsidR="003A0DA8">
        <w:rPr>
          <w:rFonts w:ascii="Times New Roman" w:hAnsi="Times New Roman" w:cs="Times New Roman"/>
          <w:b/>
        </w:rPr>
        <w:t xml:space="preserve"> cluster in pathway-specific modules, strengthening the biological relevance of our data.</w:t>
      </w:r>
      <w:r w:rsidR="00984A2A">
        <w:rPr>
          <w:rFonts w:ascii="Times New Roman" w:hAnsi="Times New Roman" w:cs="Times New Roman"/>
          <w:b/>
        </w:rPr>
        <w:t xml:space="preserve"> </w:t>
      </w:r>
      <w:r w:rsidR="0012550E">
        <w:rPr>
          <w:rFonts w:ascii="Times New Roman" w:hAnsi="Times New Roman" w:cs="Times New Roman"/>
          <w:b/>
        </w:rPr>
        <w:t xml:space="preserve">  Furthermore, as shown in Figure 1 of this response, adding the age factor into our analysis dramatically improved the clustering of our data, as determined </w:t>
      </w:r>
      <w:r w:rsidR="00F45F82">
        <w:rPr>
          <w:rFonts w:ascii="Times New Roman" w:hAnsi="Times New Roman" w:cs="Times New Roman"/>
          <w:b/>
        </w:rPr>
        <w:t>by principal component analysis, which shows that the first principal component separates older subjects from younger subjects with one exception in each case.</w:t>
      </w:r>
    </w:p>
    <w:p w14:paraId="412B08AE" w14:textId="6A3F3CBF"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Furthermore, it is not clear if the authors had into account the acromegaly onset, which is crucial to determine the time of high GH exposure.</w:t>
      </w:r>
    </w:p>
    <w:p w14:paraId="4ED3E59E" w14:textId="77777777" w:rsidR="00391B07" w:rsidRDefault="00391B07" w:rsidP="00391B07">
      <w:pPr>
        <w:spacing w:after="240"/>
        <w:rPr>
          <w:rFonts w:ascii="Times New Roman" w:hAnsi="Times New Roman" w:cs="Times New Roman"/>
          <w:b/>
        </w:rPr>
      </w:pPr>
      <w:r>
        <w:rPr>
          <w:rFonts w:ascii="Times New Roman" w:hAnsi="Times New Roman" w:cs="Times New Roman"/>
          <w:b/>
        </w:rPr>
        <w:t xml:space="preserve">As acromegaly is a very slow disease, with a delay of diagnosis of about 10 years in average, we cannot know the exact onset of disease. Exposure to excess growth hormone has most likely been for several years prior to the collection of the biopsy.  </w:t>
      </w:r>
    </w:p>
    <w:p w14:paraId="321CCF9E" w14:textId="52477BE9" w:rsidR="00391B07" w:rsidRDefault="00391B07" w:rsidP="00391B07">
      <w:pPr>
        <w:spacing w:after="240"/>
        <w:rPr>
          <w:rFonts w:ascii="Times New Roman" w:hAnsi="Times New Roman" w:cs="Times New Roman"/>
          <w:b/>
        </w:rPr>
      </w:pPr>
      <w:r>
        <w:rPr>
          <w:rFonts w:ascii="Times New Roman" w:hAnsi="Times New Roman" w:cs="Times New Roman"/>
          <w:b/>
        </w:rPr>
        <w:t>Our two older acromegaly patients also had the mildest disease, with lower IGF1 levels, so we cannot discriminate if their milder gene expression change is secondary to lower GH/IGF1 levels or due to their age. This is mentioned in the results as follows:</w:t>
      </w:r>
    </w:p>
    <w:p w14:paraId="725F5885" w14:textId="3B50A644" w:rsidR="00391B07" w:rsidRPr="00391B07" w:rsidRDefault="00391B07" w:rsidP="00391B07">
      <w:pPr>
        <w:tabs>
          <w:tab w:val="right" w:pos="851"/>
        </w:tabs>
        <w:spacing w:after="240"/>
        <w:ind w:left="709"/>
        <w:rPr>
          <w:rFonts w:ascii="Times New Roman" w:hAnsi="Times New Roman" w:cs="Times New Roman"/>
          <w:b/>
          <w:bCs/>
          <w:color w:val="FF0000"/>
        </w:rPr>
      </w:pPr>
      <w:r w:rsidRPr="002572C7">
        <w:rPr>
          <w:rFonts w:ascii="Times New Roman" w:hAnsi="Times New Roman" w:cs="Times New Roman"/>
          <w:b/>
          <w:bCs/>
          <w:color w:val="FF0000"/>
        </w:rPr>
        <w:t>Note that the older subjects had lower serum IGF-1 than the younger subjects, indicating that circulating IGF-1 levels may correlate with generally reduced transcriptional changes observed in the older acromegalic patients (Figure 3C).</w:t>
      </w:r>
    </w:p>
    <w:p w14:paraId="0EE78517" w14:textId="7F3B467D" w:rsidR="00F10F3B" w:rsidRDefault="00693B7F" w:rsidP="00F10F3B">
      <w:pPr>
        <w:spacing w:after="240"/>
        <w:rPr>
          <w:rFonts w:ascii="Times New Roman" w:hAnsi="Times New Roman" w:cs="Times New Roman"/>
          <w:b/>
        </w:rPr>
      </w:pPr>
      <w:r>
        <w:rPr>
          <w:rFonts w:ascii="Times New Roman" w:hAnsi="Times New Roman" w:cs="Times New Roman"/>
          <w:b/>
        </w:rPr>
        <w:t>Consistent with this</w:t>
      </w:r>
      <w:r w:rsidR="00F10F3B">
        <w:rPr>
          <w:rFonts w:ascii="Times New Roman" w:hAnsi="Times New Roman" w:cs="Times New Roman"/>
          <w:b/>
        </w:rPr>
        <w:t xml:space="preserve">, we found that the magnitude of the differences between older and younger acromegalics tended to </w:t>
      </w:r>
      <w:r>
        <w:rPr>
          <w:rFonts w:ascii="Times New Roman" w:hAnsi="Times New Roman" w:cs="Times New Roman"/>
          <w:b/>
        </w:rPr>
        <w:t xml:space="preserve">also </w:t>
      </w:r>
      <w:r w:rsidR="00F10F3B">
        <w:rPr>
          <w:rFonts w:ascii="Times New Roman" w:hAnsi="Times New Roman" w:cs="Times New Roman"/>
          <w:b/>
        </w:rPr>
        <w:t xml:space="preserve">be smaller.  </w:t>
      </w:r>
      <w:r>
        <w:rPr>
          <w:rFonts w:ascii="Times New Roman" w:hAnsi="Times New Roman" w:cs="Times New Roman"/>
          <w:b/>
        </w:rPr>
        <w:t>Again, whether</w:t>
      </w:r>
      <w:r w:rsidR="00F10F3B">
        <w:rPr>
          <w:rFonts w:ascii="Times New Roman" w:hAnsi="Times New Roman" w:cs="Times New Roman"/>
          <w:b/>
        </w:rPr>
        <w:t xml:space="preserve"> this is due to duration of exposure, or age-dependent differences in the disease cannot be determined from these studies.  This is mentioned in the discussion as follows:</w:t>
      </w:r>
    </w:p>
    <w:p w14:paraId="0DF8725E" w14:textId="77777777" w:rsidR="00F10F3B" w:rsidRPr="00F10F3B" w:rsidRDefault="00F10F3B" w:rsidP="00F10F3B">
      <w:pPr>
        <w:ind w:left="720"/>
        <w:jc w:val="both"/>
        <w:rPr>
          <w:rFonts w:ascii="Times New Roman" w:hAnsi="Times New Roman" w:cs="Times New Roman"/>
          <w:b/>
          <w:color w:val="FF0000"/>
        </w:rPr>
      </w:pPr>
      <w:r w:rsidRPr="00F10F3B">
        <w:rPr>
          <w:rFonts w:ascii="Times New Roman" w:hAnsi="Times New Roman" w:cs="Times New Roman"/>
          <w:b/>
          <w:color w:val="FF0000"/>
        </w:rPr>
        <w:t xml:space="preserve">Interestingly, we observed more modest gene expression changes in general for older acromegalic patients than for younger patients.  We are unable to determine from our study how long patients were acromegalic prior to our study, so one possibility is that the older patients have had longer to adapt to elevated GH levels.  Alternatively, elevated GH/IGF-1 signaling may play a stronger role in younger patients.  </w:t>
      </w:r>
    </w:p>
    <w:p w14:paraId="34DFEF9F" w14:textId="77777777" w:rsidR="00F10F3B" w:rsidRDefault="00F10F3B" w:rsidP="00F10F3B">
      <w:pPr>
        <w:spacing w:after="240"/>
        <w:rPr>
          <w:rFonts w:ascii="Times New Roman" w:hAnsi="Times New Roman" w:cs="Times New Roman"/>
          <w:b/>
        </w:rPr>
      </w:pPr>
    </w:p>
    <w:p w14:paraId="7FD837D2"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 xml:space="preserve">Regarding the experimental approach, it seems that the authors did not further validate the transcriptomic analysis by qPCR or western-blot, which drastically lessen the reliability of the results. </w:t>
      </w:r>
    </w:p>
    <w:p w14:paraId="24E25D64" w14:textId="2F8DA28B" w:rsidR="00C20609" w:rsidRDefault="00B41A3A" w:rsidP="00F10F3B">
      <w:pPr>
        <w:spacing w:after="240"/>
        <w:rPr>
          <w:rFonts w:ascii="Times New Roman" w:hAnsi="Times New Roman" w:cs="Times New Roman"/>
          <w:b/>
          <w:color w:val="333333"/>
        </w:rPr>
      </w:pPr>
      <w:r>
        <w:rPr>
          <w:rFonts w:ascii="Times New Roman" w:hAnsi="Times New Roman" w:cs="Times New Roman"/>
          <w:b/>
          <w:color w:val="333333"/>
        </w:rPr>
        <w:t xml:space="preserve">To address the reproducibility of our findings, we have extensively compared our findings to published data both from single gene studies and from microarray studies on tissue culture cells.  Neither of these </w:t>
      </w:r>
      <w:proofErr w:type="gramStart"/>
      <w:r>
        <w:rPr>
          <w:rFonts w:ascii="Times New Roman" w:hAnsi="Times New Roman" w:cs="Times New Roman"/>
          <w:b/>
          <w:color w:val="333333"/>
        </w:rPr>
        <w:t>are</w:t>
      </w:r>
      <w:proofErr w:type="gramEnd"/>
      <w:r>
        <w:rPr>
          <w:rFonts w:ascii="Times New Roman" w:hAnsi="Times New Roman" w:cs="Times New Roman"/>
          <w:b/>
          <w:color w:val="333333"/>
        </w:rPr>
        <w:t xml:space="preserve"> as broad in scope as our findings, but we have found good correlations between our findings and those of others in most cases</w:t>
      </w:r>
      <w:r w:rsidR="00A54A52">
        <w:rPr>
          <w:rFonts w:ascii="Times New Roman" w:hAnsi="Times New Roman" w:cs="Times New Roman"/>
          <w:b/>
          <w:color w:val="333333"/>
        </w:rPr>
        <w:t>, importantly for</w:t>
      </w:r>
      <w:r w:rsidR="00A54A52">
        <w:rPr>
          <w:rFonts w:ascii="Times New Roman" w:hAnsi="Times New Roman" w:cs="Times New Roman"/>
          <w:b/>
          <w:i/>
          <w:color w:val="333333"/>
        </w:rPr>
        <w:t xml:space="preserve">, IGF1, PTPN3, SOCS2, CISH, LPL </w:t>
      </w:r>
      <w:r w:rsidR="00A54A52" w:rsidRPr="00A54A52">
        <w:rPr>
          <w:rFonts w:ascii="Times New Roman" w:hAnsi="Times New Roman" w:cs="Times New Roman"/>
          <w:b/>
          <w:color w:val="333333"/>
        </w:rPr>
        <w:t>and</w:t>
      </w:r>
      <w:r w:rsidR="00A54A52">
        <w:rPr>
          <w:rFonts w:ascii="Times New Roman" w:hAnsi="Times New Roman" w:cs="Times New Roman"/>
          <w:b/>
          <w:i/>
          <w:color w:val="333333"/>
        </w:rPr>
        <w:t xml:space="preserve"> HSD11B1</w:t>
      </w:r>
      <w:r>
        <w:rPr>
          <w:rFonts w:ascii="Times New Roman" w:hAnsi="Times New Roman" w:cs="Times New Roman"/>
          <w:b/>
          <w:color w:val="333333"/>
        </w:rPr>
        <w:t xml:space="preserve">.  In cases where we have not observed similar gene expression changes as proposed in </w:t>
      </w:r>
      <w:r>
        <w:rPr>
          <w:rFonts w:ascii="Times New Roman" w:hAnsi="Times New Roman" w:cs="Times New Roman"/>
          <w:b/>
          <w:color w:val="333333"/>
        </w:rPr>
        <w:lastRenderedPageBreak/>
        <w:t xml:space="preserve">the published literature we have discussed these as well, such as for </w:t>
      </w:r>
      <w:r>
        <w:rPr>
          <w:rFonts w:ascii="Times New Roman" w:hAnsi="Times New Roman" w:cs="Times New Roman"/>
          <w:b/>
          <w:i/>
          <w:color w:val="333333"/>
        </w:rPr>
        <w:t>PIK3R1</w:t>
      </w:r>
      <w:r w:rsidR="00A54A52">
        <w:rPr>
          <w:rFonts w:ascii="Times New Roman" w:hAnsi="Times New Roman" w:cs="Times New Roman"/>
          <w:b/>
          <w:i/>
          <w:color w:val="333333"/>
        </w:rPr>
        <w:t xml:space="preserve">.  </w:t>
      </w:r>
      <w:r w:rsidR="00A54A52">
        <w:rPr>
          <w:rFonts w:ascii="Times New Roman" w:hAnsi="Times New Roman" w:cs="Times New Roman"/>
          <w:b/>
          <w:color w:val="333333"/>
        </w:rPr>
        <w:t xml:space="preserve">These independent descriptions provide solid validation for the reliability of our data.  </w:t>
      </w:r>
    </w:p>
    <w:p w14:paraId="48674CE5" w14:textId="135FF0F7" w:rsidR="00A54A52" w:rsidRPr="00A54A52" w:rsidRDefault="00A54A52" w:rsidP="00F10F3B">
      <w:pPr>
        <w:spacing w:after="240"/>
        <w:rPr>
          <w:rFonts w:ascii="Times New Roman" w:hAnsi="Times New Roman" w:cs="Times New Roman"/>
          <w:b/>
          <w:color w:val="333333"/>
        </w:rPr>
      </w:pPr>
      <w:r>
        <w:rPr>
          <w:rFonts w:ascii="Times New Roman" w:hAnsi="Times New Roman" w:cs="Times New Roman"/>
          <w:b/>
          <w:color w:val="333333"/>
        </w:rPr>
        <w:t xml:space="preserve">We had considered performing qPCR studies to ‘re-validate’ some of our gene-expression findings but there is little evidence that qPCR analyses from the same samples will add any extra validity to our data so we decided to eschew those experiments.  </w:t>
      </w:r>
      <w:r w:rsidR="00467E63">
        <w:rPr>
          <w:rFonts w:ascii="Times New Roman" w:hAnsi="Times New Roman" w:cs="Times New Roman"/>
          <w:b/>
          <w:color w:val="333333"/>
        </w:rPr>
        <w:t xml:space="preserve">Previous studies have shown extremely close correlations between qPCR and RNAseq data </w:t>
      </w:r>
      <w:r w:rsidR="00467E63" w:rsidRPr="004D2AFD">
        <w:rPr>
          <w:rFonts w:ascii="Times New Roman" w:hAnsi="Times New Roman" w:cs="Times New Roman"/>
          <w:b/>
          <w:color w:val="333333"/>
        </w:rPr>
        <w:fldChar w:fldCharType="begin" w:fldLock="1"/>
      </w:r>
      <w:r w:rsidR="006B3B71">
        <w:rPr>
          <w:rFonts w:ascii="Times New Roman" w:hAnsi="Times New Roman" w:cs="Times New Roman"/>
          <w:b/>
          <w:color w:val="333333"/>
        </w:rPr>
        <w:instrText>ADDIN CSL_CITATION { "citationItems" : [ { "id" : "ITEM-1", "itemData" : { "DOI" : "10.1038/nmeth.1503", "ISSN" : "1548-7105", "PMID" : "20835245", "abstract" : "In alternative expression analysis by sequencing (ALEXA-seq), we developed a method to analyze massively parallel RNA sequence data to catalog transcripts and assess differential and alternative expression of known and predicted mRNA isoforms in cells and tissues. As proof of principle, we used the approach to compare fluorouracil-resistant and -nonresistant human colorectal cancer cell lines. We assessed the sensitivity and specificity of the approach by comparison to exon tiling and splicing microarrays and validated the results with reverse transcription-PCR, quantitative PCR and Sanger sequencing. We observed global disruption of splicing in fluorouracil-resistant cells characterized by expression of new mRNA isoforms resulting from exon skipping, alternative splice site usage and intron retention. Alternative expression annotation databases, source code, a data viewer and other resources to facilitate analysis are available at http://www.alexaplatform.org/alexa_seq/.", "author" : [ { "dropping-particle" : "", "family" : "Griffith", "given" : "Malachi", "non-dropping-particle" : "", "parse-names" : false, "suffix" : "" }, { "dropping-particle" : "", "family" : "Griffith", "given" : "Obi L", "non-dropping-particle" : "", "parse-names" : false, "suffix" : "" }, { "dropping-particle" : "", "family" : "Mwenifumbo", "given" : "Jill", "non-dropping-particle" : "", "parse-names" : false, "suffix" : "" }, { "dropping-particle" : "", "family" : "Goya", "given" : "Rodrigo", "non-dropping-particle" : "", "parse-names" : false, "suffix" : "" }, { "dropping-particle" : "", "family" : "Morrissy", "given" : "a Sorana", "non-dropping-particle" : "", "parse-names" : false, "suffix" : "" }, { "dropping-particle" : "", "family" : "Morin", "given" : "Ryan D", "non-dropping-particle" : "", "parse-names" : false, "suffix" : "" }, { "dropping-particle" : "", "family" : "Corbett", "given" : "Richard", "non-dropping-particle" : "", "parse-names" : false, "suffix" : "" }, { "dropping-particle" : "", "family" : "Tang", "given" : "Michelle J", "non-dropping-particle" : "", "parse-names" : false, "suffix" : "" }, { "dropping-particle" : "", "family" : "Hou", "given" : "Ying-Chen", "non-dropping-particle" : "", "parse-names" : false, "suffix" : "" }, { "dropping-particle" : "", "family" : "Pugh", "given" : "Trevor J", "non-dropping-particle" : "", "parse-names" : false, "suffix" : "" }, { "dropping-particle" : "", "family" : "Robertson", "given" : "Gordon", "non-dropping-particle" : "", "parse-names" : false, "suffix" : "" }, { "dropping-particle" : "", "family" : "Chittaranjan", "given" : "Suganthi", "non-dropping-particle" : "", "parse-names" : false, "suffix" : "" }, { "dropping-particle" : "", "family" : "Ally", "given" : "Adrian", "non-dropping-particle" : "", "parse-names" : false, "suffix" : "" }, { "dropping-particle" : "", "family" : "Asano", "given" : "Jennifer K", "non-dropping-particle" : "", "parse-names" : false, "suffix" : "" }, { "dropping-particle" : "", "family" : "Chan", "given" : "Susanna Y", "non-dropping-particle" : "", "parse-names" : false, "suffix" : "" }, { "dropping-particle" : "", "family" : "Li", "given" : "Haiyan I", "non-dropping-particle" : "", "parse-names" : false, "suffix" : "" }, { "dropping-particle" : "", "family" : "McDonald", "given" : "Helen", "non-dropping-particle" : "", "parse-names" : false, "suffix" : "" }, { "dropping-particle" : "", "family" : "Teague", "given" : "Kevin", "non-dropping-particle" : "", "parse-names" : false, "suffix" : "" }, { "dropping-particle" : "", "family" : "Zhao", "given" : "Yongjun", "non-dropping-particle" : "", "parse-names" : false, "suffix" : "" }, { "dropping-particle" : "", "family" : "Zeng", "given" : "Thomas", "non-dropping-particle" : "", "parse-names" : false, "suffix" : "" }, { "dropping-particle" : "", "family" : "Delaney", "given" : "Allen", "non-dropping-particle" : "", "parse-names" : false, "suffix" : "" }, { "dropping-particle" : "", "family" : "Hirst", "given" : "Martin", "non-dropping-particle" : "", "parse-names" : false, "suffix" : "" }, { "dropping-particle" : "", "family" : "Morin", "given" : "Gregg B", "non-dropping-particle" : "", "parse-names" : false, "suffix" : "" }, { "dropping-particle" : "", "family" : "Jones", "given" : "Steven J M", "non-dropping-particle" : "", "parse-names" : false, "suffix" : "" }, { "dropping-particle" : "", "family" : "Tai", "given" : "Isabella T", "non-dropping-particle" : "", "parse-names" : false, "suffix" : "" }, { "dropping-particle" : "", "family" : "Marra", "given" : "Marco a", "non-dropping-particle" : "", "parse-names" : false, "suffix" : "" } ], "container-title" : "Nature methods", "id" : "ITEM-1", "issue" : "10", "issued" : { "date-parts" : [ [ "2010", "10" ] ] }, "page" : "843-7", "title" : "Alternative expression analysis by RNA sequencing.", "type" : "article-journal", "volume" : "7" }, "uris" : [ "http://www.mendeley.com/documents/?uuid=8873b5ef-92bb-42bd-8991-de7e11ea8e1c" ] }, { "id" : "ITEM-2", "itemData" : { "DOI" : "10.1186/1471-2164-10-531", "ISSN" : "1471-2164", "PMID" : "19917133", "abstract" : "BACKGROUND: Massive parallel sequencing has the potential to replace microarrays as the method for transcriptome profiling. Currently there are two protocols: full-length RNA sequencing (RNA-SEQ) and 3'-tag digital gene expression (DGE). In this preliminary effort, we evaluated the 3' DGE approach using two reference RNA samples from the MicroArray Quality Control Consortium (MAQC).\n\nRESULTS: Using Brain RNA sample from multiple runs, we demonstrated that the transcript profiles from 3' DGE were highly reproducible between technical and biological replicates from libraries constructed by the same lab and even by different labs, and between two generations of Illumina's Genome Analyzers. Approximately 65% of all sequence reads mapped to mitochondrial genes, ribosomal RNAs, and canonical transcripts. The expression profiles of brain RNA and universal human reference RNA were compared which demonstrated that DGE was also highly quantitative with excellent correlation of differential expression with quantitative real-time PCR. Furthermore, one lane of 3' DGE sequencing, using the current sequencing chemistry and image processing software, had wider dynamic range for transcriptome profiling and was able to detect lower expressed genes which are normally below the detection threshold of microarrays.\n\nCONCLUSION: 3' tag DGE profiling with massive parallel sequencing achieved high sensitivity and reproducibility for transcriptome profiling. Although it lacks the ability of detecting alternative splicing events compared to RNA-SEQ, it is much more affordable and clearly out-performed microarrays (Affymetrix) in detecting lower abundant transcripts.", "author" : [ { "dropping-particle" : "", "family" : "Asmann", "given" : "Yan W", "non-dropping-particle" : "", "parse-names" : false, "suffix" : "" }, { "dropping-particle" : "", "family" : "Klee", "given" : "Eric W", "non-dropping-particle" : "", "parse-names" : false, "suffix" : "" }, { "dropping-particle" : "", "family" : "Thompson", "given" : "E Aubrey", "non-dropping-particle" : "", "parse-names" : false, "suffix" : "" }, { "dropping-particle" : "", "family" : "Perez", "given" : "Edith a", "non-dropping-particle" : "", "parse-names" : false, "suffix" : "" }, { "dropping-particle" : "", "family" : "Middha", "given" : "Sumit", "non-dropping-particle" : "", "parse-names" : false, "suffix" : "" }, { "dropping-particle" : "", "family" : "Oberg", "given" : "Ann L", "non-dropping-particle" : "", "parse-names" : false, "suffix" : "" }, { "dropping-particle" : "", "family" : "Therneau", "given" : "Terry M", "non-dropping-particle" : "", "parse-names" : false, "suffix" : "" }, { "dropping-particle" : "", "family" : "Smith", "given" : "David I", "non-dropping-particle" : "", "parse-names" : false, "suffix" : "" }, { "dropping-particle" : "", "family" : "Poland", "given" : "Gregory a", "non-dropping-particle" : "", "parse-names" : false, "suffix" : "" }, { "dropping-particle" : "", "family" : "Wieben", "given" : "Eric D", "non-dropping-particle" : "", "parse-names" : false, "suffix" : "" }, { "dropping-particle" : "", "family" : "Kocher", "given" : "Jean-Pierre a", "non-dropping-particle" : "", "parse-names" : false, "suffix" : "" } ], "container-title" : "BMC genomics", "id" : "ITEM-2", "issued" : { "date-parts" : [ [ "2009", "1" ] ] }, "page" : "531", "title" : "3' tag digital gene expression profiling of human brain and universal reference RNA using Illumina Genome Analyzer.", "type" : "article-journal", "volume" : "10" }, "uris" : [ "http://www.mendeley.com/documents/?uuid=4efa0648-cffa-4246-b478-cab4490cbf38" ] }, { "id" : "ITEM-3", "itemData" : { "DOI" : "10.1038/nmeth.2694", "ISSN" : "1548-7105", "PMID" : "24141493", "abstract" : "Interest in single-cell whole-transcriptome analysis is growing rapidly, especially for profiling rare or heterogeneous populations of cells. We compared commercially available single-cell RNA amplification methods with both microliter and nanoliter volumes, using sequence from bulk total RNA and multiplexed quantitative PCR as benchmarks to systematically evaluate the sensitivity and accuracy of various single-cell RNA-seq approaches. We show that single-cell RNA-seq can be used to perform accurate quantitative transcriptome measurement in individual cells with a relatively small number of sequencing reads and that sequencing large numbers of single cells can recapitulate bulk transcriptome complexity.", "author" : [ { "dropping-particle" : "", "family" : "Wu", "given" : "Angela R", "non-dropping-particle" : "", "parse-names" : false, "suffix" : "" }, { "dropping-particle" : "", "family" : "Neff", "given" : "Norma F", "non-dropping-particle" : "", "parse-names" : false, "suffix" : "" }, { "dropping-particle" : "", "family" : "Kalisky", "given" : "Tomer", "non-dropping-particle" : "", "parse-names" : false, "suffix" : "" }, { "dropping-particle" : "", "family" : "Dalerba", "given" : "Piero", "non-dropping-particle" : "", "parse-names" : false, "suffix" : "" }, { "dropping-particle" : "", "family" : "Treutlein", "given" : "Barbara", "non-dropping-particle" : "", "parse-names" : false, "suffix" : "" }, { "dropping-particle" : "", "family" : "Rothenberg", "given" : "Michael E", "non-dropping-particle" : "", "parse-names" : false, "suffix" : "" }, { "dropping-particle" : "", "family" : "Mburu", "given" : "Francis M", "non-dropping-particle" : "", "parse-names" : false, "suffix" : "" }, { "dropping-particle" : "", "family" : "Mantalas", "given" : "Gary L", "non-dropping-particle" : "", "parse-names" : false, "suffix" : "" }, { "dropping-particle" : "", "family" : "Sim", "given" : "Sopheak", "non-dropping-particle" : "", "parse-names" : false, "suffix" : "" }, { "dropping-particle" : "", "family" : "Clarke", "given" : "Michael F", "non-dropping-particle" : "", "parse-names" : false, "suffix" : "" }, { "dropping-particle" : "", "family" : "Quake", "given" : "Stephen R", "non-dropping-particle" : "", "parse-names" : false, "suffix" : "" } ], "container-title" : "Nature methods", "id" : "ITEM-3", "issue" : "1", "issued" : { "date-parts" : [ [ "2014", "1" ] ] }, "page" : "41-6", "title" : "Quantitative assessment of single-cell RNA-sequencing methods.", "type" : "article-journal", "volume" : "11" }, "uris" : [ "http://www.mendeley.com/documents/?uuid=ac508b4f-e00d-4d7d-910d-5d145b6c4426" ] }, { "id" : "ITEM-4", "itemData" : { "DOI" : "10.1016/j.gene.2014.01.031", "ISSN" : "1879-0038", "PMID" : "24440293", "abstract" : "Differential growth of the pearl oyster Pinctada fucata still exists in the aquaculture production. There is no systematic study of the entire transcriptome of differential gene expression in P. fucata in the literature. In this study, high-throughput Illumina/HiSeq\u2122 2000 RNA-Seq was used to examine the differences of gene expression in large (L) and small oysters (S). In total, 74,293 and 76,635 unigenes were generated from L and S oysters, respectively. RT quantitative PCR (qPCR) analysis showed that the differential expression pattern of 19 out of 34 selected genes was consistent with the results of RNA-Seq analysis: 14 genes (11 for growth, 1 for reproduction and 2 for shell formation) were expressed more highly in S, 5 genes (1 for growth, 1 for reproduction and 3 for the immune system) were expressed more highly in L; 3 genes associated with the immune system were opposite to it; and no difference was found for the remaining 12 genes. Another 9 shell formation-related genes in L and S were examined by qPCR: 1 gene was expressed more highly in L, 5 genes were expressed more highly in S and no difference was found for the remaining 3 genes. Some genes related to growth and development, shell formation and reproduction were expressed more highly in S compared to L. This phenomenon could be explained by \"catch-up growth\". The results of this study will help toward a comprehensive understanding of the complexity of differential growth between P. fucata individuals and provide valuable information for future research.", "author" : [ { "dropping-particle" : "", "family" : "Shi", "given" : "Yu", "non-dropping-particle" : "", "parse-names" : false, "suffix" : "" }, { "dropping-particle" : "", "family" : "He", "given" : "Maoxian", "non-dropping-particle" : "", "parse-names" : false, "suffix" : "" } ], "container-title" : "Gene", "id" : "ITEM-4", "issue" : "2", "issued" : { "date-parts" : [ [ "2014", "4", "1" ] ] }, "page" : "313-22", "publisher" : "Elsevier B.V.", "title" : "Differential gene expression identified by RNA-Seq and qPCR in two sizes of pearl oyster (Pinctada fucata).", "type" : "article-journal", "volume" : "538" }, "uris" : [ "http://www.mendeley.com/documents/?uuid=d6a7b379-a2c4-4bdf-9f8f-3e3625058fc9" ] } ], "mendeley" : { "previouslyFormattedCitation" : "[5\u20138]" }, "properties" : { "noteIndex" : 0 }, "schema" : "https://github.com/citation-style-language/schema/raw/master/csl-citation.json" }</w:instrText>
      </w:r>
      <w:r w:rsidR="00467E63" w:rsidRPr="004D2AFD">
        <w:rPr>
          <w:rFonts w:ascii="Times New Roman" w:hAnsi="Times New Roman" w:cs="Times New Roman"/>
          <w:b/>
          <w:color w:val="333333"/>
        </w:rPr>
        <w:fldChar w:fldCharType="separate"/>
      </w:r>
      <w:r w:rsidR="006B3B71" w:rsidRPr="006B3B71">
        <w:rPr>
          <w:rFonts w:ascii="Times New Roman" w:hAnsi="Times New Roman" w:cs="Times New Roman"/>
          <w:noProof/>
          <w:color w:val="333333"/>
        </w:rPr>
        <w:t>[5–8]</w:t>
      </w:r>
      <w:r w:rsidR="00467E63" w:rsidRPr="004D2AFD">
        <w:rPr>
          <w:rFonts w:ascii="Times New Roman" w:hAnsi="Times New Roman" w:cs="Times New Roman"/>
          <w:b/>
          <w:color w:val="333333"/>
        </w:rPr>
        <w:fldChar w:fldCharType="end"/>
      </w:r>
      <w:r w:rsidR="00467E63" w:rsidRPr="004D2AFD">
        <w:rPr>
          <w:rFonts w:ascii="Times New Roman" w:hAnsi="Times New Roman" w:cs="Times New Roman"/>
          <w:b/>
          <w:color w:val="333333"/>
        </w:rPr>
        <w:t xml:space="preserve">. </w:t>
      </w:r>
      <w:r w:rsidR="00467E63">
        <w:rPr>
          <w:rFonts w:ascii="Times New Roman" w:hAnsi="Times New Roman" w:cs="Times New Roman"/>
          <w:b/>
          <w:color w:val="333333"/>
        </w:rPr>
        <w:t xml:space="preserve"> </w:t>
      </w:r>
      <w:r>
        <w:rPr>
          <w:rFonts w:ascii="Times New Roman" w:hAnsi="Times New Roman" w:cs="Times New Roman"/>
          <w:b/>
          <w:color w:val="333333"/>
        </w:rPr>
        <w:t>Ideally, we would re-validate our findings in a separate cohort of acromegalic patients, but due to the difficulty in accessing these samples, those experiments are not possible at this time.</w:t>
      </w:r>
    </w:p>
    <w:p w14:paraId="08C33B1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 xml:space="preserve">It is neither </w:t>
      </w:r>
      <w:proofErr w:type="gramStart"/>
      <w:r w:rsidRPr="00C20609">
        <w:rPr>
          <w:rFonts w:ascii="Times New Roman" w:hAnsi="Times New Roman" w:cs="Times New Roman"/>
          <w:color w:val="333333"/>
        </w:rPr>
        <w:t>clear</w:t>
      </w:r>
      <w:proofErr w:type="gramEnd"/>
      <w:r w:rsidRPr="00C20609">
        <w:rPr>
          <w:rFonts w:ascii="Times New Roman" w:hAnsi="Times New Roman" w:cs="Times New Roman"/>
          <w:color w:val="333333"/>
        </w:rPr>
        <w:t xml:space="preserve"> why only 7 out of 9 patients were used for the study. In addition, the study lacks mechanistic studies and/or validations that </w:t>
      </w:r>
      <w:proofErr w:type="gramStart"/>
      <w:r w:rsidRPr="00C20609">
        <w:rPr>
          <w:rFonts w:ascii="Times New Roman" w:hAnsi="Times New Roman" w:cs="Times New Roman"/>
          <w:color w:val="333333"/>
        </w:rPr>
        <w:t>confirms</w:t>
      </w:r>
      <w:proofErr w:type="gramEnd"/>
      <w:r w:rsidRPr="00C20609">
        <w:rPr>
          <w:rFonts w:ascii="Times New Roman" w:hAnsi="Times New Roman" w:cs="Times New Roman"/>
          <w:color w:val="333333"/>
        </w:rPr>
        <w:t xml:space="preserve"> the direct action of GH on the analyzed genes.</w:t>
      </w:r>
    </w:p>
    <w:p w14:paraId="1677175E" w14:textId="71C8297E" w:rsidR="00A65D98" w:rsidRPr="00A65D98" w:rsidRDefault="00A65D98" w:rsidP="00F10F3B">
      <w:pPr>
        <w:spacing w:after="240"/>
        <w:rPr>
          <w:rFonts w:ascii="Times New Roman" w:hAnsi="Times New Roman" w:cs="Times New Roman"/>
          <w:b/>
          <w:color w:val="333333"/>
        </w:rPr>
      </w:pPr>
      <w:r>
        <w:rPr>
          <w:rFonts w:ascii="Times New Roman" w:hAnsi="Times New Roman" w:cs="Times New Roman"/>
          <w:b/>
          <w:color w:val="333333"/>
        </w:rPr>
        <w:t>The missing two patients for whom we had phenotypic data but not RNAseq data were included in Figure 1 but not other analyses.  This was described in the methods section:</w:t>
      </w:r>
    </w:p>
    <w:p w14:paraId="5F9E4F40" w14:textId="669385C0" w:rsidR="00C20609" w:rsidRPr="00E95446" w:rsidRDefault="00A65D98" w:rsidP="00E95446">
      <w:pPr>
        <w:spacing w:after="240"/>
        <w:ind w:left="720"/>
        <w:rPr>
          <w:rFonts w:ascii="Times New Roman" w:hAnsi="Times New Roman" w:cs="Times New Roman"/>
          <w:b/>
          <w:color w:val="FF0000"/>
        </w:rPr>
      </w:pPr>
      <w:r w:rsidRPr="00A65D98">
        <w:rPr>
          <w:rFonts w:ascii="Times New Roman" w:hAnsi="Times New Roman" w:cs="Times New Roman"/>
          <w:b/>
          <w:color w:val="FF0000"/>
        </w:rPr>
        <w:t>These subjects corresponded to the patients described in Table 1, with the exception of subjects 29 and 31 (both acromegaly patients), which had clinical data but no RNAseq data.</w:t>
      </w:r>
    </w:p>
    <w:p w14:paraId="575341FC" w14:textId="77777777" w:rsidR="00C20609" w:rsidRPr="00C20609" w:rsidRDefault="00C20609" w:rsidP="00F10F3B">
      <w:pPr>
        <w:spacing w:before="240" w:after="240"/>
        <w:outlineLvl w:val="2"/>
        <w:rPr>
          <w:rFonts w:ascii="Times New Roman" w:eastAsia="Times New Roman" w:hAnsi="Times New Roman" w:cs="Times New Roman"/>
          <w:bCs/>
          <w:color w:val="333333"/>
          <w:sz w:val="30"/>
          <w:szCs w:val="30"/>
        </w:rPr>
      </w:pPr>
      <w:bookmarkStart w:id="2" w:name="user-content-other-comments"/>
      <w:bookmarkEnd w:id="2"/>
      <w:r w:rsidRPr="00C20609">
        <w:rPr>
          <w:rFonts w:ascii="Times New Roman" w:eastAsia="Times New Roman" w:hAnsi="Times New Roman" w:cs="Times New Roman"/>
          <w:bCs/>
          <w:color w:val="333333"/>
          <w:sz w:val="30"/>
          <w:szCs w:val="30"/>
        </w:rPr>
        <w:t>Other comments:</w:t>
      </w:r>
    </w:p>
    <w:p w14:paraId="3017446D" w14:textId="77777777"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proofErr w:type="gramStart"/>
      <w:r w:rsidRPr="00C20609">
        <w:rPr>
          <w:rFonts w:ascii="Times New Roman" w:eastAsia="Times New Roman" w:hAnsi="Times New Roman" w:cs="Times New Roman"/>
          <w:color w:val="333333"/>
        </w:rPr>
        <w:t>Several of the results presented herein (glucose levels, insulin levels, lipolytic measurements) have been previously published by other</w:t>
      </w:r>
      <w:proofErr w:type="gramEnd"/>
      <w:r w:rsidRPr="00C20609">
        <w:rPr>
          <w:rFonts w:ascii="Times New Roman" w:eastAsia="Times New Roman" w:hAnsi="Times New Roman" w:cs="Times New Roman"/>
          <w:color w:val="333333"/>
        </w:rPr>
        <w:t>. However, some of them did not reach statistical significance herein, reflecting the fact that the number of patients and/or replicates could be too low to draw consistent conclusions.</w:t>
      </w:r>
    </w:p>
    <w:p w14:paraId="07A8E850" w14:textId="0338EFB0" w:rsidR="00C20609" w:rsidRPr="00601395" w:rsidRDefault="00E7716D" w:rsidP="00601395">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As acromegaly is such a rare disease (60 out of 1 </w:t>
      </w:r>
      <w:r w:rsidRPr="00E7716D">
        <w:rPr>
          <w:rFonts w:ascii="Times New Roman" w:eastAsia="Times New Roman" w:hAnsi="Times New Roman" w:cs="Times New Roman"/>
          <w:b/>
          <w:color w:val="333333"/>
        </w:rPr>
        <w:t xml:space="preserve">000 000; </w:t>
      </w:r>
      <w:r w:rsidRPr="00E7716D">
        <w:rPr>
          <w:rFonts w:ascii="Times New Roman" w:eastAsia="Times New Roman" w:hAnsi="Times New Roman" w:cs="Times New Roman"/>
          <w:b/>
          <w:color w:val="333333"/>
        </w:rPr>
        <w:fldChar w:fldCharType="begin" w:fldLock="1"/>
      </w:r>
      <w:r w:rsidR="006B3B71">
        <w:rPr>
          <w:rFonts w:ascii="Times New Roman" w:eastAsia="Times New Roman" w:hAnsi="Times New Roman" w:cs="Times New Roman"/>
          <w:b/>
          <w:color w:val="333333"/>
        </w:rPr>
        <w:instrText>ADDIN CSL_CITATION { "citationItems" : [ { "id" : "ITEM-1",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"ITEM-1", "issue" : "963", "issued" : { "date-parts" : [ [ "2006", "1" ] ] }, "page" : "24-30", "title" : "Growth hormone and its disorders.", "type" : "article-journal", "volume" : "82" }, "uris" : [ "http://www.mendeley.com/documents/?uuid=40b421d4-1554-4748-a4f4-350831c40582" ] } ], "mendeley" : { "manualFormatting" : "Ayuk &amp; Sheppard, 2006)", "previouslyFormattedCitation" : "[9]" }, "properties" : { "noteIndex" : 0 }, "schema" : "https://github.com/citation-style-language/schema/raw/master/csl-citation.json" }</w:instrText>
      </w:r>
      <w:r w:rsidRPr="00E7716D">
        <w:rPr>
          <w:rFonts w:ascii="Times New Roman" w:eastAsia="Times New Roman" w:hAnsi="Times New Roman" w:cs="Times New Roman"/>
          <w:b/>
          <w:color w:val="333333"/>
        </w:rPr>
        <w:fldChar w:fldCharType="separate"/>
      </w:r>
      <w:r w:rsidRPr="00E7716D">
        <w:rPr>
          <w:rFonts w:ascii="Times New Roman" w:eastAsia="Times New Roman" w:hAnsi="Times New Roman" w:cs="Times New Roman"/>
          <w:b/>
          <w:noProof/>
          <w:color w:val="333333"/>
        </w:rPr>
        <w:t>Ayuk &amp; Sheppard, 2006)</w:t>
      </w:r>
      <w:r w:rsidRPr="00E7716D">
        <w:rPr>
          <w:rFonts w:ascii="Times New Roman" w:eastAsia="Times New Roman" w:hAnsi="Times New Roman" w:cs="Times New Roman"/>
          <w:b/>
          <w:color w:val="333333"/>
        </w:rPr>
        <w:fldChar w:fldCharType="end"/>
      </w:r>
      <w:r w:rsidRPr="00E7716D">
        <w:rPr>
          <w:rFonts w:ascii="Times New Roman" w:eastAsia="Times New Roman" w:hAnsi="Times New Roman" w:cs="Times New Roman"/>
          <w:b/>
          <w:color w:val="333333"/>
        </w:rPr>
        <w:t>,</w:t>
      </w:r>
      <w:r>
        <w:rPr>
          <w:rFonts w:ascii="Times New Roman" w:eastAsia="Times New Roman" w:hAnsi="Times New Roman" w:cs="Times New Roman"/>
          <w:b/>
          <w:color w:val="333333"/>
        </w:rPr>
        <w:t xml:space="preserve"> it was a challenge to recruit even the 9 patie</w:t>
      </w:r>
      <w:r w:rsidR="00681E9D">
        <w:rPr>
          <w:rFonts w:ascii="Times New Roman" w:eastAsia="Times New Roman" w:hAnsi="Times New Roman" w:cs="Times New Roman"/>
          <w:b/>
          <w:color w:val="333333"/>
        </w:rPr>
        <w:t xml:space="preserve">nts used in our study.  Due to the heterogeneity in age, body type and natural history of these patients, it was not surprising </w:t>
      </w:r>
      <w:r w:rsidR="00037ADB">
        <w:rPr>
          <w:rFonts w:ascii="Times New Roman" w:eastAsia="Times New Roman" w:hAnsi="Times New Roman" w:cs="Times New Roman"/>
          <w:b/>
          <w:color w:val="333333"/>
        </w:rPr>
        <w:t xml:space="preserve">that </w:t>
      </w:r>
      <w:r w:rsidR="00601395">
        <w:rPr>
          <w:rFonts w:ascii="Times New Roman" w:eastAsia="Times New Roman" w:hAnsi="Times New Roman" w:cs="Times New Roman"/>
          <w:b/>
          <w:color w:val="333333"/>
        </w:rPr>
        <w:t xml:space="preserve">there </w:t>
      </w:r>
      <w:r w:rsidR="00F90CFD">
        <w:rPr>
          <w:rFonts w:ascii="Times New Roman" w:eastAsia="Times New Roman" w:hAnsi="Times New Roman" w:cs="Times New Roman"/>
          <w:b/>
          <w:color w:val="333333"/>
        </w:rPr>
        <w:t>were</w:t>
      </w:r>
      <w:r w:rsidR="00601395">
        <w:rPr>
          <w:rFonts w:ascii="Times New Roman" w:eastAsia="Times New Roman" w:hAnsi="Times New Roman" w:cs="Times New Roman"/>
          <w:b/>
          <w:color w:val="333333"/>
        </w:rPr>
        <w:t xml:space="preserve"> large variances in our samples. </w:t>
      </w:r>
      <w:r w:rsidR="00681E9D">
        <w:rPr>
          <w:rFonts w:ascii="Times New Roman" w:eastAsia="Times New Roman" w:hAnsi="Times New Roman" w:cs="Times New Roman"/>
          <w:b/>
          <w:color w:val="333333"/>
        </w:rPr>
        <w:t>We did however reproduce previously described effects of acromegaly on height, fasting glucose, fasting insulin and HOMA-IR score and nearly observed statistical significance for isoproterenol-induced lipolysis</w:t>
      </w:r>
      <w:r w:rsidR="00037ADB">
        <w:rPr>
          <w:rFonts w:ascii="Times New Roman" w:eastAsia="Times New Roman" w:hAnsi="Times New Roman" w:cs="Times New Roman"/>
          <w:b/>
          <w:color w:val="333333"/>
        </w:rPr>
        <w:t xml:space="preserve"> in adipose tissue extracts</w:t>
      </w:r>
      <w:r w:rsidR="00681E9D">
        <w:rPr>
          <w:rFonts w:ascii="Times New Roman" w:eastAsia="Times New Roman" w:hAnsi="Times New Roman" w:cs="Times New Roman"/>
          <w:b/>
          <w:color w:val="333333"/>
        </w:rPr>
        <w:t xml:space="preserve"> (</w:t>
      </w:r>
      <w:r w:rsidR="00037ADB">
        <w:rPr>
          <w:rFonts w:ascii="Times New Roman" w:eastAsia="Times New Roman" w:hAnsi="Times New Roman" w:cs="Times New Roman"/>
          <w:b/>
          <w:color w:val="333333"/>
        </w:rPr>
        <w:t>p=</w:t>
      </w:r>
      <w:r w:rsidR="00681E9D">
        <w:rPr>
          <w:rFonts w:ascii="Times New Roman" w:eastAsia="Times New Roman" w:hAnsi="Times New Roman" w:cs="Times New Roman"/>
          <w:b/>
          <w:color w:val="333333"/>
        </w:rPr>
        <w:t>0.058)</w:t>
      </w:r>
      <w:r w:rsidR="00601395">
        <w:rPr>
          <w:rFonts w:ascii="Times New Roman" w:eastAsia="Times New Roman" w:hAnsi="Times New Roman" w:cs="Times New Roman"/>
          <w:b/>
          <w:color w:val="333333"/>
        </w:rPr>
        <w:t>.  Our interpretation of these findings is that our subject pool is a reasonable phenotypic pool to interpret our molecular findings.  Due</w:t>
      </w:r>
      <w:r w:rsidR="00681E9D">
        <w:rPr>
          <w:rFonts w:ascii="Times New Roman" w:eastAsia="Times New Roman" w:hAnsi="Times New Roman" w:cs="Times New Roman"/>
          <w:b/>
          <w:color w:val="333333"/>
        </w:rPr>
        <w:t xml:space="preserve"> to the lack of molecular findings associated with acromegaly, and our attempts to control for confounding factors such as age we feel that </w:t>
      </w:r>
      <w:r w:rsidR="00601395">
        <w:rPr>
          <w:rFonts w:ascii="Times New Roman" w:eastAsia="Times New Roman" w:hAnsi="Times New Roman" w:cs="Times New Roman"/>
          <w:b/>
          <w:color w:val="333333"/>
        </w:rPr>
        <w:t>these</w:t>
      </w:r>
      <w:r w:rsidR="00681E9D">
        <w:rPr>
          <w:rFonts w:ascii="Times New Roman" w:eastAsia="Times New Roman" w:hAnsi="Times New Roman" w:cs="Times New Roman"/>
          <w:b/>
          <w:color w:val="333333"/>
        </w:rPr>
        <w:t xml:space="preserve"> data are a valuable contribution to the molecular phenotype of acromegalic adipose tissue.  </w:t>
      </w:r>
    </w:p>
    <w:p w14:paraId="16DF78F6" w14:textId="7A14C4A3" w:rsidR="002B0A3B" w:rsidRPr="00E7716D" w:rsidRDefault="00C20609" w:rsidP="002B0A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It is surprising that the authors suggest adipose tissue relevant contribution to IGF plasma levels based on a mere correlation. Have the authors determined which is the real contribution of adipose tissue to IGF levels?</w:t>
      </w:r>
    </w:p>
    <w:p w14:paraId="2028060F" w14:textId="11396B86" w:rsidR="002B0A3B" w:rsidRDefault="002B0A3B" w:rsidP="002B0A3B">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lastRenderedPageBreak/>
        <w:t>We have speculated as to a role for adipose tissue in IGF1 production, but as the reviewer correctly points out, a direct assessment of the role of adipose tissue IGF1 to to</w:t>
      </w:r>
      <w:r w:rsidR="00F90CFD">
        <w:rPr>
          <w:rFonts w:ascii="Times New Roman" w:eastAsia="Times New Roman" w:hAnsi="Times New Roman" w:cs="Times New Roman"/>
          <w:b/>
          <w:color w:val="333333"/>
        </w:rPr>
        <w:t>tal serum IGF1 would require an</w:t>
      </w:r>
      <w:r>
        <w:rPr>
          <w:rFonts w:ascii="Times New Roman" w:eastAsia="Times New Roman" w:hAnsi="Times New Roman" w:cs="Times New Roman"/>
          <w:b/>
          <w:color w:val="333333"/>
        </w:rPr>
        <w:t xml:space="preserve"> adipose tissue specific </w:t>
      </w:r>
      <w:r>
        <w:rPr>
          <w:rFonts w:ascii="Times New Roman" w:eastAsia="Times New Roman" w:hAnsi="Times New Roman" w:cs="Times New Roman"/>
          <w:b/>
          <w:i/>
          <w:color w:val="333333"/>
        </w:rPr>
        <w:t>Igf1</w:t>
      </w:r>
      <w:r>
        <w:rPr>
          <w:rFonts w:ascii="Times New Roman" w:eastAsia="Times New Roman" w:hAnsi="Times New Roman" w:cs="Times New Roman"/>
          <w:b/>
          <w:color w:val="333333"/>
        </w:rPr>
        <w:t xml:space="preserve"> knockout model, which is beyond the scope of these studies.  This is described in the results section:</w:t>
      </w:r>
    </w:p>
    <w:p w14:paraId="29947BDD" w14:textId="122BEC32" w:rsidR="00C20609" w:rsidRPr="00E7716D" w:rsidRDefault="002B0A3B" w:rsidP="00E7716D">
      <w:pPr>
        <w:spacing w:before="100" w:beforeAutospacing="1" w:after="100" w:afterAutospacing="1"/>
        <w:ind w:left="1440"/>
        <w:rPr>
          <w:rFonts w:ascii="Times New Roman" w:eastAsia="Times New Roman" w:hAnsi="Times New Roman" w:cs="Times New Roman"/>
          <w:b/>
          <w:color w:val="FF0000"/>
        </w:rPr>
      </w:pPr>
      <w:r w:rsidRPr="002B0A3B">
        <w:rPr>
          <w:rFonts w:ascii="Times New Roman" w:eastAsia="Times New Roman" w:hAnsi="Times New Roman" w:cs="Times New Roman"/>
          <w:b/>
          <w:color w:val="FF0000"/>
        </w:rPr>
        <w:t xml:space="preserve">Serum IGF1 is primarily thought to be derived from liver tissue due to the observation that serum IGF-1 levels are reduced 75% in a liver specific IGF-1 </w:t>
      </w:r>
      <w:proofErr w:type="gramStart"/>
      <w:r w:rsidRPr="002B0A3B">
        <w:rPr>
          <w:rFonts w:ascii="Times New Roman" w:eastAsia="Times New Roman" w:hAnsi="Times New Roman" w:cs="Times New Roman"/>
          <w:b/>
          <w:color w:val="FF0000"/>
        </w:rPr>
        <w:t xml:space="preserve">knockout  </w:t>
      </w:r>
      <w:proofErr w:type="gramEnd"/>
      <w:r w:rsidRPr="002B0A3B">
        <w:rPr>
          <w:rFonts w:ascii="Times New Roman" w:eastAsia="Times New Roman" w:hAnsi="Times New Roman" w:cs="Times New Roman"/>
          <w:b/>
          <w:color w:val="FF0000"/>
        </w:rPr>
        <w:fldChar w:fldCharType="begin" w:fldLock="1"/>
      </w:r>
      <w:r w:rsidR="006B3B71">
        <w:rPr>
          <w:rFonts w:ascii="Times New Roman" w:eastAsia="Times New Roman" w:hAnsi="Times New Roman" w:cs="Times New Roman"/>
          <w:b/>
          <w:color w:val="FF0000"/>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"[10]" }, "properties" : { "noteIndex" : 0 }, "schema" : "https://github.com/citation-style-language/schema/raw/master/csl-citation.json" }</w:instrText>
      </w:r>
      <w:r w:rsidRPr="002B0A3B">
        <w:rPr>
          <w:rFonts w:ascii="Times New Roman" w:eastAsia="Times New Roman" w:hAnsi="Times New Roman" w:cs="Times New Roman"/>
          <w:b/>
          <w:color w:val="FF0000"/>
        </w:rPr>
        <w:fldChar w:fldCharType="separate"/>
      </w:r>
      <w:r w:rsidR="006B3B71" w:rsidRPr="006B3B71">
        <w:rPr>
          <w:rFonts w:ascii="Times New Roman" w:eastAsia="Times New Roman" w:hAnsi="Times New Roman" w:cs="Times New Roman"/>
          <w:noProof/>
          <w:color w:val="FF0000"/>
        </w:rPr>
        <w:t>[10]</w:t>
      </w:r>
      <w:r w:rsidRPr="002B0A3B">
        <w:rPr>
          <w:rFonts w:ascii="Times New Roman" w:eastAsia="Times New Roman" w:hAnsi="Times New Roman" w:cs="Times New Roman"/>
          <w:b/>
          <w:color w:val="FF0000"/>
        </w:rPr>
        <w:fldChar w:fldCharType="end"/>
      </w:r>
      <w:r w:rsidRPr="002B0A3B">
        <w:rPr>
          <w:rFonts w:ascii="Times New Roman" w:eastAsia="Times New Roman" w:hAnsi="Times New Roman" w:cs="Times New Roman"/>
          <w:b/>
          <w:color w:val="FF0000"/>
        </w:rPr>
        <w:t xml:space="preserve">. Our data demonstrates that expression of the adipose tissue </w:t>
      </w:r>
      <w:r w:rsidRPr="002B0A3B">
        <w:rPr>
          <w:rFonts w:ascii="Times New Roman" w:eastAsia="Times New Roman" w:hAnsi="Times New Roman" w:cs="Times New Roman"/>
          <w:b/>
          <w:i/>
          <w:iCs/>
          <w:color w:val="FF0000"/>
        </w:rPr>
        <w:t>IGF1</w:t>
      </w:r>
      <w:r w:rsidRPr="002B0A3B">
        <w:rPr>
          <w:rFonts w:ascii="Times New Roman" w:eastAsia="Times New Roman" w:hAnsi="Times New Roman" w:cs="Times New Roman"/>
          <w:b/>
          <w:color w:val="FF0000"/>
        </w:rPr>
        <w:t xml:space="preserve"> gene correlates well with that of serum IGF-1. We can speculate that adipose tissue may be a source of IGF-1 in acromegalic subjects, potentially contributing to the remaining ~25% of IGF-1 that is not altered by liver-specific </w:t>
      </w:r>
      <w:r w:rsidRPr="002B0A3B">
        <w:rPr>
          <w:rFonts w:ascii="Times New Roman" w:eastAsia="Times New Roman" w:hAnsi="Times New Roman" w:cs="Times New Roman"/>
          <w:b/>
          <w:i/>
          <w:color w:val="FF0000"/>
        </w:rPr>
        <w:t>Igf1</w:t>
      </w:r>
      <w:r w:rsidRPr="002B0A3B">
        <w:rPr>
          <w:rFonts w:ascii="Times New Roman" w:eastAsia="Times New Roman" w:hAnsi="Times New Roman" w:cs="Times New Roman"/>
          <w:b/>
          <w:color w:val="FF0000"/>
        </w:rPr>
        <w:t xml:space="preserve"> knockout.  Further testing of this hypothesis will require adipocyte-specific ablation of </w:t>
      </w:r>
      <w:r w:rsidRPr="002B0A3B">
        <w:rPr>
          <w:rFonts w:ascii="Times New Roman" w:eastAsia="Times New Roman" w:hAnsi="Times New Roman" w:cs="Times New Roman"/>
          <w:b/>
          <w:i/>
          <w:color w:val="FF0000"/>
        </w:rPr>
        <w:t>Igf1</w:t>
      </w:r>
      <w:r w:rsidRPr="002B0A3B">
        <w:rPr>
          <w:rFonts w:ascii="Times New Roman" w:eastAsia="Times New Roman" w:hAnsi="Times New Roman" w:cs="Times New Roman"/>
          <w:b/>
          <w:color w:val="FF0000"/>
        </w:rPr>
        <w:t>.</w:t>
      </w:r>
    </w:p>
    <w:p w14:paraId="4060948B" w14:textId="77777777"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The authors consistently refer to the effects of excess GH due to acromegaly, while acromegaly also curses with elevated IGF-I levels and therefore both elevated GH and IGF-I levels contribute to the final observed phenotype.</w:t>
      </w:r>
    </w:p>
    <w:p w14:paraId="386919B9" w14:textId="4F7365ED" w:rsidR="0099450D" w:rsidRDefault="005225AA"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As the reviewer suggests, we have pointed out</w:t>
      </w:r>
      <w:r w:rsidR="0099450D">
        <w:rPr>
          <w:rFonts w:ascii="Times New Roman" w:eastAsia="Times New Roman" w:hAnsi="Times New Roman" w:cs="Times New Roman"/>
          <w:b/>
          <w:color w:val="333333"/>
        </w:rPr>
        <w:t xml:space="preserve"> in the introduction</w:t>
      </w:r>
      <w:r>
        <w:rPr>
          <w:rFonts w:ascii="Times New Roman" w:eastAsia="Times New Roman" w:hAnsi="Times New Roman" w:cs="Times New Roman"/>
          <w:b/>
          <w:color w:val="333333"/>
        </w:rPr>
        <w:t xml:space="preserve"> that all </w:t>
      </w:r>
      <w:r>
        <w:rPr>
          <w:rFonts w:ascii="Times New Roman" w:eastAsia="Times New Roman" w:hAnsi="Times New Roman" w:cs="Times New Roman"/>
          <w:b/>
          <w:i/>
          <w:color w:val="333333"/>
        </w:rPr>
        <w:t>in vivo</w:t>
      </w:r>
      <w:r>
        <w:rPr>
          <w:rFonts w:ascii="Times New Roman" w:eastAsia="Times New Roman" w:hAnsi="Times New Roman" w:cs="Times New Roman"/>
          <w:b/>
          <w:color w:val="333333"/>
        </w:rPr>
        <w:t xml:space="preserve"> phenotypes associated with acromegaly may be due to either excessive GH or IGF-1 levels due to their </w:t>
      </w:r>
      <w:r w:rsidR="0099450D">
        <w:rPr>
          <w:rFonts w:ascii="Times New Roman" w:eastAsia="Times New Roman" w:hAnsi="Times New Roman" w:cs="Times New Roman"/>
          <w:b/>
          <w:color w:val="333333"/>
        </w:rPr>
        <w:t>known interactions:</w:t>
      </w:r>
    </w:p>
    <w:p w14:paraId="191A1E4D" w14:textId="2B731A42" w:rsidR="0099450D" w:rsidRPr="00BA7909" w:rsidRDefault="0099450D" w:rsidP="00BA7909">
      <w:pPr>
        <w:ind w:left="1440"/>
        <w:jc w:val="both"/>
        <w:rPr>
          <w:rFonts w:ascii="Times New Roman" w:hAnsi="Times New Roman" w:cs="Times New Roman"/>
          <w:b/>
          <w:color w:val="FF0000"/>
        </w:rPr>
      </w:pPr>
      <w:r w:rsidRPr="0099450D">
        <w:rPr>
          <w:rFonts w:ascii="Times New Roman" w:hAnsi="Times New Roman" w:cs="Times New Roman"/>
          <w:b/>
          <w:color w:val="FF0000"/>
        </w:rPr>
        <w:t>Growth hormone induces the expression and secretion of IGF-1, so phenotypes associated with acromegaly may be due to either GH signaling, IGF-1 signaling or a combination of both.</w:t>
      </w:r>
    </w:p>
    <w:p w14:paraId="1A09245A" w14:textId="6BC442E5" w:rsidR="0099450D" w:rsidRDefault="0099450D"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We have also mentioned this point in the revised discussion:</w:t>
      </w:r>
    </w:p>
    <w:p w14:paraId="06A07128" w14:textId="5421C7B3" w:rsidR="0099450D" w:rsidRPr="0099450D" w:rsidRDefault="0099450D" w:rsidP="0099450D">
      <w:pPr>
        <w:spacing w:before="100" w:beforeAutospacing="1" w:after="100" w:afterAutospacing="1"/>
        <w:ind w:left="1440"/>
        <w:rPr>
          <w:rFonts w:ascii="Times New Roman" w:eastAsia="Times New Roman" w:hAnsi="Times New Roman" w:cs="Times New Roman"/>
          <w:b/>
          <w:color w:val="FF0000"/>
        </w:rPr>
      </w:pPr>
      <w:r w:rsidRPr="0099450D">
        <w:rPr>
          <w:rFonts w:ascii="Times New Roman" w:hAnsi="Times New Roman" w:cs="Times New Roman"/>
          <w:b/>
          <w:color w:val="FF0000"/>
        </w:rPr>
        <w:t>Some of these genes may be direct targets of increased GH or IGF-1 signaling in adipose tissue, whereas others may be secondary adaptations to this condition.</w:t>
      </w:r>
    </w:p>
    <w:p w14:paraId="401C50C3" w14:textId="306F204E" w:rsidR="00727C81" w:rsidRDefault="0099450D"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Furthermore have also extended our analyses to include an evaluation of IGF-1 receptor levels in our dataset:</w:t>
      </w:r>
    </w:p>
    <w:p w14:paraId="6406DFEF" w14:textId="76C9CB08" w:rsidR="0099450D" w:rsidRPr="0099450D" w:rsidRDefault="0099450D" w:rsidP="0099450D">
      <w:pPr>
        <w:spacing w:before="100" w:beforeAutospacing="1" w:after="100" w:afterAutospacing="1"/>
        <w:ind w:left="1440"/>
        <w:rPr>
          <w:rFonts w:ascii="Times New Roman" w:eastAsia="Times New Roman" w:hAnsi="Times New Roman" w:cs="Times New Roman"/>
          <w:b/>
          <w:color w:val="FF0000"/>
        </w:rPr>
      </w:pPr>
      <w:r w:rsidRPr="0099450D">
        <w:rPr>
          <w:rFonts w:ascii="Times New Roman" w:hAnsi="Times New Roman" w:cs="Times New Roman"/>
          <w:b/>
          <w:color w:val="FF0000"/>
        </w:rPr>
        <w:t>Neither the growth hormone receptor (GHR) nor the IGF-1 receptors (</w:t>
      </w:r>
      <w:r w:rsidRPr="0099450D">
        <w:rPr>
          <w:rFonts w:ascii="Times New Roman" w:hAnsi="Times New Roman" w:cs="Times New Roman"/>
          <w:b/>
          <w:i/>
          <w:color w:val="FF0000"/>
        </w:rPr>
        <w:t>IGF1R,</w:t>
      </w:r>
      <w:r w:rsidRPr="0099450D">
        <w:rPr>
          <w:rFonts w:ascii="Times New Roman" w:hAnsi="Times New Roman" w:cs="Times New Roman"/>
          <w:b/>
          <w:color w:val="FF0000"/>
        </w:rPr>
        <w:t xml:space="preserve"> </w:t>
      </w:r>
      <w:r w:rsidRPr="0099450D">
        <w:rPr>
          <w:rFonts w:ascii="Times New Roman" w:hAnsi="Times New Roman" w:cs="Times New Roman"/>
          <w:b/>
          <w:i/>
          <w:color w:val="FF0000"/>
        </w:rPr>
        <w:t>IGF2R)</w:t>
      </w:r>
      <w:r w:rsidRPr="0099450D">
        <w:rPr>
          <w:rFonts w:ascii="Times New Roman" w:hAnsi="Times New Roman" w:cs="Times New Roman"/>
          <w:b/>
          <w:color w:val="FF0000"/>
        </w:rPr>
        <w:t xml:space="preserve"> was significantly altered in acromegalic adipose tissue.  </w:t>
      </w:r>
    </w:p>
    <w:p w14:paraId="542F685E" w14:textId="77777777" w:rsidR="00C20609" w:rsidRDefault="00C20609" w:rsidP="00F10F3B">
      <w:pPr>
        <w:spacing w:before="100" w:beforeAutospacing="1" w:after="100" w:afterAutospacing="1"/>
        <w:rPr>
          <w:rFonts w:ascii="Times New Roman" w:eastAsia="Times New Roman" w:hAnsi="Times New Roman" w:cs="Times New Roman"/>
          <w:color w:val="333333"/>
        </w:rPr>
      </w:pPr>
    </w:p>
    <w:p w14:paraId="1E796E7B" w14:textId="3E821A73" w:rsidR="00467E63" w:rsidRDefault="00467E63" w:rsidP="00467E63">
      <w:pPr>
        <w:pStyle w:val="Heading1"/>
      </w:pPr>
      <w:r>
        <w:lastRenderedPageBreak/>
        <w:t>References</w:t>
      </w:r>
    </w:p>
    <w:p w14:paraId="416B3D26" w14:textId="7F26EB22" w:rsidR="006B3B71" w:rsidRPr="006B3B71" w:rsidRDefault="00467E63">
      <w:pPr>
        <w:pStyle w:val="NormalWeb"/>
        <w:ind w:left="640" w:hanging="640"/>
        <w:divId w:val="974140828"/>
        <w:rPr>
          <w:rFonts w:ascii="Times New Roman" w:hAnsi="Times New Roman"/>
          <w:noProof/>
          <w:sz w:val="24"/>
        </w:rPr>
      </w:pPr>
      <w:r>
        <w:rPr>
          <w:rFonts w:ascii="Times New Roman" w:eastAsia="Times New Roman" w:hAnsi="Times New Roman"/>
          <w:color w:val="333333"/>
        </w:rPr>
        <w:fldChar w:fldCharType="begin" w:fldLock="1"/>
      </w:r>
      <w:r>
        <w:rPr>
          <w:rFonts w:ascii="Times New Roman" w:eastAsia="Times New Roman" w:hAnsi="Times New Roman"/>
          <w:color w:val="333333"/>
        </w:rPr>
        <w:instrText xml:space="preserve">ADDIN Mendeley Bibliography CSL_BIBLIOGRAPHY </w:instrText>
      </w:r>
      <w:r>
        <w:rPr>
          <w:rFonts w:ascii="Times New Roman" w:eastAsia="Times New Roman" w:hAnsi="Times New Roman"/>
          <w:color w:val="333333"/>
        </w:rPr>
        <w:fldChar w:fldCharType="separate"/>
      </w:r>
      <w:r w:rsidR="006B3B71" w:rsidRPr="006B3B71">
        <w:rPr>
          <w:rFonts w:ascii="Times New Roman" w:hAnsi="Times New Roman"/>
          <w:noProof/>
          <w:sz w:val="24"/>
        </w:rPr>
        <w:t xml:space="preserve">1. </w:t>
      </w:r>
      <w:r w:rsidR="006B3B71" w:rsidRPr="006B3B71">
        <w:rPr>
          <w:rFonts w:ascii="Times New Roman" w:hAnsi="Times New Roman"/>
          <w:noProof/>
          <w:sz w:val="24"/>
        </w:rPr>
        <w:tab/>
        <w:t>Manetti L, Bogazzi F, Giovannetti C, Raffaelli V, Genovesi M, et al. (2010) Changes in coagulation indexes and occurrence of venous thromboembolism in patients with Cushing’s syndrome: results from a prospective study before and after surgery. Eur J Endocrinol 163: 783–791. doi:10.1530/EJE-10-0583.</w:t>
      </w:r>
    </w:p>
    <w:p w14:paraId="4A15A9A1"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2. </w:t>
      </w:r>
      <w:r w:rsidRPr="006B3B71">
        <w:rPr>
          <w:rFonts w:ascii="Times New Roman" w:hAnsi="Times New Roman"/>
          <w:noProof/>
          <w:sz w:val="24"/>
        </w:rPr>
        <w:tab/>
        <w:t>Brummelman P, Koerts J, Dullaart RPF, van den Berg G, Tucha O, et al. (2012) Effects of previous growth hormone excess and current medical treatment for acromegaly on cognition. Eur J Clin Invest 42: 1317–1324. doi:10.1111/j.1365-2362.2012.02721.x.</w:t>
      </w:r>
    </w:p>
    <w:p w14:paraId="3C1962A0"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3. </w:t>
      </w:r>
      <w:r w:rsidRPr="006B3B71">
        <w:rPr>
          <w:rFonts w:ascii="Times New Roman" w:hAnsi="Times New Roman"/>
          <w:noProof/>
          <w:sz w:val="24"/>
        </w:rPr>
        <w:tab/>
        <w:t>Tiemensma J, Biermasz NR, van der Mast RC, Wassenaar MJE, Middelkoop HAM, et al. (2010) Increased psychopathology and maladaptive personality traits, but normal cognitive functioning, in patients after long-term cure of acromegaly. J Clin Endocrinol Metab 95: E392–402. doi:10.1210/jc.2010-1253.</w:t>
      </w:r>
    </w:p>
    <w:p w14:paraId="34E96580"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4. </w:t>
      </w:r>
      <w:r w:rsidRPr="006B3B71">
        <w:rPr>
          <w:rFonts w:ascii="Times New Roman" w:hAnsi="Times New Roman"/>
          <w:noProof/>
          <w:sz w:val="24"/>
        </w:rPr>
        <w:tab/>
        <w:t>Yedinak CG, Fleseriu M (2014) Self-perception of cognitive function among patients with active acromegaly, controlled acromegaly, and non-functional pituitary adenoma: a pilot study. Endocrine 46: 585–593. doi:10.1007/s12020-013-0106-9.</w:t>
      </w:r>
    </w:p>
    <w:p w14:paraId="78E79D03"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5. </w:t>
      </w:r>
      <w:r w:rsidRPr="006B3B71">
        <w:rPr>
          <w:rFonts w:ascii="Times New Roman" w:hAnsi="Times New Roman"/>
          <w:noProof/>
          <w:sz w:val="24"/>
        </w:rPr>
        <w:tab/>
        <w:t>Griffith M, Griffith OL, Mwenifumbo J, Goya R, Morrissy a S, et al. (2010) Alternative expression analysis by RNA sequencing. Nat Methods 7: 843–847. doi:10.1038/nmeth.1503.</w:t>
      </w:r>
    </w:p>
    <w:p w14:paraId="687F8129"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6. </w:t>
      </w:r>
      <w:r w:rsidRPr="006B3B71">
        <w:rPr>
          <w:rFonts w:ascii="Times New Roman" w:hAnsi="Times New Roman"/>
          <w:noProof/>
          <w:sz w:val="24"/>
        </w:rPr>
        <w:tab/>
        <w:t>Asmann YW, Klee EW, Thompson EA, Perez E a, Middha S, et al. (2009) 3’ tag digital gene expression profiling of human brain and universal reference RNA using Illumina Genome Analyzer. BMC Genomics 10: 531. doi:10.1186/1471-2164-10-531.</w:t>
      </w:r>
    </w:p>
    <w:p w14:paraId="7E8AF282"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7. </w:t>
      </w:r>
      <w:r w:rsidRPr="006B3B71">
        <w:rPr>
          <w:rFonts w:ascii="Times New Roman" w:hAnsi="Times New Roman"/>
          <w:noProof/>
          <w:sz w:val="24"/>
        </w:rPr>
        <w:tab/>
        <w:t>Wu AR, Neff NF, Kalisky T, Dalerba P, Treutlein B, et al. (2014) Quantitative assessment of single-cell RNA-sequencing methods. Nat Methods 11: 41–46. doi:10.1038/nmeth.2694.</w:t>
      </w:r>
    </w:p>
    <w:p w14:paraId="338665A8"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8. </w:t>
      </w:r>
      <w:r w:rsidRPr="006B3B71">
        <w:rPr>
          <w:rFonts w:ascii="Times New Roman" w:hAnsi="Times New Roman"/>
          <w:noProof/>
          <w:sz w:val="24"/>
        </w:rPr>
        <w:tab/>
        <w:t>Shi Y, He M (2014) Differential gene expression identified by RNA-Seq and qPCR in two sizes of pearl oyster (Pinctada fucata). Gene 538: 313–322. doi:10.1016/j.gene.2014.01.031.</w:t>
      </w:r>
    </w:p>
    <w:p w14:paraId="45F69E65"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9. </w:t>
      </w:r>
      <w:r w:rsidRPr="006B3B71">
        <w:rPr>
          <w:rFonts w:ascii="Times New Roman" w:hAnsi="Times New Roman"/>
          <w:noProof/>
          <w:sz w:val="24"/>
        </w:rPr>
        <w:tab/>
        <w:t>Ayuk J, Sheppard MC (2006) Growth hormone and its disorders. Postgrad Med J 82: 24–30. doi:10.1136/pgmj.2005.036087.</w:t>
      </w:r>
    </w:p>
    <w:p w14:paraId="212763A8"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10. </w:t>
      </w:r>
      <w:r w:rsidRPr="006B3B71">
        <w:rPr>
          <w:rFonts w:ascii="Times New Roman" w:hAnsi="Times New Roman"/>
          <w:noProof/>
          <w:sz w:val="24"/>
        </w:rPr>
        <w:tab/>
        <w:t xml:space="preserve">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 </w:t>
      </w:r>
    </w:p>
    <w:p w14:paraId="3390365B" w14:textId="42BF5D0F" w:rsidR="00467E63" w:rsidRDefault="00467E63" w:rsidP="006B3B71">
      <w:pPr>
        <w:pStyle w:val="NormalWeb"/>
        <w:ind w:left="640" w:hanging="640"/>
        <w:divId w:val="197861440"/>
        <w:rPr>
          <w:rFonts w:ascii="Times New Roman" w:eastAsia="Times New Roman" w:hAnsi="Times New Roman"/>
          <w:color w:val="333333"/>
        </w:rPr>
      </w:pPr>
      <w:r>
        <w:rPr>
          <w:rFonts w:ascii="Times New Roman" w:eastAsia="Times New Roman" w:hAnsi="Times New Roman"/>
          <w:color w:val="333333"/>
        </w:rPr>
        <w:fldChar w:fldCharType="end"/>
      </w:r>
    </w:p>
    <w:p w14:paraId="39C3D01D" w14:textId="77777777" w:rsidR="00C20609" w:rsidRPr="00C20609" w:rsidRDefault="00C20609" w:rsidP="00F10F3B">
      <w:pPr>
        <w:spacing w:before="100" w:beforeAutospacing="1" w:after="100" w:afterAutospacing="1"/>
        <w:rPr>
          <w:rFonts w:ascii="Times New Roman" w:eastAsia="Times New Roman" w:hAnsi="Times New Roman" w:cs="Times New Roman"/>
          <w:color w:val="333333"/>
        </w:rPr>
      </w:pPr>
    </w:p>
    <w:p w14:paraId="2813CCF1" w14:textId="77777777" w:rsidR="00C20609" w:rsidRPr="00C20609" w:rsidRDefault="00C20609" w:rsidP="00F10F3B">
      <w:pPr>
        <w:rPr>
          <w:rFonts w:ascii="Times New Roman" w:hAnsi="Times New Roman" w:cs="Times New Roman"/>
        </w:rPr>
      </w:pPr>
    </w:p>
    <w:sectPr w:rsidR="00C20609" w:rsidRPr="00C20609"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4-10-15T08:39:00Z" w:initials="DB">
    <w:p w14:paraId="60F1773B" w14:textId="0A78BC8F" w:rsidR="00F90CFD" w:rsidRDefault="00F90CFD">
      <w:pPr>
        <w:pStyle w:val="CommentText"/>
      </w:pPr>
      <w:r>
        <w:rPr>
          <w:rStyle w:val="CommentReference"/>
        </w:rPr>
        <w:annotationRef/>
      </w:r>
      <w:r>
        <w:t>Needs more 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B0CF0"/>
    <w:multiLevelType w:val="multilevel"/>
    <w:tmpl w:val="F210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95"/>
    <w:rsid w:val="00037ADB"/>
    <w:rsid w:val="000970F4"/>
    <w:rsid w:val="000C42E5"/>
    <w:rsid w:val="0012550E"/>
    <w:rsid w:val="00152F7A"/>
    <w:rsid w:val="0023524C"/>
    <w:rsid w:val="002A3148"/>
    <w:rsid w:val="002B0A3B"/>
    <w:rsid w:val="00391B07"/>
    <w:rsid w:val="003A0DA8"/>
    <w:rsid w:val="003A69C1"/>
    <w:rsid w:val="00467E63"/>
    <w:rsid w:val="00475D45"/>
    <w:rsid w:val="004D2AFD"/>
    <w:rsid w:val="005225AA"/>
    <w:rsid w:val="005968E7"/>
    <w:rsid w:val="00601395"/>
    <w:rsid w:val="00615741"/>
    <w:rsid w:val="006506EB"/>
    <w:rsid w:val="00681E9D"/>
    <w:rsid w:val="00693B7F"/>
    <w:rsid w:val="006A1D5B"/>
    <w:rsid w:val="006A311E"/>
    <w:rsid w:val="006B3B71"/>
    <w:rsid w:val="00724917"/>
    <w:rsid w:val="00727C81"/>
    <w:rsid w:val="007E5CA3"/>
    <w:rsid w:val="008158E9"/>
    <w:rsid w:val="00874D76"/>
    <w:rsid w:val="008E1712"/>
    <w:rsid w:val="008E53AA"/>
    <w:rsid w:val="00972CBE"/>
    <w:rsid w:val="00984A2A"/>
    <w:rsid w:val="0099450D"/>
    <w:rsid w:val="00A34EF3"/>
    <w:rsid w:val="00A54A52"/>
    <w:rsid w:val="00A65D98"/>
    <w:rsid w:val="00AC2BD1"/>
    <w:rsid w:val="00AE6B6D"/>
    <w:rsid w:val="00B41A3A"/>
    <w:rsid w:val="00B76650"/>
    <w:rsid w:val="00BA7909"/>
    <w:rsid w:val="00C20609"/>
    <w:rsid w:val="00CD3E5D"/>
    <w:rsid w:val="00E7716D"/>
    <w:rsid w:val="00E95446"/>
    <w:rsid w:val="00ED4A95"/>
    <w:rsid w:val="00F10F3B"/>
    <w:rsid w:val="00F45F82"/>
    <w:rsid w:val="00F90017"/>
    <w:rsid w:val="00F90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415C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E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 w:type="character" w:styleId="CommentReference">
    <w:name w:val="annotation reference"/>
    <w:basedOn w:val="DefaultParagraphFont"/>
    <w:uiPriority w:val="99"/>
    <w:semiHidden/>
    <w:unhideWhenUsed/>
    <w:rsid w:val="006A311E"/>
    <w:rPr>
      <w:sz w:val="18"/>
      <w:szCs w:val="18"/>
    </w:rPr>
  </w:style>
  <w:style w:type="paragraph" w:styleId="CommentText">
    <w:name w:val="annotation text"/>
    <w:basedOn w:val="Normal"/>
    <w:link w:val="CommentTextChar"/>
    <w:uiPriority w:val="99"/>
    <w:semiHidden/>
    <w:unhideWhenUsed/>
    <w:rsid w:val="006A311E"/>
  </w:style>
  <w:style w:type="character" w:customStyle="1" w:styleId="CommentTextChar">
    <w:name w:val="Comment Text Char"/>
    <w:basedOn w:val="DefaultParagraphFont"/>
    <w:link w:val="CommentText"/>
    <w:uiPriority w:val="99"/>
    <w:semiHidden/>
    <w:rsid w:val="006A311E"/>
  </w:style>
  <w:style w:type="paragraph" w:styleId="CommentSubject">
    <w:name w:val="annotation subject"/>
    <w:basedOn w:val="CommentText"/>
    <w:next w:val="CommentText"/>
    <w:link w:val="CommentSubjectChar"/>
    <w:uiPriority w:val="99"/>
    <w:semiHidden/>
    <w:unhideWhenUsed/>
    <w:rsid w:val="006A311E"/>
    <w:rPr>
      <w:b/>
      <w:bCs/>
      <w:sz w:val="20"/>
      <w:szCs w:val="20"/>
    </w:rPr>
  </w:style>
  <w:style w:type="character" w:customStyle="1" w:styleId="CommentSubjectChar">
    <w:name w:val="Comment Subject Char"/>
    <w:basedOn w:val="CommentTextChar"/>
    <w:link w:val="CommentSubject"/>
    <w:uiPriority w:val="99"/>
    <w:semiHidden/>
    <w:rsid w:val="006A311E"/>
    <w:rPr>
      <w:b/>
      <w:bCs/>
      <w:sz w:val="20"/>
      <w:szCs w:val="20"/>
    </w:rPr>
  </w:style>
  <w:style w:type="paragraph" w:styleId="BalloonText">
    <w:name w:val="Balloon Text"/>
    <w:basedOn w:val="Normal"/>
    <w:link w:val="BalloonTextChar"/>
    <w:uiPriority w:val="99"/>
    <w:semiHidden/>
    <w:unhideWhenUsed/>
    <w:rsid w:val="006A3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11E"/>
    <w:rPr>
      <w:rFonts w:ascii="Lucida Grande" w:hAnsi="Lucida Grande" w:cs="Lucida Grande"/>
      <w:sz w:val="18"/>
      <w:szCs w:val="18"/>
    </w:rPr>
  </w:style>
  <w:style w:type="character" w:customStyle="1" w:styleId="Heading1Char">
    <w:name w:val="Heading 1 Char"/>
    <w:basedOn w:val="DefaultParagraphFont"/>
    <w:link w:val="Heading1"/>
    <w:uiPriority w:val="9"/>
    <w:rsid w:val="00467E6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E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 w:type="character" w:styleId="CommentReference">
    <w:name w:val="annotation reference"/>
    <w:basedOn w:val="DefaultParagraphFont"/>
    <w:uiPriority w:val="99"/>
    <w:semiHidden/>
    <w:unhideWhenUsed/>
    <w:rsid w:val="006A311E"/>
    <w:rPr>
      <w:sz w:val="18"/>
      <w:szCs w:val="18"/>
    </w:rPr>
  </w:style>
  <w:style w:type="paragraph" w:styleId="CommentText">
    <w:name w:val="annotation text"/>
    <w:basedOn w:val="Normal"/>
    <w:link w:val="CommentTextChar"/>
    <w:uiPriority w:val="99"/>
    <w:semiHidden/>
    <w:unhideWhenUsed/>
    <w:rsid w:val="006A311E"/>
  </w:style>
  <w:style w:type="character" w:customStyle="1" w:styleId="CommentTextChar">
    <w:name w:val="Comment Text Char"/>
    <w:basedOn w:val="DefaultParagraphFont"/>
    <w:link w:val="CommentText"/>
    <w:uiPriority w:val="99"/>
    <w:semiHidden/>
    <w:rsid w:val="006A311E"/>
  </w:style>
  <w:style w:type="paragraph" w:styleId="CommentSubject">
    <w:name w:val="annotation subject"/>
    <w:basedOn w:val="CommentText"/>
    <w:next w:val="CommentText"/>
    <w:link w:val="CommentSubjectChar"/>
    <w:uiPriority w:val="99"/>
    <w:semiHidden/>
    <w:unhideWhenUsed/>
    <w:rsid w:val="006A311E"/>
    <w:rPr>
      <w:b/>
      <w:bCs/>
      <w:sz w:val="20"/>
      <w:szCs w:val="20"/>
    </w:rPr>
  </w:style>
  <w:style w:type="character" w:customStyle="1" w:styleId="CommentSubjectChar">
    <w:name w:val="Comment Subject Char"/>
    <w:basedOn w:val="CommentTextChar"/>
    <w:link w:val="CommentSubject"/>
    <w:uiPriority w:val="99"/>
    <w:semiHidden/>
    <w:rsid w:val="006A311E"/>
    <w:rPr>
      <w:b/>
      <w:bCs/>
      <w:sz w:val="20"/>
      <w:szCs w:val="20"/>
    </w:rPr>
  </w:style>
  <w:style w:type="paragraph" w:styleId="BalloonText">
    <w:name w:val="Balloon Text"/>
    <w:basedOn w:val="Normal"/>
    <w:link w:val="BalloonTextChar"/>
    <w:uiPriority w:val="99"/>
    <w:semiHidden/>
    <w:unhideWhenUsed/>
    <w:rsid w:val="006A3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11E"/>
    <w:rPr>
      <w:rFonts w:ascii="Lucida Grande" w:hAnsi="Lucida Grande" w:cs="Lucida Grande"/>
      <w:sz w:val="18"/>
      <w:szCs w:val="18"/>
    </w:rPr>
  </w:style>
  <w:style w:type="character" w:customStyle="1" w:styleId="Heading1Char">
    <w:name w:val="Heading 1 Char"/>
    <w:basedOn w:val="DefaultParagraphFont"/>
    <w:link w:val="Heading1"/>
    <w:uiPriority w:val="9"/>
    <w:rsid w:val="00467E6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69976">
      <w:bodyDiv w:val="1"/>
      <w:marLeft w:val="0"/>
      <w:marRight w:val="0"/>
      <w:marTop w:val="0"/>
      <w:marBottom w:val="0"/>
      <w:divBdr>
        <w:top w:val="none" w:sz="0" w:space="0" w:color="auto"/>
        <w:left w:val="none" w:sz="0" w:space="0" w:color="auto"/>
        <w:bottom w:val="none" w:sz="0" w:space="0" w:color="auto"/>
        <w:right w:val="none" w:sz="0" w:space="0" w:color="auto"/>
      </w:divBdr>
      <w:divsChild>
        <w:div w:id="1987928612">
          <w:marLeft w:val="0"/>
          <w:marRight w:val="0"/>
          <w:marTop w:val="0"/>
          <w:marBottom w:val="0"/>
          <w:divBdr>
            <w:top w:val="none" w:sz="0" w:space="0" w:color="auto"/>
            <w:left w:val="none" w:sz="0" w:space="0" w:color="auto"/>
            <w:bottom w:val="none" w:sz="0" w:space="0" w:color="auto"/>
            <w:right w:val="none" w:sz="0" w:space="0" w:color="auto"/>
          </w:divBdr>
          <w:divsChild>
            <w:div w:id="142157820">
              <w:marLeft w:val="0"/>
              <w:marRight w:val="0"/>
              <w:marTop w:val="0"/>
              <w:marBottom w:val="0"/>
              <w:divBdr>
                <w:top w:val="none" w:sz="0" w:space="0" w:color="auto"/>
                <w:left w:val="none" w:sz="0" w:space="0" w:color="auto"/>
                <w:bottom w:val="none" w:sz="0" w:space="0" w:color="auto"/>
                <w:right w:val="none" w:sz="0" w:space="0" w:color="auto"/>
              </w:divBdr>
              <w:divsChild>
                <w:div w:id="387652440">
                  <w:marLeft w:val="0"/>
                  <w:marRight w:val="0"/>
                  <w:marTop w:val="0"/>
                  <w:marBottom w:val="0"/>
                  <w:divBdr>
                    <w:top w:val="none" w:sz="0" w:space="0" w:color="auto"/>
                    <w:left w:val="none" w:sz="0" w:space="0" w:color="auto"/>
                    <w:bottom w:val="none" w:sz="0" w:space="0" w:color="auto"/>
                    <w:right w:val="none" w:sz="0" w:space="0" w:color="auto"/>
                  </w:divBdr>
                  <w:divsChild>
                    <w:div w:id="1727685506">
                      <w:marLeft w:val="0"/>
                      <w:marRight w:val="0"/>
                      <w:marTop w:val="0"/>
                      <w:marBottom w:val="0"/>
                      <w:divBdr>
                        <w:top w:val="none" w:sz="0" w:space="0" w:color="auto"/>
                        <w:left w:val="none" w:sz="0" w:space="0" w:color="auto"/>
                        <w:bottom w:val="none" w:sz="0" w:space="0" w:color="auto"/>
                        <w:right w:val="none" w:sz="0" w:space="0" w:color="auto"/>
                      </w:divBdr>
                      <w:divsChild>
                        <w:div w:id="197861440">
                          <w:marLeft w:val="0"/>
                          <w:marRight w:val="0"/>
                          <w:marTop w:val="0"/>
                          <w:marBottom w:val="0"/>
                          <w:divBdr>
                            <w:top w:val="none" w:sz="0" w:space="0" w:color="auto"/>
                            <w:left w:val="none" w:sz="0" w:space="0" w:color="auto"/>
                            <w:bottom w:val="none" w:sz="0" w:space="0" w:color="auto"/>
                            <w:right w:val="none" w:sz="0" w:space="0" w:color="auto"/>
                          </w:divBdr>
                          <w:divsChild>
                            <w:div w:id="9741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7110</Words>
  <Characters>40530</Characters>
  <Application>Microsoft Macintosh Word</Application>
  <DocSecurity>0</DocSecurity>
  <Lines>337</Lines>
  <Paragraphs>95</Paragraphs>
  <ScaleCrop>false</ScaleCrop>
  <Company>UT-HSC</Company>
  <LinksUpToDate>false</LinksUpToDate>
  <CharactersWithSpaces>47545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26</cp:revision>
  <dcterms:created xsi:type="dcterms:W3CDTF">2014-09-23T13:15:00Z</dcterms:created>
  <dcterms:modified xsi:type="dcterms:W3CDTF">2014-10-19T17:06:00Z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http://www.zotero.org/styles/scientific-reports</vt:lpwstr>
  </property>
  <property fmtid="{D5CDD505-2E9C-101B-9397-08002B2CF9AE}" pid="20" name="Mendeley Recent Style Name 7_1">
    <vt:lpwstr>Scientific Reports</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