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commentRangeStart w:id="0"/>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commentRangeEnd w:id="0"/>
      <w:r w:rsidR="00F90CFD">
        <w:rPr>
          <w:rStyle w:val="CommentReference"/>
        </w:rPr>
        <w:commentReference w:id="0"/>
      </w:r>
    </w:p>
    <w:p w14:paraId="4F9DEA7F" w14:textId="056FE1FD"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 xml:space="preserve">In addition, the patients and controls are not age matched; while age has been shown to influence adipose tissue biology. </w:t>
      </w:r>
    </w:p>
    <w:p w14:paraId="70BDC089" w14:textId="53D3C7AF"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w:t>
      </w:r>
      <w:r w:rsidR="00391B07">
        <w:rPr>
          <w:rFonts w:ascii="Times New Roman" w:hAnsi="Times New Roman" w:cs="Times New Roman"/>
          <w:b/>
          <w:color w:val="333333"/>
        </w:rPr>
        <w:t>bjects whom were over or above 6</w:t>
      </w:r>
      <w:r>
        <w:rPr>
          <w:rFonts w:ascii="Times New Roman" w:hAnsi="Times New Roman" w:cs="Times New Roman"/>
          <w:b/>
          <w:color w:val="333333"/>
        </w:rPr>
        <w:t>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To account for potential age-dependent changes in the subjects, we separated the patients into two groups, based on the median value, under 60 years of age versus 60 and above. We then added this age group as a covariate along with the disease state..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691C4819" w:rsidR="000970F4" w:rsidRDefault="00F45F82" w:rsidP="00F10F3B">
      <w:pPr>
        <w:spacing w:after="240"/>
        <w:rPr>
          <w:rFonts w:ascii="Times New Roman" w:hAnsi="Times New Roman" w:cs="Times New Roman"/>
          <w:b/>
          <w:color w:val="333333"/>
        </w:rPr>
      </w:pPr>
      <w:r>
        <w:rPr>
          <w:rFonts w:ascii="Times New Roman" w:hAnsi="Times New Roman" w:cs="Times New Roman"/>
          <w:b/>
          <w:noProof/>
          <w:color w:val="333333"/>
        </w:rPr>
        <mc:AlternateContent>
          <mc:Choice Requires="wps">
            <w:drawing>
              <wp:anchor distT="0" distB="0" distL="114300" distR="114300" simplePos="0" relativeHeight="251659264" behindDoc="0" locked="0" layoutInCell="1" allowOverlap="1" wp14:anchorId="7673F177" wp14:editId="47C649AA">
                <wp:simplePos x="0" y="0"/>
                <wp:positionH relativeFrom="column">
                  <wp:posOffset>2743200</wp:posOffset>
                </wp:positionH>
                <wp:positionV relativeFrom="paragraph">
                  <wp:posOffset>685800</wp:posOffset>
                </wp:positionV>
                <wp:extent cx="2628900" cy="4572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6C1E4" w14:textId="5EAB4E78" w:rsidR="00391B07" w:rsidRDefault="00391B07">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391B07" w:rsidRPr="00F45F82" w:rsidRDefault="00391B07">
                            <w:r>
                              <w:rPr>
                                <w:b/>
                              </w:rPr>
                              <w:t>Figure 1: Principal component analysis of RNAseq data.</w:t>
                            </w:r>
                            <w:r>
                              <w:t xml:space="preserve">  Principal component analysis of normalized and variance stabilization transformed counts data for all transcripts.  Shows good separation, along the first principal component of older and younger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54pt;width:207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" filled="f" stroked="f">
                <v:textbox>
                  <w:txbxContent>
                    <w:p w14:paraId="20F6C1E4" w14:textId="5EAB4E78" w:rsidR="00BA7909" w:rsidRDefault="00BA7909">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BA7909" w:rsidRPr="00F45F82" w:rsidRDefault="00BA7909">
                      <w:r>
                        <w:rPr>
                          <w:b/>
                        </w:rPr>
                        <w:t xml:space="preserve">Figure 1: Principal component analysis of </w:t>
                      </w:r>
                      <w:proofErr w:type="spellStart"/>
                      <w:r>
                        <w:rPr>
                          <w:b/>
                        </w:rPr>
                        <w:t>RNAseq</w:t>
                      </w:r>
                      <w:proofErr w:type="spellEnd"/>
                      <w:r>
                        <w:rPr>
                          <w:b/>
                        </w:rPr>
                        <w:t xml:space="preserve"> data.</w:t>
                      </w:r>
                      <w:r>
                        <w:t xml:space="preserve">  Principal component analysis of normalized and variance stabilization transformed counts data for all transcripts.  Shows good separation, along the first principal component of older and younger patients.</w:t>
                      </w:r>
                    </w:p>
                  </w:txbxContent>
                </v:textbox>
                <w10:wrap type="square"/>
              </v:shape>
            </w:pict>
          </mc:Fallback>
        </mc:AlternateContent>
      </w:r>
      <w:r w:rsidR="003A69C1">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w:t>
      </w:r>
      <w:r w:rsidR="00615741">
        <w:rPr>
          <w:rFonts w:ascii="Times New Roman" w:hAnsi="Times New Roman" w:cs="Times New Roman"/>
          <w:b/>
          <w:color w:val="333333"/>
        </w:rPr>
        <w:t>We also tested whether there were a</w:t>
      </w:r>
      <w:r w:rsidR="00391B07">
        <w:rPr>
          <w:rFonts w:ascii="Times New Roman" w:hAnsi="Times New Roman" w:cs="Times New Roman"/>
          <w:b/>
          <w:color w:val="333333"/>
        </w:rPr>
        <w:t>ge-dep</w:t>
      </w:r>
      <w:r w:rsidR="00615741">
        <w:rPr>
          <w:rFonts w:ascii="Times New Roman" w:hAnsi="Times New Roman" w:cs="Times New Roman"/>
          <w:b/>
          <w:color w:val="333333"/>
        </w:rPr>
        <w:t xml:space="preserve">endent differences in either our control or acromegalic groups and found 1 significantly different gene in the acromegalic group and none within the control group.  </w:t>
      </w:r>
      <w:r w:rsidR="00475D45">
        <w:rPr>
          <w:rFonts w:ascii="Times New Roman" w:hAnsi="Times New Roman" w:cs="Times New Roman"/>
          <w:b/>
          <w:color w:val="333333"/>
        </w:rPr>
        <w:t xml:space="preserve">This is now described in the results section </w:t>
      </w:r>
      <w:r w:rsidR="006A1D5B">
        <w:rPr>
          <w:rFonts w:ascii="Times New Roman" w:hAnsi="Times New Roman" w:cs="Times New Roman"/>
          <w:b/>
          <w:color w:val="333333"/>
        </w:rPr>
        <w:t>with updated p-values adjusting for the age differences.</w:t>
      </w:r>
    </w:p>
    <w:p w14:paraId="34041E30" w14:textId="7429FC65" w:rsidR="000C42E5" w:rsidRPr="000C42E5" w:rsidRDefault="006A311E" w:rsidP="00F10F3B">
      <w:pPr>
        <w:spacing w:after="240"/>
        <w:rPr>
          <w:rFonts w:ascii="Times New Roman" w:hAnsi="Times New Roman" w:cs="Times New Roman"/>
          <w:b/>
        </w:rPr>
      </w:pPr>
      <w:r>
        <w:rPr>
          <w:rFonts w:ascii="Times New Roman" w:hAnsi="Times New Roman" w:cs="Times New Roman"/>
          <w:b/>
        </w:rPr>
        <w:t xml:space="preserve">As the reviewer suspected, </w:t>
      </w:r>
      <w:r w:rsidR="00391B07">
        <w:rPr>
          <w:rFonts w:ascii="Times New Roman" w:hAnsi="Times New Roman" w:cs="Times New Roman"/>
          <w:b/>
        </w:rPr>
        <w:t>some</w:t>
      </w:r>
      <w:r>
        <w:rPr>
          <w:rFonts w:ascii="Times New Roman" w:hAnsi="Times New Roman" w:cs="Times New Roman"/>
          <w:b/>
        </w:rPr>
        <w:t xml:space="preserve"> previously reported genes and pathways were no longer significantly different after this adjustment, and therefore the results section has been re-written, only taking into account</w:t>
      </w:r>
      <w:r w:rsidR="00391B07">
        <w:rPr>
          <w:rFonts w:ascii="Times New Roman" w:hAnsi="Times New Roman" w:cs="Times New Roman"/>
          <w:b/>
        </w:rPr>
        <w:t xml:space="preserve"> only</w:t>
      </w:r>
      <w:r>
        <w:rPr>
          <w:rFonts w:ascii="Times New Roman" w:hAnsi="Times New Roman" w:cs="Times New Roman"/>
          <w:b/>
        </w:rPr>
        <w:t xml:space="preserve">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genes which are enriched by the age-adjusted analysis cluster in pathway-specific modules, strengthening the biological relevance of our data.</w:t>
      </w:r>
      <w:r w:rsidR="00984A2A">
        <w:rPr>
          <w:rFonts w:ascii="Times New Roman" w:hAnsi="Times New Roman" w:cs="Times New Roman"/>
          <w:b/>
        </w:rPr>
        <w:t xml:space="preserve"> </w:t>
      </w:r>
      <w:r w:rsidR="0012550E">
        <w:rPr>
          <w:rFonts w:ascii="Times New Roman" w:hAnsi="Times New Roman" w:cs="Times New Roman"/>
          <w:b/>
        </w:rPr>
        <w:t xml:space="preserve">  Furthermore, as shown in Figure 1 of this response, adding the age factor into our analysis dramatically improved the clustering of our data, as determined </w:t>
      </w:r>
      <w:r w:rsidR="00F45F82">
        <w:rPr>
          <w:rFonts w:ascii="Times New Roman" w:hAnsi="Times New Roman" w:cs="Times New Roman"/>
          <w:b/>
        </w:rPr>
        <w:t>by principal component analysis, which shows that the first principal component separates older subjects from younger subjects with one exception in each case.</w:t>
      </w:r>
    </w:p>
    <w:p w14:paraId="412B08AE" w14:textId="6A3F3CBF"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4ED3E59E" w14:textId="77777777" w:rsidR="00391B07" w:rsidRDefault="00391B07" w:rsidP="00391B07">
      <w:pPr>
        <w:spacing w:after="240"/>
        <w:rPr>
          <w:rFonts w:ascii="Times New Roman" w:hAnsi="Times New Roman" w:cs="Times New Roman"/>
          <w:b/>
        </w:rPr>
      </w:pPr>
      <w:r>
        <w:rPr>
          <w:rFonts w:ascii="Times New Roman" w:hAnsi="Times New Roman" w:cs="Times New Roman"/>
          <w:b/>
        </w:rPr>
        <w:t xml:space="preserve">As acromegaly is a very slow disease, with a delay of diagnosis of about 10 years in average, we cannot know the exact onset of disease. Exposure to excess growth hormone has most likely been for several years prior to the collection of the biopsy.  </w:t>
      </w:r>
    </w:p>
    <w:p w14:paraId="321CCF9E" w14:textId="52477BE9" w:rsidR="00391B07" w:rsidRDefault="00391B07" w:rsidP="00391B07">
      <w:pPr>
        <w:spacing w:after="240"/>
        <w:rPr>
          <w:rFonts w:ascii="Times New Roman" w:hAnsi="Times New Roman" w:cs="Times New Roman"/>
          <w:b/>
        </w:rPr>
      </w:pPr>
      <w:r>
        <w:rPr>
          <w:rFonts w:ascii="Times New Roman" w:hAnsi="Times New Roman" w:cs="Times New Roman"/>
          <w:b/>
        </w:rPr>
        <w:t>Our two older acromegaly patients also had the mildest disease, with lower IGF1 levels, so we cannot discriminate if their milder gene expression change is secondary to lower GH/IGF1 levels or due to their age. This is mentioned in the results as follows:</w:t>
      </w:r>
    </w:p>
    <w:p w14:paraId="725F5885" w14:textId="3B50A644" w:rsidR="00391B07" w:rsidRPr="00391B07" w:rsidRDefault="00391B07" w:rsidP="00391B07">
      <w:pPr>
        <w:tabs>
          <w:tab w:val="right" w:pos="851"/>
        </w:tabs>
        <w:spacing w:after="240"/>
        <w:ind w:left="709"/>
        <w:rPr>
          <w:rFonts w:ascii="Times New Roman" w:hAnsi="Times New Roman" w:cs="Times New Roman"/>
          <w:b/>
          <w:bCs/>
          <w:color w:val="FF0000"/>
        </w:rPr>
      </w:pPr>
      <w:r w:rsidRPr="002572C7">
        <w:rPr>
          <w:rFonts w:ascii="Times New Roman" w:hAnsi="Times New Roman" w:cs="Times New Roman"/>
          <w:b/>
          <w:bCs/>
          <w:color w:val="FF0000"/>
        </w:rPr>
        <w:t>Note that the older subjects had lower serum IGF-1 than the younger subjects, indicating that circulating IGF-1 levels may correlate with generally reduced transcriptional changes observed in the older acromegalic patients (Figure 3C).</w:t>
      </w:r>
    </w:p>
    <w:p w14:paraId="0EE78517" w14:textId="7F3B467D" w:rsidR="00F10F3B" w:rsidRDefault="00693B7F" w:rsidP="00F10F3B">
      <w:pPr>
        <w:spacing w:after="240"/>
        <w:rPr>
          <w:rFonts w:ascii="Times New Roman" w:hAnsi="Times New Roman" w:cs="Times New Roman"/>
          <w:b/>
        </w:rPr>
      </w:pPr>
      <w:r>
        <w:rPr>
          <w:rFonts w:ascii="Times New Roman" w:hAnsi="Times New Roman" w:cs="Times New Roman"/>
          <w:b/>
        </w:rPr>
        <w:t>Consistent with this</w:t>
      </w:r>
      <w:r w:rsidR="00F10F3B">
        <w:rPr>
          <w:rFonts w:ascii="Times New Roman" w:hAnsi="Times New Roman" w:cs="Times New Roman"/>
          <w:b/>
        </w:rPr>
        <w:t xml:space="preserve">, we found that the magnitude of the differences between older and younger acromegalics tended to </w:t>
      </w:r>
      <w:r>
        <w:rPr>
          <w:rFonts w:ascii="Times New Roman" w:hAnsi="Times New Roman" w:cs="Times New Roman"/>
          <w:b/>
        </w:rPr>
        <w:t xml:space="preserve">also </w:t>
      </w:r>
      <w:r w:rsidR="00F10F3B">
        <w:rPr>
          <w:rFonts w:ascii="Times New Roman" w:hAnsi="Times New Roman" w:cs="Times New Roman"/>
          <w:b/>
        </w:rPr>
        <w:t xml:space="preserve">be smaller.  </w:t>
      </w:r>
      <w:r>
        <w:rPr>
          <w:rFonts w:ascii="Times New Roman" w:hAnsi="Times New Roman" w:cs="Times New Roman"/>
          <w:b/>
        </w:rPr>
        <w:t>Again, whether</w:t>
      </w:r>
      <w:r w:rsidR="00F10F3B">
        <w:rPr>
          <w:rFonts w:ascii="Times New Roman" w:hAnsi="Times New Roman" w:cs="Times New Roman"/>
          <w:b/>
        </w:rPr>
        <w:t xml:space="preserve">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To address the reproducibility of our findings, we have extensively compared our findings to published data both from single gene studies and from microarray studies on tissue culture cells.  Neither of these are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46FBDCDB"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qPCR studies to ‘re-validate’ some of our gene-expression findings but there is little evidence that qPCR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qPCR and RNAseq data </w:t>
      </w:r>
      <w:r w:rsidR="00467E63" w:rsidRPr="004D2AFD">
        <w:rPr>
          <w:rFonts w:ascii="Times New Roman" w:hAnsi="Times New Roman" w:cs="Times New Roman"/>
          <w:b/>
          <w:color w:val="333333"/>
        </w:rPr>
        <w:fldChar w:fldCharType="begin" w:fldLock="1"/>
      </w:r>
      <w:r w:rsidR="00E7716D">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"(Asmann et al., 2009; Griffith et al., 2010; Shi &amp; He, 2014; Wu et al., 2014)"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4D2AFD" w:rsidRPr="004D2AFD">
        <w:rPr>
          <w:rFonts w:ascii="Times New Roman" w:hAnsi="Times New Roman" w:cs="Times New Roman"/>
          <w:b/>
          <w:noProof/>
          <w:color w:val="333333"/>
        </w:rPr>
        <w:t>(Asmann et al., 2009; Griffith et al., 2010; Shi &amp; He, 2014; Wu et al., 2014)</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r>
        <w:rPr>
          <w:rFonts w:ascii="Times New Roman" w:hAnsi="Times New Roman" w:cs="Times New Roman"/>
          <w:b/>
          <w:color w:val="333333"/>
        </w:rPr>
        <w:t>Ideally, we would re-validate our findings in a separate cohort of acromegalic patients, but due to the difficulty in accessing these samples, those experiments are not possible at this time.</w:t>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41121827"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000 000; </w:t>
      </w:r>
      <w:r w:rsidRPr="00E7716D">
        <w:rPr>
          <w:rFonts w:ascii="Times New Roman" w:eastAsia="Times New Roman" w:hAnsi="Times New Roman" w:cs="Times New Roman"/>
          <w:b/>
          <w:color w:val="333333"/>
        </w:rPr>
        <w:fldChar w:fldCharType="begin" w:fldLock="1"/>
      </w:r>
      <w:r w:rsidRPr="00E7716D">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"previouslyFormattedCitation" : "(Ayuk &amp; Sheppard, 2006)"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r w:rsidR="00F90CFD">
        <w:rPr>
          <w:rFonts w:ascii="Times New Roman" w:eastAsia="Times New Roman" w:hAnsi="Times New Roman" w:cs="Times New Roman"/>
          <w:b/>
          <w:color w:val="333333"/>
        </w:rPr>
        <w:t>were</w:t>
      </w:r>
      <w:r w:rsidR="00601395">
        <w:rPr>
          <w:rFonts w:ascii="Times New Roman" w:eastAsia="Times New Roman" w:hAnsi="Times New Roman" w:cs="Times New Roman"/>
          <w:b/>
          <w:color w:val="333333"/>
        </w:rPr>
        <w:t xml:space="preserve"> large variances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acromegalic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11396B86"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speculated as to a role for adipose tissue in IGF1 production, but as the reviewer correctly points out, a direct assessment of the role of adipose tissue IGF1 to to</w:t>
      </w:r>
      <w:r w:rsidR="00F90CFD">
        <w:rPr>
          <w:rFonts w:ascii="Times New Roman" w:eastAsia="Times New Roman" w:hAnsi="Times New Roman" w:cs="Times New Roman"/>
          <w:b/>
          <w:color w:val="333333"/>
        </w:rPr>
        <w:t>tal serum IGF1 would require an</w:t>
      </w:r>
      <w:r>
        <w:rPr>
          <w:rFonts w:ascii="Times New Roman" w:eastAsia="Times New Roman" w:hAnsi="Times New Roman" w:cs="Times New Roman"/>
          <w:b/>
          <w:color w:val="333333"/>
        </w:rPr>
        <w:t xml:space="preserve">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47049D84"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knockout  </w:t>
      </w:r>
      <w:r w:rsidRPr="002B0A3B">
        <w:rPr>
          <w:rFonts w:ascii="Times New Roman" w:eastAsia="Times New Roman" w:hAnsi="Times New Roman" w:cs="Times New Roman"/>
          <w:b/>
          <w:color w:val="FF0000"/>
        </w:rPr>
        <w:fldChar w:fldCharType="begin" w:fldLock="1"/>
      </w:r>
      <w:r w:rsidR="00E7716D">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et al., 2003)"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467E63" w:rsidRPr="00467E63">
        <w:rPr>
          <w:rFonts w:ascii="Times New Roman" w:eastAsia="Times New Roman" w:hAnsi="Times New Roman" w:cs="Times New Roman"/>
          <w:noProof/>
          <w:color w:val="FF0000"/>
        </w:rPr>
        <w:t>(Haluzik et al., 2003)</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191A1E4D" w14:textId="2B731A42" w:rsidR="0099450D" w:rsidRPr="00BA7909" w:rsidRDefault="0099450D" w:rsidP="00BA7909">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acromegalic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t>References</w:t>
      </w:r>
    </w:p>
    <w:p w14:paraId="0DCB0F59" w14:textId="3DA3BB39" w:rsidR="00E7716D" w:rsidRPr="00E7716D" w:rsidRDefault="00467E63">
      <w:pPr>
        <w:pStyle w:val="NormalWeb"/>
        <w:ind w:left="480" w:hanging="480"/>
        <w:divId w:val="387652440"/>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E7716D" w:rsidRPr="00E7716D">
        <w:rPr>
          <w:rFonts w:ascii="Times New Roman" w:hAnsi="Times New Roman"/>
          <w:noProof/>
          <w:sz w:val="24"/>
        </w:rPr>
        <w:t xml:space="preserve">Asmann, Y. W., Klee, E. W., Thompson, E. A., Perez, E. a, Middha, S., Oberg, A. L., … Kocher, J.-P. a. (2009). 3’ tag digital gene expression profiling of human brain and universal reference RNA using Illumina Genome Analyzer. </w:t>
      </w:r>
      <w:r w:rsidR="00E7716D" w:rsidRPr="00E7716D">
        <w:rPr>
          <w:rFonts w:ascii="Times New Roman" w:hAnsi="Times New Roman"/>
          <w:i/>
          <w:iCs/>
          <w:noProof/>
          <w:sz w:val="24"/>
        </w:rPr>
        <w:t>BMC Genomics</w:t>
      </w:r>
      <w:r w:rsidR="00E7716D" w:rsidRPr="00E7716D">
        <w:rPr>
          <w:rFonts w:ascii="Times New Roman" w:hAnsi="Times New Roman"/>
          <w:noProof/>
          <w:sz w:val="24"/>
        </w:rPr>
        <w:t xml:space="preserve">, </w:t>
      </w:r>
      <w:r w:rsidR="00E7716D" w:rsidRPr="00E7716D">
        <w:rPr>
          <w:rFonts w:ascii="Times New Roman" w:hAnsi="Times New Roman"/>
          <w:i/>
          <w:iCs/>
          <w:noProof/>
          <w:sz w:val="24"/>
        </w:rPr>
        <w:t>10</w:t>
      </w:r>
      <w:r w:rsidR="00E7716D" w:rsidRPr="00E7716D">
        <w:rPr>
          <w:rFonts w:ascii="Times New Roman" w:hAnsi="Times New Roman"/>
          <w:noProof/>
          <w:sz w:val="24"/>
        </w:rPr>
        <w:t>, 531. doi:10.1186/1471-2164-10-531</w:t>
      </w:r>
    </w:p>
    <w:p w14:paraId="4218905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Ayuk, J., &amp; Sheppard, M. C. (2006). Growth hormone and its disorders. </w:t>
      </w:r>
      <w:r w:rsidRPr="00E7716D">
        <w:rPr>
          <w:rFonts w:ascii="Times New Roman" w:hAnsi="Times New Roman"/>
          <w:i/>
          <w:iCs/>
          <w:noProof/>
          <w:sz w:val="24"/>
        </w:rPr>
        <w:t>Postgraduate Medical Journal</w:t>
      </w:r>
      <w:r w:rsidRPr="00E7716D">
        <w:rPr>
          <w:rFonts w:ascii="Times New Roman" w:hAnsi="Times New Roman"/>
          <w:noProof/>
          <w:sz w:val="24"/>
        </w:rPr>
        <w:t xml:space="preserve">, </w:t>
      </w:r>
      <w:r w:rsidRPr="00E7716D">
        <w:rPr>
          <w:rFonts w:ascii="Times New Roman" w:hAnsi="Times New Roman"/>
          <w:i/>
          <w:iCs/>
          <w:noProof/>
          <w:sz w:val="24"/>
        </w:rPr>
        <w:t>82</w:t>
      </w:r>
      <w:r w:rsidRPr="00E7716D">
        <w:rPr>
          <w:rFonts w:ascii="Times New Roman" w:hAnsi="Times New Roman"/>
          <w:noProof/>
          <w:sz w:val="24"/>
        </w:rPr>
        <w:t>(963), 24–30. doi:10.1136/pgmj.2005.036087</w:t>
      </w:r>
    </w:p>
    <w:p w14:paraId="4367211E"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Griffith, M., Griffith, O. L., Mwenifumbo, J., Goya, R., Morrissy, a S., Morin, R. D., … Marra, M. a. (2010). Alternative expression analysis by RNA sequencing.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7</w:t>
      </w:r>
      <w:r w:rsidRPr="00E7716D">
        <w:rPr>
          <w:rFonts w:ascii="Times New Roman" w:hAnsi="Times New Roman"/>
          <w:noProof/>
          <w:sz w:val="24"/>
        </w:rPr>
        <w:t>(10), 843–7. doi:10.1038/nmeth.1503</w:t>
      </w:r>
    </w:p>
    <w:p w14:paraId="666E53D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Haluzik, M., Yakar, S., Gavrilova, O., Setser, J., Boisclair, Y., &amp; LeRoith, D. (2003). Insulin resistance in the liver-specific IGF-1 gene-deleted mouse is abrogated by deletion of the acid-labile subunit of the IGF-binding protein-3 complex: relative roles of growth hormone and IGF-1 in insulin resistance. </w:t>
      </w:r>
      <w:r w:rsidRPr="00E7716D">
        <w:rPr>
          <w:rFonts w:ascii="Times New Roman" w:hAnsi="Times New Roman"/>
          <w:i/>
          <w:iCs/>
          <w:noProof/>
          <w:sz w:val="24"/>
        </w:rPr>
        <w:t>Diabetes</w:t>
      </w:r>
      <w:r w:rsidRPr="00E7716D">
        <w:rPr>
          <w:rFonts w:ascii="Times New Roman" w:hAnsi="Times New Roman"/>
          <w:noProof/>
          <w:sz w:val="24"/>
        </w:rPr>
        <w:t xml:space="preserve">, </w:t>
      </w:r>
      <w:r w:rsidRPr="00E7716D">
        <w:rPr>
          <w:rFonts w:ascii="Times New Roman" w:hAnsi="Times New Roman"/>
          <w:i/>
          <w:iCs/>
          <w:noProof/>
          <w:sz w:val="24"/>
        </w:rPr>
        <w:t>52</w:t>
      </w:r>
      <w:r w:rsidRPr="00E7716D">
        <w:rPr>
          <w:rFonts w:ascii="Times New Roman" w:hAnsi="Times New Roman"/>
          <w:noProof/>
          <w:sz w:val="24"/>
        </w:rPr>
        <w:t>(10), 2483–9.</w:t>
      </w:r>
    </w:p>
    <w:p w14:paraId="3194289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Shi, Y., &amp; He, M. (2014). Differential gene expression identified by RNA-Seq and qPCR in two sizes of pearl oyster (Pinctada fucata). </w:t>
      </w:r>
      <w:r w:rsidRPr="00E7716D">
        <w:rPr>
          <w:rFonts w:ascii="Times New Roman" w:hAnsi="Times New Roman"/>
          <w:i/>
          <w:iCs/>
          <w:noProof/>
          <w:sz w:val="24"/>
        </w:rPr>
        <w:t>Gene</w:t>
      </w:r>
      <w:r w:rsidRPr="00E7716D">
        <w:rPr>
          <w:rFonts w:ascii="Times New Roman" w:hAnsi="Times New Roman"/>
          <w:noProof/>
          <w:sz w:val="24"/>
        </w:rPr>
        <w:t xml:space="preserve">, </w:t>
      </w:r>
      <w:r w:rsidRPr="00E7716D">
        <w:rPr>
          <w:rFonts w:ascii="Times New Roman" w:hAnsi="Times New Roman"/>
          <w:i/>
          <w:iCs/>
          <w:noProof/>
          <w:sz w:val="24"/>
        </w:rPr>
        <w:t>538</w:t>
      </w:r>
      <w:r w:rsidRPr="00E7716D">
        <w:rPr>
          <w:rFonts w:ascii="Times New Roman" w:hAnsi="Times New Roman"/>
          <w:noProof/>
          <w:sz w:val="24"/>
        </w:rPr>
        <w:t>(2), 313–22. doi:10.1016/j.gene.2014.01.031</w:t>
      </w:r>
    </w:p>
    <w:p w14:paraId="1BE5100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Wu, A. R., Neff, N. F., Kalisky, T., Dalerba, P., Treutlein, B., Rothenberg, M. E., … Quake, S. R. (2014). Quantitative assessment of single-cell RNA-sequencing methods.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11</w:t>
      </w:r>
      <w:r w:rsidRPr="00E7716D">
        <w:rPr>
          <w:rFonts w:ascii="Times New Roman" w:hAnsi="Times New Roman"/>
          <w:noProof/>
          <w:sz w:val="24"/>
        </w:rPr>
        <w:t>(1), 41–6. doi:10.1038/nmeth.2694</w:t>
      </w:r>
    </w:p>
    <w:p w14:paraId="3390365B" w14:textId="0F7C078A" w:rsidR="00467E63" w:rsidRDefault="00467E63" w:rsidP="00E7716D">
      <w:pPr>
        <w:pStyle w:val="NormalWeb"/>
        <w:ind w:left="480" w:hanging="480"/>
        <w:divId w:val="14215782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15T08:39:00Z" w:initials="DB">
    <w:p w14:paraId="60F1773B" w14:textId="0A78BC8F" w:rsidR="00F90CFD" w:rsidRDefault="00F90CFD">
      <w:pPr>
        <w:pStyle w:val="CommentText"/>
      </w:pPr>
      <w:r>
        <w:rPr>
          <w:rStyle w:val="CommentReference"/>
        </w:rPr>
        <w:annotationRef/>
      </w:r>
      <w:r>
        <w:t>Needs more work</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2550E"/>
    <w:rsid w:val="00152F7A"/>
    <w:rsid w:val="0023524C"/>
    <w:rsid w:val="002A3148"/>
    <w:rsid w:val="002B0A3B"/>
    <w:rsid w:val="00391B07"/>
    <w:rsid w:val="003A0DA8"/>
    <w:rsid w:val="003A69C1"/>
    <w:rsid w:val="00467E63"/>
    <w:rsid w:val="00475D45"/>
    <w:rsid w:val="004D2AFD"/>
    <w:rsid w:val="005225AA"/>
    <w:rsid w:val="005968E7"/>
    <w:rsid w:val="00601395"/>
    <w:rsid w:val="00615741"/>
    <w:rsid w:val="006506EB"/>
    <w:rsid w:val="00681E9D"/>
    <w:rsid w:val="00693B7F"/>
    <w:rsid w:val="006A1D5B"/>
    <w:rsid w:val="006A311E"/>
    <w:rsid w:val="00724917"/>
    <w:rsid w:val="00727C81"/>
    <w:rsid w:val="007E5CA3"/>
    <w:rsid w:val="008158E9"/>
    <w:rsid w:val="00874D76"/>
    <w:rsid w:val="008E1712"/>
    <w:rsid w:val="008E53AA"/>
    <w:rsid w:val="00972CBE"/>
    <w:rsid w:val="00984A2A"/>
    <w:rsid w:val="0099450D"/>
    <w:rsid w:val="00A34EF3"/>
    <w:rsid w:val="00A54A52"/>
    <w:rsid w:val="00A65D98"/>
    <w:rsid w:val="00AC2BD1"/>
    <w:rsid w:val="00AE6B6D"/>
    <w:rsid w:val="00B41A3A"/>
    <w:rsid w:val="00B76650"/>
    <w:rsid w:val="00BA7909"/>
    <w:rsid w:val="00C20609"/>
    <w:rsid w:val="00CD3E5D"/>
    <w:rsid w:val="00E7716D"/>
    <w:rsid w:val="00E95446"/>
    <w:rsid w:val="00ED4A95"/>
    <w:rsid w:val="00F10F3B"/>
    <w:rsid w:val="00F45F82"/>
    <w:rsid w:val="00F90017"/>
    <w:rsid w:val="00F90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10.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4958</Words>
  <Characters>28263</Characters>
  <Application>Microsoft Macintosh Word</Application>
  <DocSecurity>0</DocSecurity>
  <Lines>235</Lines>
  <Paragraphs>66</Paragraphs>
  <ScaleCrop>false</ScaleCrop>
  <Company>UT-HSC</Company>
  <LinksUpToDate>false</LinksUpToDate>
  <CharactersWithSpaces>33155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25</cp:revision>
  <dcterms:created xsi:type="dcterms:W3CDTF">2014-09-23T13:15:00Z</dcterms:created>
  <dcterms:modified xsi:type="dcterms:W3CDTF">2014-10-15T13:39:00Z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