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xml:space="preserve">: The manuscript PONE-D-14-30128 entitled “Gene Expression Signature in Adipose Tissue of Acromegaly Patients” by Hochberg et al. describes the analysis of the adipose tissue </w:t>
      </w:r>
      <w:proofErr w:type="spellStart"/>
      <w:r w:rsidRPr="00C20609">
        <w:rPr>
          <w:rFonts w:ascii="Times New Roman" w:hAnsi="Times New Roman" w:cs="Times New Roman"/>
          <w:color w:val="333333"/>
        </w:rPr>
        <w:t>transcriptome</w:t>
      </w:r>
      <w:proofErr w:type="spellEnd"/>
      <w:r w:rsidRPr="00C20609">
        <w:rPr>
          <w:rFonts w:ascii="Times New Roman" w:hAnsi="Times New Roman" w:cs="Times New Roman"/>
          <w:color w:val="333333"/>
        </w:rPr>
        <w:t xml:space="preserv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 xml:space="preserve">we have mentioned this as a caveat in the discussion with the </w:t>
      </w:r>
      <w:proofErr w:type="gramStart"/>
      <w:r w:rsidR="00AE6B6D">
        <w:rPr>
          <w:rFonts w:ascii="Times New Roman" w:hAnsi="Times New Roman" w:cs="Times New Roman"/>
          <w:b/>
          <w:color w:val="333333"/>
        </w:rPr>
        <w:t>following</w:t>
      </w:r>
      <w:proofErr w:type="gramEnd"/>
      <w:r w:rsidR="00AE6B6D">
        <w:rPr>
          <w:rFonts w:ascii="Times New Roman" w:hAnsi="Times New Roman" w:cs="Times New Roman"/>
          <w:b/>
          <w:color w:val="333333"/>
        </w:rPr>
        <w:t xml:space="preserve">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056FE1FD"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77777777"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 xml:space="preserve">To account for potential age-dependent changes in the subjects, we separated the patients into two groups, based on the median value, </w:t>
      </w:r>
      <w:proofErr w:type="gramStart"/>
      <w:r w:rsidRPr="006A1D5B">
        <w:rPr>
          <w:rFonts w:ascii="Times New Roman" w:hAnsi="Times New Roman" w:cs="Times New Roman"/>
          <w:b/>
          <w:color w:val="FF0000"/>
        </w:rPr>
        <w:t>under</w:t>
      </w:r>
      <w:proofErr w:type="gramEnd"/>
      <w:r w:rsidRPr="006A1D5B">
        <w:rPr>
          <w:rFonts w:ascii="Times New Roman" w:hAnsi="Times New Roman" w:cs="Times New Roman"/>
          <w:b/>
          <w:color w:val="FF0000"/>
        </w:rPr>
        <w:t xml:space="preserve"> 60 years of age versus 60 and above. We then added this age group as a covariate along with the disease state</w:t>
      </w:r>
      <w:proofErr w:type="gramStart"/>
      <w:r w:rsidRPr="006A1D5B">
        <w:rPr>
          <w:rFonts w:ascii="Times New Roman" w:hAnsi="Times New Roman" w:cs="Times New Roman"/>
          <w:b/>
          <w:color w:val="FF0000"/>
        </w:rPr>
        <w:t>..</w:t>
      </w:r>
      <w:proofErr w:type="gramEnd"/>
      <w:r w:rsidRPr="006A1D5B">
        <w:rPr>
          <w:rFonts w:ascii="Times New Roman" w:hAnsi="Times New Roman" w:cs="Times New Roman"/>
          <w:b/>
          <w:color w:val="FF0000"/>
        </w:rPr>
        <w:t xml:space="preserv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303D6B2C" w:rsidR="000970F4" w:rsidRDefault="00F45F82" w:rsidP="00F10F3B">
      <w:pPr>
        <w:spacing w:after="240"/>
        <w:rPr>
          <w:rFonts w:ascii="Times New Roman" w:hAnsi="Times New Roman" w:cs="Times New Roman"/>
          <w:b/>
          <w:color w:val="333333"/>
        </w:rPr>
      </w:pPr>
      <w:r>
        <w:rPr>
          <w:rFonts w:ascii="Times New Roman" w:hAnsi="Times New Roman" w:cs="Times New Roman"/>
          <w:b/>
          <w:noProof/>
          <w:color w:val="333333"/>
        </w:rPr>
        <mc:AlternateContent>
          <mc:Choice Requires="wps">
            <w:drawing>
              <wp:anchor distT="0" distB="0" distL="114300" distR="114300" simplePos="0" relativeHeight="251659264" behindDoc="0" locked="0" layoutInCell="1" allowOverlap="1" wp14:anchorId="7673F177" wp14:editId="47C649AA">
                <wp:simplePos x="0" y="0"/>
                <wp:positionH relativeFrom="column">
                  <wp:posOffset>2743200</wp:posOffset>
                </wp:positionH>
                <wp:positionV relativeFrom="paragraph">
                  <wp:posOffset>685800</wp:posOffset>
                </wp:positionV>
                <wp:extent cx="2628900" cy="4572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6C1E4" w14:textId="5EAB4E78" w:rsidR="00BA7909" w:rsidRDefault="00BA7909">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BA7909" w:rsidRPr="00F45F82" w:rsidRDefault="00BA7909">
                            <w:r>
                              <w:rPr>
                                <w:b/>
                              </w:rPr>
                              <w:t xml:space="preserve">Figure 1: Principal component analysis of </w:t>
                            </w:r>
                            <w:proofErr w:type="spellStart"/>
                            <w:r>
                              <w:rPr>
                                <w:b/>
                              </w:rPr>
                              <w:t>RNAseq</w:t>
                            </w:r>
                            <w:proofErr w:type="spellEnd"/>
                            <w:r>
                              <w:rPr>
                                <w:b/>
                              </w:rPr>
                              <w:t xml:space="preserve"> data.</w:t>
                            </w:r>
                            <w:r>
                              <w:t xml:space="preserve">  Principal component analysis of normalized and variance stabilization transformed counts data for all transcripts.  Shows good separation, along the first principal component of older and younger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54pt;width:207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" filled="f" stroked="f">
                <v:textbox>
                  <w:txbxContent>
                    <w:p w14:paraId="20F6C1E4" w14:textId="5EAB4E78" w:rsidR="00BA7909" w:rsidRDefault="00BA7909">
                      <w:r>
                        <w:rPr>
                          <w:noProof/>
                        </w:rPr>
                        <w:drawing>
                          <wp:inline distT="0" distB="0" distL="0" distR="0" wp14:anchorId="668764C7" wp14:editId="313879F4">
                            <wp:extent cx="2324100" cy="2908300"/>
                            <wp:effectExtent l="0" t="0" r="12700" b="12700"/>
                            <wp:docPr id="2" name="Picture 2" descr="Macintosh HD:Users:davebridges:Documents:Source:CushingAcromegalyStudy:manuscript:Acromegaly-Manuscript:reviews:response-figur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CushingAcromegalyStudy:manuscript:Acromegaly-Manuscript:reviews:response-figures: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908300"/>
                                    </a:xfrm>
                                    <a:prstGeom prst="rect">
                                      <a:avLst/>
                                    </a:prstGeom>
                                    <a:noFill/>
                                    <a:ln>
                                      <a:noFill/>
                                    </a:ln>
                                  </pic:spPr>
                                </pic:pic>
                              </a:graphicData>
                            </a:graphic>
                          </wp:inline>
                        </w:drawing>
                      </w:r>
                    </w:p>
                    <w:p w14:paraId="021919CA" w14:textId="21135AB8" w:rsidR="00BA7909" w:rsidRPr="00F45F82" w:rsidRDefault="00BA7909">
                      <w:r>
                        <w:rPr>
                          <w:b/>
                        </w:rPr>
                        <w:t xml:space="preserve">Figure 1: Principal component analysis of </w:t>
                      </w:r>
                      <w:proofErr w:type="spellStart"/>
                      <w:r>
                        <w:rPr>
                          <w:b/>
                        </w:rPr>
                        <w:t>RNAseq</w:t>
                      </w:r>
                      <w:proofErr w:type="spellEnd"/>
                      <w:r>
                        <w:rPr>
                          <w:b/>
                        </w:rPr>
                        <w:t xml:space="preserve"> data.</w:t>
                      </w:r>
                      <w:r>
                        <w:t xml:space="preserve">  Principal component analysis of normalized and variance stabilization transformed counts data for all transcripts.  Shows good separation, along the first principal component of older and younger patients.</w:t>
                      </w:r>
                    </w:p>
                  </w:txbxContent>
                </v:textbox>
                <w10:wrap type="square"/>
              </v:shape>
            </w:pict>
          </mc:Fallback>
        </mc:AlternateContent>
      </w:r>
      <w:r w:rsidR="003A69C1">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w:t>
      </w:r>
      <w:r w:rsidR="00615741">
        <w:rPr>
          <w:rFonts w:ascii="Times New Roman" w:hAnsi="Times New Roman" w:cs="Times New Roman"/>
          <w:b/>
          <w:color w:val="333333"/>
        </w:rPr>
        <w:t>We also tested whether there were age-</w:t>
      </w:r>
      <w:proofErr w:type="spellStart"/>
      <w:r w:rsidR="00615741">
        <w:rPr>
          <w:rFonts w:ascii="Times New Roman" w:hAnsi="Times New Roman" w:cs="Times New Roman"/>
          <w:b/>
          <w:color w:val="333333"/>
        </w:rPr>
        <w:t>depdendent</w:t>
      </w:r>
      <w:proofErr w:type="spellEnd"/>
      <w:r w:rsidR="00615741">
        <w:rPr>
          <w:rFonts w:ascii="Times New Roman" w:hAnsi="Times New Roman" w:cs="Times New Roman"/>
          <w:b/>
          <w:color w:val="333333"/>
        </w:rPr>
        <w:t xml:space="preserve"> differences in either our control or </w:t>
      </w:r>
      <w:proofErr w:type="spellStart"/>
      <w:r w:rsidR="00615741">
        <w:rPr>
          <w:rFonts w:ascii="Times New Roman" w:hAnsi="Times New Roman" w:cs="Times New Roman"/>
          <w:b/>
          <w:color w:val="333333"/>
        </w:rPr>
        <w:t>acromegalic</w:t>
      </w:r>
      <w:proofErr w:type="spellEnd"/>
      <w:r w:rsidR="00615741">
        <w:rPr>
          <w:rFonts w:ascii="Times New Roman" w:hAnsi="Times New Roman" w:cs="Times New Roman"/>
          <w:b/>
          <w:color w:val="333333"/>
        </w:rPr>
        <w:t xml:space="preserve"> groups and found 1 significantly different gene in the </w:t>
      </w:r>
      <w:proofErr w:type="spellStart"/>
      <w:r w:rsidR="00615741">
        <w:rPr>
          <w:rFonts w:ascii="Times New Roman" w:hAnsi="Times New Roman" w:cs="Times New Roman"/>
          <w:b/>
          <w:color w:val="333333"/>
        </w:rPr>
        <w:t>acromegalic</w:t>
      </w:r>
      <w:proofErr w:type="spellEnd"/>
      <w:r w:rsidR="00615741">
        <w:rPr>
          <w:rFonts w:ascii="Times New Roman" w:hAnsi="Times New Roman" w:cs="Times New Roman"/>
          <w:b/>
          <w:color w:val="333333"/>
        </w:rPr>
        <w:t xml:space="preserve"> group and none within the control group.  </w:t>
      </w:r>
      <w:r w:rsidR="00475D45">
        <w:rPr>
          <w:rFonts w:ascii="Times New Roman" w:hAnsi="Times New Roman" w:cs="Times New Roman"/>
          <w:b/>
          <w:color w:val="333333"/>
        </w:rPr>
        <w:t xml:space="preserve">This is now described in the results section </w:t>
      </w:r>
      <w:r w:rsidR="006A1D5B">
        <w:rPr>
          <w:rFonts w:ascii="Times New Roman" w:hAnsi="Times New Roman" w:cs="Times New Roman"/>
          <w:b/>
          <w:color w:val="333333"/>
        </w:rPr>
        <w:t>with updated p-values adjusting for the age differences.</w:t>
      </w:r>
    </w:p>
    <w:p w14:paraId="34041E30" w14:textId="5D1BED90" w:rsidR="000C42E5" w:rsidRPr="000C42E5" w:rsidRDefault="006A311E" w:rsidP="00F10F3B">
      <w:pPr>
        <w:spacing w:after="240"/>
        <w:rPr>
          <w:rFonts w:ascii="Times New Roman" w:hAnsi="Times New Roman" w:cs="Times New Roman"/>
          <w:b/>
        </w:rPr>
      </w:pPr>
      <w:r>
        <w:rPr>
          <w:rFonts w:ascii="Times New Roman" w:hAnsi="Times New Roman" w:cs="Times New Roman"/>
          <w:b/>
        </w:rPr>
        <w:t>As the reviewer suspected, several previously reported genes and pathways were no longer significantly different after this adjustment, and therefore the results section has been re-written, only taking into account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w:t>
      </w:r>
      <w:proofErr w:type="gramStart"/>
      <w:r w:rsidR="003A0DA8">
        <w:rPr>
          <w:rFonts w:ascii="Times New Roman" w:hAnsi="Times New Roman" w:cs="Times New Roman"/>
          <w:b/>
        </w:rPr>
        <w:t>genes which are enriched by the age-adjusted analysis</w:t>
      </w:r>
      <w:proofErr w:type="gramEnd"/>
      <w:r w:rsidR="003A0DA8">
        <w:rPr>
          <w:rFonts w:ascii="Times New Roman" w:hAnsi="Times New Roman" w:cs="Times New Roman"/>
          <w:b/>
        </w:rPr>
        <w:t xml:space="preserve"> cluster in pathway-specific modules, strengthening the biological relevance of our data.</w:t>
      </w:r>
      <w:r w:rsidR="00984A2A">
        <w:rPr>
          <w:rFonts w:ascii="Times New Roman" w:hAnsi="Times New Roman" w:cs="Times New Roman"/>
          <w:b/>
        </w:rPr>
        <w:t xml:space="preserve"> </w:t>
      </w:r>
      <w:r w:rsidR="0012550E">
        <w:rPr>
          <w:rFonts w:ascii="Times New Roman" w:hAnsi="Times New Roman" w:cs="Times New Roman"/>
          <w:b/>
        </w:rPr>
        <w:t xml:space="preserve">  Furthermore, as shown in Figure 1 of this response, adding the age factor into our analysis dramatically improved the clustering of our data, as determined </w:t>
      </w:r>
      <w:r w:rsidR="00F45F82">
        <w:rPr>
          <w:rFonts w:ascii="Times New Roman" w:hAnsi="Times New Roman" w:cs="Times New Roman"/>
          <w:b/>
        </w:rPr>
        <w:t>by principal component analysis, which shows that the first principal component separates older subjects from younger subjects with one exception in each case.</w:t>
      </w:r>
    </w:p>
    <w:p w14:paraId="412B08AE" w14:textId="6A3F3CBF"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0EE78517" w14:textId="4D5444CB" w:rsidR="00F10F3B" w:rsidRDefault="00F10F3B" w:rsidP="00F10F3B">
      <w:pPr>
        <w:spacing w:after="240"/>
        <w:rPr>
          <w:rFonts w:ascii="Times New Roman" w:hAnsi="Times New Roman" w:cs="Times New Roman"/>
          <w:b/>
        </w:rPr>
      </w:pPr>
      <w:r>
        <w:rPr>
          <w:rFonts w:ascii="Times New Roman" w:hAnsi="Times New Roman" w:cs="Times New Roman"/>
          <w:b/>
        </w:rPr>
        <w:t xml:space="preserve">Interestingly, we found that the magnitude of the differences between older and younger </w:t>
      </w:r>
      <w:proofErr w:type="spellStart"/>
      <w:r>
        <w:rPr>
          <w:rFonts w:ascii="Times New Roman" w:hAnsi="Times New Roman" w:cs="Times New Roman"/>
          <w:b/>
        </w:rPr>
        <w:t>acromegalics</w:t>
      </w:r>
      <w:proofErr w:type="spellEnd"/>
      <w:r>
        <w:rPr>
          <w:rFonts w:ascii="Times New Roman" w:hAnsi="Times New Roman" w:cs="Times New Roman"/>
          <w:b/>
        </w:rPr>
        <w:t xml:space="preserve"> tended to be smaller.  Whether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w:t>
      </w:r>
      <w:proofErr w:type="spellStart"/>
      <w:r w:rsidRPr="00F10F3B">
        <w:rPr>
          <w:rFonts w:ascii="Times New Roman" w:hAnsi="Times New Roman" w:cs="Times New Roman"/>
          <w:b/>
          <w:color w:val="FF0000"/>
        </w:rPr>
        <w:t>acromegalic</w:t>
      </w:r>
      <w:proofErr w:type="spellEnd"/>
      <w:r w:rsidRPr="00F10F3B">
        <w:rPr>
          <w:rFonts w:ascii="Times New Roman" w:hAnsi="Times New Roman" w:cs="Times New Roman"/>
          <w:b/>
          <w:color w:val="FF0000"/>
        </w:rPr>
        <w:t xml:space="preserve"> patients than for younger patients.  We are unable to determine from our study how long patients were </w:t>
      </w:r>
      <w:proofErr w:type="spellStart"/>
      <w:r w:rsidRPr="00F10F3B">
        <w:rPr>
          <w:rFonts w:ascii="Times New Roman" w:hAnsi="Times New Roman" w:cs="Times New Roman"/>
          <w:b/>
          <w:color w:val="FF0000"/>
        </w:rPr>
        <w:t>acromegalic</w:t>
      </w:r>
      <w:proofErr w:type="spellEnd"/>
      <w:r w:rsidRPr="00F10F3B">
        <w:rPr>
          <w:rFonts w:ascii="Times New Roman" w:hAnsi="Times New Roman" w:cs="Times New Roman"/>
          <w:b/>
          <w:color w:val="FF0000"/>
        </w:rPr>
        <w:t xml:space="preserve">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commentRangeStart w:id="0"/>
      <w:r w:rsidRPr="00C20609">
        <w:rPr>
          <w:rFonts w:ascii="Times New Roman" w:hAnsi="Times New Roman" w:cs="Times New Roman"/>
          <w:color w:val="333333"/>
        </w:rPr>
        <w:t xml:space="preserve">Regarding the experimental approach, it seems that the authors did not further validate the </w:t>
      </w:r>
      <w:proofErr w:type="spellStart"/>
      <w:r w:rsidRPr="00C20609">
        <w:rPr>
          <w:rFonts w:ascii="Times New Roman" w:hAnsi="Times New Roman" w:cs="Times New Roman"/>
          <w:color w:val="333333"/>
        </w:rPr>
        <w:t>transcriptomic</w:t>
      </w:r>
      <w:proofErr w:type="spellEnd"/>
      <w:r w:rsidRPr="00C20609">
        <w:rPr>
          <w:rFonts w:ascii="Times New Roman" w:hAnsi="Times New Roman" w:cs="Times New Roman"/>
          <w:color w:val="333333"/>
        </w:rPr>
        <w:t xml:space="preserve"> analysis by </w:t>
      </w:r>
      <w:proofErr w:type="spellStart"/>
      <w:r w:rsidRPr="00C20609">
        <w:rPr>
          <w:rFonts w:ascii="Times New Roman" w:hAnsi="Times New Roman" w:cs="Times New Roman"/>
          <w:color w:val="333333"/>
        </w:rPr>
        <w:t>qPCR</w:t>
      </w:r>
      <w:proofErr w:type="spellEnd"/>
      <w:r w:rsidRPr="00C20609">
        <w:rPr>
          <w:rFonts w:ascii="Times New Roman" w:hAnsi="Times New Roman" w:cs="Times New Roman"/>
          <w:color w:val="333333"/>
        </w:rPr>
        <w:t xml:space="preserve"> or western-blot, which drastically lessen the reliability of the results. </w:t>
      </w:r>
      <w:commentRangeEnd w:id="0"/>
      <w:r w:rsidR="006A311E">
        <w:rPr>
          <w:rStyle w:val="CommentReference"/>
        </w:rPr>
        <w:commentReference w:id="0"/>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 xml:space="preserve">To address the reproducibility of our findings, we have extensively compared our findings to published data both from single gene studies and from microarray studies on tissue culture cells.  Neither of these </w:t>
      </w:r>
      <w:proofErr w:type="gramStart"/>
      <w:r>
        <w:rPr>
          <w:rFonts w:ascii="Times New Roman" w:hAnsi="Times New Roman" w:cs="Times New Roman"/>
          <w:b/>
          <w:color w:val="333333"/>
        </w:rPr>
        <w:t>are</w:t>
      </w:r>
      <w:proofErr w:type="gramEnd"/>
      <w:r>
        <w:rPr>
          <w:rFonts w:ascii="Times New Roman" w:hAnsi="Times New Roman" w:cs="Times New Roman"/>
          <w:b/>
          <w:color w:val="333333"/>
        </w:rPr>
        <w:t xml:space="preserv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46FBDCDB"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w:t>
      </w:r>
      <w:proofErr w:type="spellStart"/>
      <w:r>
        <w:rPr>
          <w:rFonts w:ascii="Times New Roman" w:hAnsi="Times New Roman" w:cs="Times New Roman"/>
          <w:b/>
          <w:color w:val="333333"/>
        </w:rPr>
        <w:t>qPCR</w:t>
      </w:r>
      <w:proofErr w:type="spellEnd"/>
      <w:r>
        <w:rPr>
          <w:rFonts w:ascii="Times New Roman" w:hAnsi="Times New Roman" w:cs="Times New Roman"/>
          <w:b/>
          <w:color w:val="333333"/>
        </w:rPr>
        <w:t xml:space="preserve"> studies to ‘re-validate’ some of our gene-expression findings but there is little evidence that </w:t>
      </w:r>
      <w:proofErr w:type="spellStart"/>
      <w:r>
        <w:rPr>
          <w:rFonts w:ascii="Times New Roman" w:hAnsi="Times New Roman" w:cs="Times New Roman"/>
          <w:b/>
          <w:color w:val="333333"/>
        </w:rPr>
        <w:t>qPCR</w:t>
      </w:r>
      <w:proofErr w:type="spellEnd"/>
      <w:r>
        <w:rPr>
          <w:rFonts w:ascii="Times New Roman" w:hAnsi="Times New Roman" w:cs="Times New Roman"/>
          <w:b/>
          <w:color w:val="333333"/>
        </w:rPr>
        <w:t xml:space="preserve">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w:t>
      </w:r>
      <w:proofErr w:type="spellStart"/>
      <w:r w:rsidR="00467E63">
        <w:rPr>
          <w:rFonts w:ascii="Times New Roman" w:hAnsi="Times New Roman" w:cs="Times New Roman"/>
          <w:b/>
          <w:color w:val="333333"/>
        </w:rPr>
        <w:t>qPCR</w:t>
      </w:r>
      <w:proofErr w:type="spellEnd"/>
      <w:r w:rsidR="00467E63">
        <w:rPr>
          <w:rFonts w:ascii="Times New Roman" w:hAnsi="Times New Roman" w:cs="Times New Roman"/>
          <w:b/>
          <w:color w:val="333333"/>
        </w:rPr>
        <w:t xml:space="preserve"> and </w:t>
      </w:r>
      <w:proofErr w:type="spellStart"/>
      <w:r w:rsidR="00467E63">
        <w:rPr>
          <w:rFonts w:ascii="Times New Roman" w:hAnsi="Times New Roman" w:cs="Times New Roman"/>
          <w:b/>
          <w:color w:val="333333"/>
        </w:rPr>
        <w:t>RNAseq</w:t>
      </w:r>
      <w:proofErr w:type="spellEnd"/>
      <w:r w:rsidR="00467E63">
        <w:rPr>
          <w:rFonts w:ascii="Times New Roman" w:hAnsi="Times New Roman" w:cs="Times New Roman"/>
          <w:b/>
          <w:color w:val="333333"/>
        </w:rPr>
        <w:t xml:space="preserve"> data </w:t>
      </w:r>
      <w:r w:rsidR="00467E63" w:rsidRPr="004D2AFD">
        <w:rPr>
          <w:rFonts w:ascii="Times New Roman" w:hAnsi="Times New Roman" w:cs="Times New Roman"/>
          <w:b/>
          <w:color w:val="333333"/>
        </w:rPr>
        <w:fldChar w:fldCharType="begin" w:fldLock="1"/>
      </w:r>
      <w:r w:rsidR="00E7716D">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"(Asmann et al., 2009; Griffith et al., 2010; Shi &amp; He, 2014; Wu et al., 2014)"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4D2AFD" w:rsidRPr="004D2AFD">
        <w:rPr>
          <w:rFonts w:ascii="Times New Roman" w:hAnsi="Times New Roman" w:cs="Times New Roman"/>
          <w:b/>
          <w:noProof/>
          <w:color w:val="333333"/>
        </w:rPr>
        <w:t>(Asmann et al., 2009; Griffith et al., 2010; Shi &amp; He, 2014; Wu et al., 2014)</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commentRangeStart w:id="1"/>
      <w:r>
        <w:rPr>
          <w:rFonts w:ascii="Times New Roman" w:hAnsi="Times New Roman" w:cs="Times New Roman"/>
          <w:b/>
          <w:color w:val="333333"/>
        </w:rPr>
        <w:t xml:space="preserve">Ideally, we would re-validate our findings in a separate cohort of </w:t>
      </w:r>
      <w:proofErr w:type="spellStart"/>
      <w:r>
        <w:rPr>
          <w:rFonts w:ascii="Times New Roman" w:hAnsi="Times New Roman" w:cs="Times New Roman"/>
          <w:b/>
          <w:color w:val="333333"/>
        </w:rPr>
        <w:t>acromegalic</w:t>
      </w:r>
      <w:proofErr w:type="spellEnd"/>
      <w:r>
        <w:rPr>
          <w:rFonts w:ascii="Times New Roman" w:hAnsi="Times New Roman" w:cs="Times New Roman"/>
          <w:b/>
          <w:color w:val="333333"/>
        </w:rPr>
        <w:t xml:space="preserve"> patients, but due to the difficulty in accessing these samples, those experiments are not possible at this time.</w:t>
      </w:r>
      <w:commentRangeEnd w:id="1"/>
      <w:r w:rsidR="004D2AFD">
        <w:rPr>
          <w:rStyle w:val="CommentReference"/>
        </w:rPr>
        <w:commentReference w:id="1"/>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 xml:space="preserve">The missing two patients for whom we had phenotypic data but not </w:t>
      </w:r>
      <w:proofErr w:type="spellStart"/>
      <w:r>
        <w:rPr>
          <w:rFonts w:ascii="Times New Roman" w:hAnsi="Times New Roman" w:cs="Times New Roman"/>
          <w:b/>
          <w:color w:val="333333"/>
        </w:rPr>
        <w:t>RNAseq</w:t>
      </w:r>
      <w:proofErr w:type="spellEnd"/>
      <w:r>
        <w:rPr>
          <w:rFonts w:ascii="Times New Roman" w:hAnsi="Times New Roman" w:cs="Times New Roman"/>
          <w:b/>
          <w:color w:val="333333"/>
        </w:rPr>
        <w:t xml:space="preserve">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 xml:space="preserve">These subjects corresponded to the patients described in Table 1, with the exception of subjects 29 and 31 (both acromegaly patients), which had clinical data but no </w:t>
      </w:r>
      <w:proofErr w:type="spellStart"/>
      <w:r w:rsidRPr="00A65D98">
        <w:rPr>
          <w:rFonts w:ascii="Times New Roman" w:hAnsi="Times New Roman" w:cs="Times New Roman"/>
          <w:b/>
          <w:color w:val="FF0000"/>
        </w:rPr>
        <w:t>RNAseq</w:t>
      </w:r>
      <w:proofErr w:type="spellEnd"/>
      <w:r w:rsidRPr="00A65D98">
        <w:rPr>
          <w:rFonts w:ascii="Times New Roman" w:hAnsi="Times New Roman" w:cs="Times New Roman"/>
          <w:b/>
          <w:color w:val="FF0000"/>
        </w:rPr>
        <w:t xml:space="preserve">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 xml:space="preserve">Several of the results presented herein (glucose levels, insulin levels, </w:t>
      </w:r>
      <w:proofErr w:type="spellStart"/>
      <w:r w:rsidRPr="00C20609">
        <w:rPr>
          <w:rFonts w:ascii="Times New Roman" w:eastAsia="Times New Roman" w:hAnsi="Times New Roman" w:cs="Times New Roman"/>
          <w:color w:val="333333"/>
        </w:rPr>
        <w:t>lipolytic</w:t>
      </w:r>
      <w:proofErr w:type="spellEnd"/>
      <w:r w:rsidRPr="00C20609">
        <w:rPr>
          <w:rFonts w:ascii="Times New Roman" w:eastAsia="Times New Roman" w:hAnsi="Times New Roman" w:cs="Times New Roman"/>
          <w:color w:val="333333"/>
        </w:rPr>
        <w:t xml:space="preserve">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6FEA0BA7"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w:t>
      </w:r>
      <w:proofErr w:type="spellStart"/>
      <w:r w:rsidRPr="00E7716D">
        <w:rPr>
          <w:rFonts w:ascii="Times New Roman" w:eastAsia="Times New Roman" w:hAnsi="Times New Roman" w:cs="Times New Roman"/>
          <w:b/>
          <w:color w:val="333333"/>
        </w:rPr>
        <w:t>000</w:t>
      </w:r>
      <w:proofErr w:type="spellEnd"/>
      <w:r w:rsidRPr="00E7716D">
        <w:rPr>
          <w:rFonts w:ascii="Times New Roman" w:eastAsia="Times New Roman" w:hAnsi="Times New Roman" w:cs="Times New Roman"/>
          <w:b/>
          <w:color w:val="333333"/>
        </w:rPr>
        <w:t xml:space="preserve">; </w:t>
      </w:r>
      <w:r w:rsidRPr="00E7716D">
        <w:rPr>
          <w:rFonts w:ascii="Times New Roman" w:eastAsia="Times New Roman" w:hAnsi="Times New Roman" w:cs="Times New Roman"/>
          <w:b/>
          <w:color w:val="333333"/>
        </w:rPr>
        <w:fldChar w:fldCharType="begin" w:fldLock="1"/>
      </w:r>
      <w:r w:rsidRPr="00E7716D">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"previouslyFormattedCitation" : "(Ayuk &amp; Sheppard, 2006)"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proofErr w:type="gramStart"/>
      <w:r w:rsidR="00601395">
        <w:rPr>
          <w:rFonts w:ascii="Times New Roman" w:eastAsia="Times New Roman" w:hAnsi="Times New Roman" w:cs="Times New Roman"/>
          <w:b/>
          <w:color w:val="333333"/>
        </w:rPr>
        <w:t>was large variances</w:t>
      </w:r>
      <w:proofErr w:type="gramEnd"/>
      <w:r w:rsidR="00601395">
        <w:rPr>
          <w:rFonts w:ascii="Times New Roman" w:eastAsia="Times New Roman" w:hAnsi="Times New Roman" w:cs="Times New Roman"/>
          <w:b/>
          <w:color w:val="333333"/>
        </w:rPr>
        <w:t xml:space="preserve">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w:t>
      </w:r>
      <w:proofErr w:type="spellStart"/>
      <w:r w:rsidR="00681E9D">
        <w:rPr>
          <w:rFonts w:ascii="Times New Roman" w:eastAsia="Times New Roman" w:hAnsi="Times New Roman" w:cs="Times New Roman"/>
          <w:b/>
          <w:color w:val="333333"/>
        </w:rPr>
        <w:t>acromegalic</w:t>
      </w:r>
      <w:proofErr w:type="spellEnd"/>
      <w:r w:rsidR="00681E9D">
        <w:rPr>
          <w:rFonts w:ascii="Times New Roman" w:eastAsia="Times New Roman" w:hAnsi="Times New Roman" w:cs="Times New Roman"/>
          <w:b/>
          <w:color w:val="333333"/>
        </w:rPr>
        <w:t xml:space="preserve">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2D99FE7C"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We have speculated as to a role for adipose tissue in IGF1 production, but as the reviewer correctly points out, a direct assessment of the role of adipose tissue IGF1 to total serum IGF1 would require and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47049D84"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w:t>
      </w:r>
      <w:proofErr w:type="gramStart"/>
      <w:r w:rsidRPr="002B0A3B">
        <w:rPr>
          <w:rFonts w:ascii="Times New Roman" w:eastAsia="Times New Roman" w:hAnsi="Times New Roman" w:cs="Times New Roman"/>
          <w:b/>
          <w:color w:val="FF0000"/>
        </w:rPr>
        <w:t xml:space="preserve">knockout  </w:t>
      </w:r>
      <w:proofErr w:type="gramEnd"/>
      <w:r w:rsidRPr="002B0A3B">
        <w:rPr>
          <w:rFonts w:ascii="Times New Roman" w:eastAsia="Times New Roman" w:hAnsi="Times New Roman" w:cs="Times New Roman"/>
          <w:b/>
          <w:color w:val="FF0000"/>
        </w:rPr>
        <w:fldChar w:fldCharType="begin" w:fldLock="1"/>
      </w:r>
      <w:r w:rsidR="00E7716D">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et al., 2003)"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467E63" w:rsidRPr="00467E63">
        <w:rPr>
          <w:rFonts w:ascii="Times New Roman" w:eastAsia="Times New Roman" w:hAnsi="Times New Roman" w:cs="Times New Roman"/>
          <w:noProof/>
          <w:color w:val="FF0000"/>
        </w:rPr>
        <w:t>(Haluzik et al., 2003)</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w:t>
      </w:r>
      <w:proofErr w:type="spellStart"/>
      <w:r w:rsidRPr="002B0A3B">
        <w:rPr>
          <w:rFonts w:ascii="Times New Roman" w:eastAsia="Times New Roman" w:hAnsi="Times New Roman" w:cs="Times New Roman"/>
          <w:b/>
          <w:color w:val="FF0000"/>
        </w:rPr>
        <w:t>acromegalic</w:t>
      </w:r>
      <w:proofErr w:type="spellEnd"/>
      <w:r w:rsidRPr="002B0A3B">
        <w:rPr>
          <w:rFonts w:ascii="Times New Roman" w:eastAsia="Times New Roman" w:hAnsi="Times New Roman" w:cs="Times New Roman"/>
          <w:b/>
          <w:color w:val="FF0000"/>
        </w:rPr>
        <w:t xml:space="preserve">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191A1E4D" w14:textId="2B731A42" w:rsidR="0099450D" w:rsidRPr="00BA7909" w:rsidRDefault="0099450D" w:rsidP="00BA7909">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bookmarkStart w:id="3" w:name="_GoBack"/>
      <w:bookmarkEnd w:id="3"/>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w:t>
      </w:r>
      <w:proofErr w:type="spellStart"/>
      <w:r w:rsidRPr="0099450D">
        <w:rPr>
          <w:rFonts w:ascii="Times New Roman" w:hAnsi="Times New Roman" w:cs="Times New Roman"/>
          <w:b/>
          <w:color w:val="FF0000"/>
        </w:rPr>
        <w:t>acromegalic</w:t>
      </w:r>
      <w:proofErr w:type="spellEnd"/>
      <w:r w:rsidRPr="0099450D">
        <w:rPr>
          <w:rFonts w:ascii="Times New Roman" w:hAnsi="Times New Roman" w:cs="Times New Roman"/>
          <w:b/>
          <w:color w:val="FF0000"/>
        </w:rPr>
        <w:t xml:space="preserve">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t>References</w:t>
      </w:r>
    </w:p>
    <w:p w14:paraId="0DCB0F59" w14:textId="3DA3BB39" w:rsidR="00E7716D" w:rsidRPr="00E7716D" w:rsidRDefault="00467E63">
      <w:pPr>
        <w:pStyle w:val="NormalWeb"/>
        <w:ind w:left="480" w:hanging="480"/>
        <w:divId w:val="387652440"/>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E7716D" w:rsidRPr="00E7716D">
        <w:rPr>
          <w:rFonts w:ascii="Times New Roman" w:hAnsi="Times New Roman"/>
          <w:noProof/>
          <w:sz w:val="24"/>
        </w:rPr>
        <w:t xml:space="preserve">Asmann, Y. W., Klee, E. W., Thompson, E. A., Perez, E. a, Middha, S., Oberg, A. L., … Kocher, J.-P. a. (2009). 3’ tag digital gene expression profiling of human brain and universal reference RNA using Illumina Genome Analyzer. </w:t>
      </w:r>
      <w:r w:rsidR="00E7716D" w:rsidRPr="00E7716D">
        <w:rPr>
          <w:rFonts w:ascii="Times New Roman" w:hAnsi="Times New Roman"/>
          <w:i/>
          <w:iCs/>
          <w:noProof/>
          <w:sz w:val="24"/>
        </w:rPr>
        <w:t>BMC Genomics</w:t>
      </w:r>
      <w:r w:rsidR="00E7716D" w:rsidRPr="00E7716D">
        <w:rPr>
          <w:rFonts w:ascii="Times New Roman" w:hAnsi="Times New Roman"/>
          <w:noProof/>
          <w:sz w:val="24"/>
        </w:rPr>
        <w:t xml:space="preserve">, </w:t>
      </w:r>
      <w:r w:rsidR="00E7716D" w:rsidRPr="00E7716D">
        <w:rPr>
          <w:rFonts w:ascii="Times New Roman" w:hAnsi="Times New Roman"/>
          <w:i/>
          <w:iCs/>
          <w:noProof/>
          <w:sz w:val="24"/>
        </w:rPr>
        <w:t>10</w:t>
      </w:r>
      <w:r w:rsidR="00E7716D" w:rsidRPr="00E7716D">
        <w:rPr>
          <w:rFonts w:ascii="Times New Roman" w:hAnsi="Times New Roman"/>
          <w:noProof/>
          <w:sz w:val="24"/>
        </w:rPr>
        <w:t>, 531. doi:10.1186/1471-2164-10-531</w:t>
      </w:r>
    </w:p>
    <w:p w14:paraId="4218905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Ayuk, J., &amp; Sheppard, M. C. (2006). Growth hormone and its disorders. </w:t>
      </w:r>
      <w:r w:rsidRPr="00E7716D">
        <w:rPr>
          <w:rFonts w:ascii="Times New Roman" w:hAnsi="Times New Roman"/>
          <w:i/>
          <w:iCs/>
          <w:noProof/>
          <w:sz w:val="24"/>
        </w:rPr>
        <w:t>Postgraduate Medical Journal</w:t>
      </w:r>
      <w:r w:rsidRPr="00E7716D">
        <w:rPr>
          <w:rFonts w:ascii="Times New Roman" w:hAnsi="Times New Roman"/>
          <w:noProof/>
          <w:sz w:val="24"/>
        </w:rPr>
        <w:t xml:space="preserve">, </w:t>
      </w:r>
      <w:r w:rsidRPr="00E7716D">
        <w:rPr>
          <w:rFonts w:ascii="Times New Roman" w:hAnsi="Times New Roman"/>
          <w:i/>
          <w:iCs/>
          <w:noProof/>
          <w:sz w:val="24"/>
        </w:rPr>
        <w:t>82</w:t>
      </w:r>
      <w:r w:rsidRPr="00E7716D">
        <w:rPr>
          <w:rFonts w:ascii="Times New Roman" w:hAnsi="Times New Roman"/>
          <w:noProof/>
          <w:sz w:val="24"/>
        </w:rPr>
        <w:t>(963), 24–30. doi:10.1136/pgmj.2005.036087</w:t>
      </w:r>
    </w:p>
    <w:p w14:paraId="4367211E"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Griffith, M., Griffith, O. L., Mwenifumbo, J., Goya, R., Morrissy, a S., Morin, R. D., … Marra, M. a. (2010). Alternative expression analysis by RNA sequencing.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7</w:t>
      </w:r>
      <w:r w:rsidRPr="00E7716D">
        <w:rPr>
          <w:rFonts w:ascii="Times New Roman" w:hAnsi="Times New Roman"/>
          <w:noProof/>
          <w:sz w:val="24"/>
        </w:rPr>
        <w:t>(10), 843–7. doi:10.1038/nmeth.1503</w:t>
      </w:r>
    </w:p>
    <w:p w14:paraId="666E53D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Haluzik, M., Yakar, S., Gavrilova, O., Setser, J., Boisclair, Y., &amp; LeRoith, D. (2003). Insulin resistance in the liver-specific IGF-1 gene-deleted mouse is abrogated by deletion of the acid-labile subunit of the IGF-binding protein-3 complex: relative roles of growth hormone and IGF-1 in insulin resistance. </w:t>
      </w:r>
      <w:r w:rsidRPr="00E7716D">
        <w:rPr>
          <w:rFonts w:ascii="Times New Roman" w:hAnsi="Times New Roman"/>
          <w:i/>
          <w:iCs/>
          <w:noProof/>
          <w:sz w:val="24"/>
        </w:rPr>
        <w:t>Diabetes</w:t>
      </w:r>
      <w:r w:rsidRPr="00E7716D">
        <w:rPr>
          <w:rFonts w:ascii="Times New Roman" w:hAnsi="Times New Roman"/>
          <w:noProof/>
          <w:sz w:val="24"/>
        </w:rPr>
        <w:t xml:space="preserve">, </w:t>
      </w:r>
      <w:r w:rsidRPr="00E7716D">
        <w:rPr>
          <w:rFonts w:ascii="Times New Roman" w:hAnsi="Times New Roman"/>
          <w:i/>
          <w:iCs/>
          <w:noProof/>
          <w:sz w:val="24"/>
        </w:rPr>
        <w:t>52</w:t>
      </w:r>
      <w:r w:rsidRPr="00E7716D">
        <w:rPr>
          <w:rFonts w:ascii="Times New Roman" w:hAnsi="Times New Roman"/>
          <w:noProof/>
          <w:sz w:val="24"/>
        </w:rPr>
        <w:t>(10), 2483–9.</w:t>
      </w:r>
    </w:p>
    <w:p w14:paraId="3194289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Shi, Y., &amp; He, M. (2014). Differential gene expression identified by RNA-Seq and qPCR in two sizes of pearl oyster (Pinctada fucata). </w:t>
      </w:r>
      <w:r w:rsidRPr="00E7716D">
        <w:rPr>
          <w:rFonts w:ascii="Times New Roman" w:hAnsi="Times New Roman"/>
          <w:i/>
          <w:iCs/>
          <w:noProof/>
          <w:sz w:val="24"/>
        </w:rPr>
        <w:t>Gene</w:t>
      </w:r>
      <w:r w:rsidRPr="00E7716D">
        <w:rPr>
          <w:rFonts w:ascii="Times New Roman" w:hAnsi="Times New Roman"/>
          <w:noProof/>
          <w:sz w:val="24"/>
        </w:rPr>
        <w:t xml:space="preserve">, </w:t>
      </w:r>
      <w:r w:rsidRPr="00E7716D">
        <w:rPr>
          <w:rFonts w:ascii="Times New Roman" w:hAnsi="Times New Roman"/>
          <w:i/>
          <w:iCs/>
          <w:noProof/>
          <w:sz w:val="24"/>
        </w:rPr>
        <w:t>538</w:t>
      </w:r>
      <w:r w:rsidRPr="00E7716D">
        <w:rPr>
          <w:rFonts w:ascii="Times New Roman" w:hAnsi="Times New Roman"/>
          <w:noProof/>
          <w:sz w:val="24"/>
        </w:rPr>
        <w:t>(2), 313–22. doi:10.1016/j.gene.2014.01.031</w:t>
      </w:r>
    </w:p>
    <w:p w14:paraId="1BE5100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Wu, A. R., Neff, N. F., Kalisky, T., Dalerba, P., Treutlein, B., Rothenberg, M. E., … Quake, S. R. (2014). Quantitative assessment of single-cell RNA-sequencing methods.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11</w:t>
      </w:r>
      <w:r w:rsidRPr="00E7716D">
        <w:rPr>
          <w:rFonts w:ascii="Times New Roman" w:hAnsi="Times New Roman"/>
          <w:noProof/>
          <w:sz w:val="24"/>
        </w:rPr>
        <w:t>(1), 41–6. doi:10.1038/nmeth.2694</w:t>
      </w:r>
    </w:p>
    <w:p w14:paraId="3390365B" w14:textId="0F7C078A" w:rsidR="00467E63" w:rsidRDefault="00467E63" w:rsidP="00E7716D">
      <w:pPr>
        <w:pStyle w:val="NormalWeb"/>
        <w:ind w:left="480" w:hanging="480"/>
        <w:divId w:val="14215782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08T11:29:00Z" w:initials="DB">
    <w:p w14:paraId="20BBBF68" w14:textId="5D6D6ED1" w:rsidR="00BA7909" w:rsidRDefault="00BA7909">
      <w:pPr>
        <w:pStyle w:val="CommentText"/>
      </w:pPr>
      <w:r>
        <w:rPr>
          <w:rStyle w:val="CommentReference"/>
        </w:rPr>
        <w:annotationRef/>
      </w:r>
      <w:proofErr w:type="spellStart"/>
      <w:r>
        <w:t>Irit</w:t>
      </w:r>
      <w:proofErr w:type="spellEnd"/>
      <w:r>
        <w:t>: given the new list of genes is there anything else we may want to probe from the mouse samples?</w:t>
      </w:r>
    </w:p>
  </w:comment>
  <w:comment w:id="1" w:author="Dave Bridges" w:date="2014-10-08T09:55:00Z" w:initials="DB">
    <w:p w14:paraId="4C89D5FE" w14:textId="56FE9411" w:rsidR="00BA7909" w:rsidRDefault="00BA7909">
      <w:pPr>
        <w:pStyle w:val="CommentText"/>
      </w:pPr>
      <w:r>
        <w:rPr>
          <w:rStyle w:val="CommentReference"/>
        </w:rPr>
        <w:annotationRef/>
      </w:r>
      <w:r>
        <w:t xml:space="preserve">I think we may have to do this, I don’t think my argument is persuasive at all.  </w:t>
      </w:r>
      <w:proofErr w:type="spellStart"/>
      <w:r>
        <w:t>Irit</w:t>
      </w:r>
      <w:proofErr w:type="spellEnd"/>
      <w:r>
        <w:t>, if there is any tissue left, how hard would it be to get the IRB modified to have them sent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2550E"/>
    <w:rsid w:val="00152F7A"/>
    <w:rsid w:val="0023524C"/>
    <w:rsid w:val="002A3148"/>
    <w:rsid w:val="002B0A3B"/>
    <w:rsid w:val="003A0DA8"/>
    <w:rsid w:val="003A69C1"/>
    <w:rsid w:val="00467E63"/>
    <w:rsid w:val="00475D45"/>
    <w:rsid w:val="004D2AFD"/>
    <w:rsid w:val="005225AA"/>
    <w:rsid w:val="005968E7"/>
    <w:rsid w:val="00601395"/>
    <w:rsid w:val="00615741"/>
    <w:rsid w:val="006506EB"/>
    <w:rsid w:val="00681E9D"/>
    <w:rsid w:val="006A1D5B"/>
    <w:rsid w:val="006A311E"/>
    <w:rsid w:val="00724917"/>
    <w:rsid w:val="00727C81"/>
    <w:rsid w:val="007E5CA3"/>
    <w:rsid w:val="008158E9"/>
    <w:rsid w:val="00874D76"/>
    <w:rsid w:val="008E1712"/>
    <w:rsid w:val="008E53AA"/>
    <w:rsid w:val="00972CBE"/>
    <w:rsid w:val="00984A2A"/>
    <w:rsid w:val="0099450D"/>
    <w:rsid w:val="00A34EF3"/>
    <w:rsid w:val="00A54A52"/>
    <w:rsid w:val="00A65D98"/>
    <w:rsid w:val="00AC2BD1"/>
    <w:rsid w:val="00AE6B6D"/>
    <w:rsid w:val="00B41A3A"/>
    <w:rsid w:val="00B76650"/>
    <w:rsid w:val="00BA7909"/>
    <w:rsid w:val="00C20609"/>
    <w:rsid w:val="00CD3E5D"/>
    <w:rsid w:val="00E7716D"/>
    <w:rsid w:val="00E95446"/>
    <w:rsid w:val="00ED4A95"/>
    <w:rsid w:val="00F10F3B"/>
    <w:rsid w:val="00F45F82"/>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4844</Words>
  <Characters>27617</Characters>
  <Application>Microsoft Macintosh Word</Application>
  <DocSecurity>0</DocSecurity>
  <Lines>230</Lines>
  <Paragraphs>64</Paragraphs>
  <ScaleCrop>false</ScaleCrop>
  <Company>UT-HSC</Company>
  <LinksUpToDate>false</LinksUpToDate>
  <CharactersWithSpaces>32397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cp:revision>
  <dcterms:created xsi:type="dcterms:W3CDTF">2014-09-23T13:15:00Z</dcterms:created>
  <dcterms:modified xsi:type="dcterms:W3CDTF">2014-10-12T23:13:00Z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