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140D" w14:textId="77777777" w:rsidR="003556B5" w:rsidRDefault="00E35E1A" w:rsidP="00EB47CD">
      <w:pPr>
        <w:bidi w:val="0"/>
        <w:rPr>
          <w:b/>
          <w:bCs/>
          <w:color w:val="00B050"/>
        </w:rPr>
      </w:pPr>
      <w:r>
        <w:t xml:space="preserve">Reviewer #1: This is an interesting observational study of a rare category of patients. The findings give insight into the effects of prolonged GH-exposure in humans and have implications beyond acromegaly. However, the design raises serious </w:t>
      </w:r>
      <w:proofErr w:type="gramStart"/>
      <w:r>
        <w:t>concerns which</w:t>
      </w:r>
      <w:proofErr w:type="gramEnd"/>
      <w:r>
        <w:t xml:space="preserve"> should be addressed further.</w:t>
      </w:r>
      <w:r>
        <w:br/>
      </w:r>
      <w:proofErr w:type="gramStart"/>
      <w:r>
        <w:t>The use of non-functioning pituitary adenoma patients as control group is problematic.</w:t>
      </w:r>
      <w:proofErr w:type="gramEnd"/>
      <w:r>
        <w:t xml:space="preserve"> This could, at least partly, be addressed by a more thorough description of the subjects. What medications did the patients use? Where any of these treatments paused during examinations, and if so for how long? Many drugs like </w:t>
      </w:r>
      <w:proofErr w:type="gramStart"/>
      <w:r>
        <w:t>beta adrenergic</w:t>
      </w:r>
      <w:proofErr w:type="gramEnd"/>
      <w:r>
        <w:t xml:space="preserve"> receptor blockers, insulin and oral </w:t>
      </w:r>
      <w:proofErr w:type="spellStart"/>
      <w:r>
        <w:t>antidiabetic</w:t>
      </w:r>
      <w:proofErr w:type="spellEnd"/>
      <w:r>
        <w:t xml:space="preserve"> drugs can influence the gene-expression profile in adipose tissue and this should be addressed and discussed. Similarly all co-morbidities of the patients should be presented and discussed.</w:t>
      </w:r>
      <w:r>
        <w:br/>
      </w:r>
    </w:p>
    <w:p w14:paraId="4ACE027A" w14:textId="77777777" w:rsidR="00E35E1A" w:rsidRDefault="00E35E1A" w:rsidP="00E35E1A">
      <w:pPr>
        <w:bidi w:val="0"/>
      </w:pPr>
      <w:r w:rsidRPr="009F1F07">
        <w:rPr>
          <w:b/>
          <w:bCs/>
        </w:rPr>
        <w:t xml:space="preserve">We have full information of </w:t>
      </w:r>
      <w:r w:rsidR="00807ED2" w:rsidRPr="009F1F07">
        <w:rPr>
          <w:b/>
          <w:bCs/>
        </w:rPr>
        <w:t xml:space="preserve">patient </w:t>
      </w:r>
      <w:r w:rsidRPr="009F1F07">
        <w:rPr>
          <w:b/>
          <w:bCs/>
        </w:rPr>
        <w:t>co-</w:t>
      </w:r>
      <w:proofErr w:type="spellStart"/>
      <w:r w:rsidRPr="009F1F07">
        <w:rPr>
          <w:b/>
          <w:bCs/>
        </w:rPr>
        <w:t>morbidies</w:t>
      </w:r>
      <w:proofErr w:type="spellEnd"/>
      <w:r w:rsidRPr="009F1F07">
        <w:rPr>
          <w:b/>
          <w:bCs/>
        </w:rPr>
        <w:t xml:space="preserve"> </w:t>
      </w:r>
      <w:r w:rsidR="00807ED2" w:rsidRPr="009F1F07">
        <w:rPr>
          <w:b/>
          <w:bCs/>
        </w:rPr>
        <w:t xml:space="preserve">and </w:t>
      </w:r>
      <w:r w:rsidRPr="009F1F07">
        <w:rPr>
          <w:b/>
          <w:bCs/>
        </w:rPr>
        <w:t>medications.</w:t>
      </w:r>
      <w:r w:rsidR="00807ED2" w:rsidRPr="009F1F07">
        <w:rPr>
          <w:b/>
          <w:bCs/>
        </w:rPr>
        <w:t xml:space="preserve"> As mentioned, one of the </w:t>
      </w:r>
      <w:proofErr w:type="spellStart"/>
      <w:r w:rsidR="00807ED2" w:rsidRPr="009F1F07">
        <w:rPr>
          <w:b/>
          <w:bCs/>
        </w:rPr>
        <w:t>Acromegly</w:t>
      </w:r>
      <w:proofErr w:type="spellEnd"/>
      <w:r w:rsidR="00807ED2" w:rsidRPr="009F1F07">
        <w:rPr>
          <w:b/>
          <w:bCs/>
        </w:rPr>
        <w:t xml:space="preserve"> patients was treated </w:t>
      </w:r>
      <w:r w:rsidR="003E3D18" w:rsidRPr="009F1F07">
        <w:rPr>
          <w:b/>
          <w:bCs/>
        </w:rPr>
        <w:t xml:space="preserve">(with an insufficient clinical response) </w:t>
      </w:r>
      <w:r w:rsidR="00807ED2" w:rsidRPr="009F1F07">
        <w:rPr>
          <w:b/>
          <w:bCs/>
        </w:rPr>
        <w:t xml:space="preserve">with </w:t>
      </w:r>
      <w:proofErr w:type="gramStart"/>
      <w:r w:rsidR="00807ED2" w:rsidRPr="009F1F07">
        <w:rPr>
          <w:b/>
          <w:bCs/>
        </w:rPr>
        <w:t xml:space="preserve">a  </w:t>
      </w:r>
      <w:proofErr w:type="spellStart"/>
      <w:r w:rsidR="00807ED2" w:rsidRPr="009F1F07">
        <w:rPr>
          <w:b/>
          <w:bCs/>
        </w:rPr>
        <w:t>somatostatin</w:t>
      </w:r>
      <w:proofErr w:type="spellEnd"/>
      <w:proofErr w:type="gramEnd"/>
      <w:r w:rsidR="00807ED2" w:rsidRPr="009F1F07">
        <w:rPr>
          <w:b/>
          <w:bCs/>
        </w:rPr>
        <w:t xml:space="preserve"> analog</w:t>
      </w:r>
      <w:r w:rsidR="003E3D18" w:rsidRPr="009F1F07">
        <w:rPr>
          <w:b/>
          <w:bCs/>
        </w:rPr>
        <w:t xml:space="preserve"> </w:t>
      </w:r>
      <w:r w:rsidR="00807ED2" w:rsidRPr="009F1F07">
        <w:rPr>
          <w:b/>
          <w:bCs/>
        </w:rPr>
        <w:t xml:space="preserve">. </w:t>
      </w:r>
      <w:r w:rsidRPr="009F1F07">
        <w:rPr>
          <w:b/>
          <w:bCs/>
        </w:rPr>
        <w:t xml:space="preserve"> </w:t>
      </w:r>
      <w:r w:rsidR="009F143A" w:rsidRPr="009F1F07">
        <w:rPr>
          <w:b/>
          <w:bCs/>
        </w:rPr>
        <w:t xml:space="preserve">The rest were untreated. </w:t>
      </w:r>
      <w:commentRangeStart w:id="0"/>
      <w:r w:rsidR="00807ED2" w:rsidRPr="009F1F07">
        <w:rPr>
          <w:b/>
          <w:bCs/>
        </w:rPr>
        <w:t>One patient</w:t>
      </w:r>
      <w:r w:rsidR="003E3D18" w:rsidRPr="009F1F07">
        <w:rPr>
          <w:b/>
          <w:bCs/>
        </w:rPr>
        <w:t xml:space="preserve"> in each group</w:t>
      </w:r>
      <w:r w:rsidR="00807ED2" w:rsidRPr="009F1F07">
        <w:rPr>
          <w:b/>
          <w:bCs/>
        </w:rPr>
        <w:t xml:space="preserve"> was treated with Metformin. </w:t>
      </w:r>
      <w:r w:rsidR="003E3D18" w:rsidRPr="009F1F07">
        <w:rPr>
          <w:b/>
          <w:bCs/>
        </w:rPr>
        <w:t>Two</w:t>
      </w:r>
      <w:r w:rsidR="009F143A" w:rsidRPr="009F1F07">
        <w:rPr>
          <w:b/>
          <w:bCs/>
        </w:rPr>
        <w:t xml:space="preserve"> of the non-functioning adenoma patients w</w:t>
      </w:r>
      <w:r w:rsidR="003E3D18" w:rsidRPr="009F1F07">
        <w:rPr>
          <w:b/>
          <w:bCs/>
        </w:rPr>
        <w:t>ere</w:t>
      </w:r>
      <w:r w:rsidR="009F143A" w:rsidRPr="009F1F07">
        <w:rPr>
          <w:b/>
          <w:bCs/>
        </w:rPr>
        <w:t xml:space="preserve"> treated with </w:t>
      </w:r>
      <w:proofErr w:type="gramStart"/>
      <w:r w:rsidR="009F143A" w:rsidRPr="009F1F07">
        <w:rPr>
          <w:b/>
          <w:bCs/>
        </w:rPr>
        <w:t>beta blockers</w:t>
      </w:r>
      <w:proofErr w:type="gramEnd"/>
      <w:r w:rsidR="009F143A" w:rsidRPr="009F1F07">
        <w:rPr>
          <w:b/>
          <w:bCs/>
        </w:rPr>
        <w:t>.</w:t>
      </w:r>
      <w:commentRangeEnd w:id="0"/>
      <w:r w:rsidR="009F1F07" w:rsidRPr="009F1F07">
        <w:rPr>
          <w:rStyle w:val="CommentReference"/>
          <w:b/>
        </w:rPr>
        <w:commentReference w:id="0"/>
      </w:r>
      <w:r w:rsidR="009F143A" w:rsidRPr="009F1F07">
        <w:rPr>
          <w:b/>
          <w:bCs/>
        </w:rPr>
        <w:t xml:space="preserve"> </w:t>
      </w:r>
      <w:r w:rsidR="00807ED2" w:rsidRPr="009F1F07">
        <w:rPr>
          <w:b/>
          <w:bCs/>
        </w:rPr>
        <w:t>Non</w:t>
      </w:r>
      <w:r w:rsidR="00BD1120" w:rsidRPr="009F1F07">
        <w:rPr>
          <w:b/>
          <w:bCs/>
        </w:rPr>
        <w:t>e</w:t>
      </w:r>
      <w:r w:rsidR="00807ED2" w:rsidRPr="009F1F07">
        <w:rPr>
          <w:b/>
          <w:bCs/>
        </w:rPr>
        <w:t xml:space="preserve"> of the patients </w:t>
      </w:r>
      <w:r w:rsidR="009F143A" w:rsidRPr="009F1F07">
        <w:rPr>
          <w:b/>
          <w:bCs/>
        </w:rPr>
        <w:t>was treated with insulin.</w:t>
      </w:r>
      <w:r w:rsidR="003E3D18" w:rsidRPr="009F1F07">
        <w:rPr>
          <w:b/>
        </w:rPr>
        <w:t xml:space="preserve"> </w:t>
      </w:r>
      <w:r w:rsidR="009F1F07" w:rsidRPr="009F1F07">
        <w:rPr>
          <w:b/>
        </w:rPr>
        <w:t xml:space="preserve">  This information has been added to the methods section. </w:t>
      </w:r>
    </w:p>
    <w:p w14:paraId="5C41CE4C" w14:textId="77777777" w:rsidR="009F143A" w:rsidRPr="009F1F07" w:rsidRDefault="00E35E1A" w:rsidP="009F143A">
      <w:pPr>
        <w:bidi w:val="0"/>
        <w:rPr>
          <w:b/>
        </w:rPr>
      </w:pPr>
      <w:r>
        <w:t>The use of 3T3-F442A exposed to GH for 48 hours as a comparator to acromegaly is oversimplified (page 8 lines 183-193) and it conflicts with the premises for the study where both direct and indirect effects of GH are investigated. The number of genes regulated does not match (418 vs. 560 genes lines 187-188). The paragraph should either be revised or omitted from the manuscript.</w:t>
      </w:r>
    </w:p>
    <w:p w14:paraId="63941A7D" w14:textId="1017764B" w:rsidR="003556B5" w:rsidRPr="009F1F07" w:rsidRDefault="003556B5" w:rsidP="009F143A">
      <w:pPr>
        <w:bidi w:val="0"/>
        <w:rPr>
          <w:b/>
        </w:rPr>
      </w:pPr>
      <w:r w:rsidRPr="009F1F07">
        <w:rPr>
          <w:b/>
        </w:rPr>
        <w:t xml:space="preserve">We agree this this experiment is a </w:t>
      </w:r>
      <w:r w:rsidR="009F1F07">
        <w:rPr>
          <w:b/>
        </w:rPr>
        <w:t>sub-optimal</w:t>
      </w:r>
      <w:r w:rsidR="009F1F07" w:rsidRPr="009F1F07">
        <w:rPr>
          <w:b/>
        </w:rPr>
        <w:t xml:space="preserve"> </w:t>
      </w:r>
      <w:r w:rsidRPr="009F1F07">
        <w:rPr>
          <w:b/>
        </w:rPr>
        <w:t>mimic for our study, and as requested it has been removed from the revised manuscript</w:t>
      </w:r>
    </w:p>
    <w:p w14:paraId="43C9284B" w14:textId="77777777" w:rsidR="003556B5" w:rsidRDefault="00E35E1A" w:rsidP="009F143A">
      <w:pPr>
        <w:bidi w:val="0"/>
        <w:rPr>
          <w:b/>
          <w:bCs/>
          <w:color w:val="00B050"/>
        </w:rPr>
      </w:pPr>
      <w:r>
        <w:t xml:space="preserve">The </w:t>
      </w:r>
      <w:proofErr w:type="spellStart"/>
      <w:r>
        <w:t>lipolytic</w:t>
      </w:r>
      <w:proofErr w:type="spellEnd"/>
      <w:r>
        <w:t xml:space="preserve"> enzyme ATGL is regulated by expression of several co-factors (CIDEA, CIDEC and G0S2) (PMID: 24577718). Where mRNA for any of these co-factors altered in acromegaly?</w:t>
      </w:r>
      <w:r>
        <w:br/>
      </w:r>
    </w:p>
    <w:p w14:paraId="171B9AE4" w14:textId="7E43C98A" w:rsidR="009F143A" w:rsidRDefault="009F143A" w:rsidP="009F143A">
      <w:pPr>
        <w:bidi w:val="0"/>
        <w:rPr>
          <w:b/>
          <w:bCs/>
        </w:rPr>
      </w:pPr>
      <w:r w:rsidRPr="00DA41DB">
        <w:rPr>
          <w:b/>
          <w:bCs/>
        </w:rPr>
        <w:t xml:space="preserve">CIDEA and CIDEC expression </w:t>
      </w:r>
      <w:r w:rsidR="009F1F07" w:rsidRPr="00DA41DB">
        <w:rPr>
          <w:b/>
          <w:bCs/>
        </w:rPr>
        <w:t xml:space="preserve">were </w:t>
      </w:r>
      <w:r w:rsidRPr="00DA41DB">
        <w:rPr>
          <w:b/>
          <w:bCs/>
        </w:rPr>
        <w:t>not different between the groups.  G0S2 trended toward being induced (1.4 fold, p=0.03 q=0.2).</w:t>
      </w:r>
      <w:r w:rsidR="003556B5" w:rsidRPr="00DA41DB">
        <w:rPr>
          <w:b/>
          <w:bCs/>
        </w:rPr>
        <w:t xml:space="preserve">  These data are now included in the revised manuscript</w:t>
      </w:r>
      <w:r w:rsidR="0055047C">
        <w:rPr>
          <w:b/>
          <w:bCs/>
        </w:rPr>
        <w:t>:</w:t>
      </w:r>
    </w:p>
    <w:p w14:paraId="241CA03B" w14:textId="36C36DC8" w:rsidR="0055047C" w:rsidRPr="0055047C" w:rsidRDefault="00135B7F" w:rsidP="00135B7F">
      <w:pPr>
        <w:bidi w:val="0"/>
        <w:ind w:left="720"/>
      </w:pPr>
      <w:r w:rsidRPr="00135B7F">
        <w:rPr>
          <w:b/>
          <w:color w:val="FF0000"/>
        </w:rPr>
        <w:t xml:space="preserve">We also examined </w:t>
      </w:r>
      <w:r w:rsidRPr="00135B7F">
        <w:rPr>
          <w:b/>
          <w:i/>
          <w:color w:val="FF0000"/>
        </w:rPr>
        <w:t>CIDEA/B/C</w:t>
      </w:r>
      <w:r w:rsidRPr="00135B7F">
        <w:rPr>
          <w:b/>
          <w:color w:val="FF0000"/>
        </w:rPr>
        <w:t xml:space="preserve"> and </w:t>
      </w:r>
      <w:r w:rsidRPr="00135B7F">
        <w:rPr>
          <w:b/>
          <w:i/>
          <w:color w:val="FF0000"/>
        </w:rPr>
        <w:t>G0S2</w:t>
      </w:r>
      <w:r w:rsidRPr="00135B7F">
        <w:rPr>
          <w:b/>
          <w:color w:val="FF0000"/>
        </w:rPr>
        <w:t xml:space="preserve">, which have also been proposed to be positive regulators of lipolysis </w:t>
      </w:r>
      <w:r w:rsidRPr="00135B7F">
        <w:rPr>
          <w:b/>
          <w:color w:val="FF0000"/>
        </w:rPr>
        <w:fldChar w:fldCharType="begin" w:fldLock="1"/>
      </w:r>
      <w:r w:rsidRPr="00135B7F">
        <w:rPr>
          <w:b/>
          <w:color w:val="FF0000"/>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"[1]", "plainTextFormattedCitation" : "[1]", "previouslyFormattedCitation" : "[42]" }, "properties" : { "noteIndex" : 0 }, "schema" : "https://github.com/citation-style-language/schema/raw/master/csl-citation.json" }</w:instrText>
      </w:r>
      <w:r w:rsidRPr="00135B7F">
        <w:rPr>
          <w:b/>
          <w:color w:val="FF0000"/>
        </w:rPr>
        <w:fldChar w:fldCharType="separate"/>
      </w:r>
      <w:r w:rsidRPr="00135B7F">
        <w:rPr>
          <w:b/>
          <w:noProof/>
          <w:color w:val="FF0000"/>
        </w:rPr>
        <w:t>[1]</w:t>
      </w:r>
      <w:r w:rsidRPr="00135B7F">
        <w:rPr>
          <w:b/>
          <w:color w:val="FF0000"/>
        </w:rPr>
        <w:fldChar w:fldCharType="end"/>
      </w:r>
      <w:r w:rsidRPr="00135B7F">
        <w:rPr>
          <w:b/>
          <w:color w:val="FF0000"/>
        </w:rPr>
        <w:t xml:space="preserve">.  While there were no changes in the former, we did observe a non-significant elevation in </w:t>
      </w:r>
      <w:r w:rsidRPr="00135B7F">
        <w:rPr>
          <w:b/>
          <w:i/>
          <w:color w:val="FF0000"/>
        </w:rPr>
        <w:t xml:space="preserve">GOS2 </w:t>
      </w:r>
      <w:r w:rsidRPr="00135B7F">
        <w:rPr>
          <w:b/>
          <w:color w:val="FF0000"/>
        </w:rPr>
        <w:t>(1.53 fold, q=0.246; Supplementary Figure 2C).</w:t>
      </w:r>
    </w:p>
    <w:p w14:paraId="1911E7E9" w14:textId="77777777" w:rsidR="003556B5" w:rsidRDefault="00E35E1A" w:rsidP="009F143A">
      <w:pPr>
        <w:bidi w:val="0"/>
      </w:pPr>
      <w:r>
        <w:t>Reviewer #2: This manuscript by Hochberg et al. analyzed ge</w:t>
      </w:r>
      <w:bookmarkStart w:id="1" w:name="_GoBack"/>
      <w:bookmarkEnd w:id="1"/>
      <w:r>
        <w:t xml:space="preserve">ne expression signature in adipose tissue of acromegaly patients vs. non-functioning pituitary adenomas patients by high throughput mRNA sequencing. The authors found that expression of many genes are altered in the adipocytes of acromegaly patients and suggested that alterations of these genes likely responsible for the observation of insulin resistance, increased lipolysis, and </w:t>
      </w:r>
      <w:r>
        <w:lastRenderedPageBreak/>
        <w:t>metabolic changes in the patients. While the study is interesting and may provide explanations to the observed phenotypes in acromegaly patients, this study faces difficulties in sample size and technical limitations.</w:t>
      </w:r>
      <w:r>
        <w:br/>
        <w:t>Major points:</w:t>
      </w:r>
      <w:r>
        <w:br/>
        <w:t xml:space="preserve">1. The major caveat of the study is small sample size. In addition, the subjects used are not age-matched. While the authors have tried to take the age effects on this study into consideration and separated the subjects to two groups, under 60 or over years old, without knowing the age distribution of the subjects it is not clear why 60 years old was chosen. Along this line, the acromegaly subjects over 60 are 2 and the </w:t>
      </w:r>
      <w:proofErr w:type="gramStart"/>
      <w:r>
        <w:t>subjects under 60 years old is</w:t>
      </w:r>
      <w:proofErr w:type="gramEnd"/>
      <w:r>
        <w:t xml:space="preserve"> 5 (according to Fig. 3C). The sample size for acromegaly patients under and over 60 years old is even smaller. Thus, it not clear that the gene signature identified in this study would make meaningful implications regarding acromegaly phenotypes.</w:t>
      </w:r>
    </w:p>
    <w:p w14:paraId="5EFA8945" w14:textId="12A09B28" w:rsidR="003556B5" w:rsidRPr="00704F0A" w:rsidRDefault="003556B5" w:rsidP="009F143A">
      <w:pPr>
        <w:bidi w:val="0"/>
        <w:rPr>
          <w:b/>
        </w:rPr>
      </w:pPr>
      <w:r w:rsidRPr="00704F0A">
        <w:rPr>
          <w:b/>
        </w:rPr>
        <w:t>We chose 60 as the cutoff based on a principal component analysis</w:t>
      </w:r>
      <w:r w:rsidR="000E4DB6" w:rsidRPr="00704F0A">
        <w:rPr>
          <w:b/>
        </w:rPr>
        <w:t>,</w:t>
      </w:r>
      <w:r w:rsidRPr="00704F0A">
        <w:rPr>
          <w:b/>
        </w:rPr>
        <w:t xml:space="preserve"> which showed that the subjects clustered into two groups </w:t>
      </w:r>
      <w:r w:rsidR="00BF3012">
        <w:rPr>
          <w:b/>
        </w:rPr>
        <w:t>that</w:t>
      </w:r>
      <w:r w:rsidR="00BF3012" w:rsidRPr="00704F0A">
        <w:rPr>
          <w:b/>
        </w:rPr>
        <w:t xml:space="preserve"> </w:t>
      </w:r>
      <w:r w:rsidRPr="00704F0A">
        <w:rPr>
          <w:b/>
        </w:rPr>
        <w:t xml:space="preserve">could be separable by an age cutoff of 60.  This PCA plot has been added as </w:t>
      </w:r>
      <w:r w:rsidR="00642BC7" w:rsidRPr="00704F0A">
        <w:rPr>
          <w:b/>
        </w:rPr>
        <w:t>S</w:t>
      </w:r>
      <w:r w:rsidRPr="00704F0A">
        <w:rPr>
          <w:b/>
        </w:rPr>
        <w:t>u</w:t>
      </w:r>
      <w:r w:rsidR="00642BC7" w:rsidRPr="00704F0A">
        <w:rPr>
          <w:b/>
        </w:rPr>
        <w:t>pplementary F</w:t>
      </w:r>
      <w:r w:rsidR="00405D8C">
        <w:rPr>
          <w:b/>
        </w:rPr>
        <w:t>i</w:t>
      </w:r>
      <w:r w:rsidRPr="00704F0A">
        <w:rPr>
          <w:b/>
        </w:rPr>
        <w:t xml:space="preserve">gure </w:t>
      </w:r>
      <w:r w:rsidR="00405D8C">
        <w:rPr>
          <w:b/>
        </w:rPr>
        <w:t>1</w:t>
      </w:r>
      <w:r w:rsidR="00405D8C" w:rsidRPr="00704F0A">
        <w:rPr>
          <w:b/>
        </w:rPr>
        <w:t xml:space="preserve"> </w:t>
      </w:r>
      <w:r w:rsidRPr="00704F0A">
        <w:rPr>
          <w:b/>
        </w:rPr>
        <w:t>and has been de</w:t>
      </w:r>
      <w:r w:rsidR="000E4DB6" w:rsidRPr="00704F0A">
        <w:rPr>
          <w:b/>
        </w:rPr>
        <w:t>s</w:t>
      </w:r>
      <w:r w:rsidRPr="00704F0A">
        <w:rPr>
          <w:b/>
        </w:rPr>
        <w:t>cribed in the revised methods section as such:</w:t>
      </w:r>
    </w:p>
    <w:p w14:paraId="4C70FBAD" w14:textId="77777777" w:rsidR="000E4DB6" w:rsidRDefault="000E4DB6" w:rsidP="009F143A">
      <w:pPr>
        <w:bidi w:val="0"/>
      </w:pPr>
    </w:p>
    <w:p w14:paraId="2573ECFF" w14:textId="115EBDC9" w:rsidR="003556B5" w:rsidRPr="004A6E10" w:rsidRDefault="000E4DB6" w:rsidP="004A6E10">
      <w:pPr>
        <w:bidi w:val="0"/>
        <w:ind w:left="720"/>
        <w:rPr>
          <w:b/>
          <w:color w:val="FF0000"/>
        </w:rPr>
      </w:pPr>
      <w:commentRangeStart w:id="2"/>
      <w:r w:rsidRPr="004A6E10">
        <w:rPr>
          <w:b/>
          <w:color w:val="FF0000"/>
        </w:rPr>
        <w:t>To identify a stratification point to account for age differences we performed a principal component analysis on the normalized gene expression data.  As shown in Supplementary Figure 1, an age cutoff of 60 separated our samples along the first principal component efficiently into two distinct phenotypes, with 7/8 of the 60</w:t>
      </w:r>
      <w:r w:rsidR="00405D8C">
        <w:rPr>
          <w:b/>
          <w:color w:val="FF0000"/>
        </w:rPr>
        <w:t xml:space="preserve"> and above</w:t>
      </w:r>
      <w:r w:rsidRPr="004A6E10">
        <w:rPr>
          <w:b/>
          <w:color w:val="FF0000"/>
        </w:rPr>
        <w:t xml:space="preserve"> subjects in one group and 10/11 of the under 60 subjects in the other group.</w:t>
      </w:r>
      <w:commentRangeEnd w:id="2"/>
      <w:r w:rsidR="00642BC7" w:rsidRPr="004A6E10">
        <w:rPr>
          <w:rStyle w:val="CommentReference"/>
          <w:color w:val="FF0000"/>
        </w:rPr>
        <w:commentReference w:id="2"/>
      </w:r>
    </w:p>
    <w:p w14:paraId="6B57C19C" w14:textId="77777777" w:rsidR="009F143A" w:rsidRDefault="00E35E1A" w:rsidP="009F143A">
      <w:pPr>
        <w:bidi w:val="0"/>
      </w:pPr>
      <w:r>
        <w:br/>
        <w:t xml:space="preserve">2. The authors’ conclusion is based on the analysis of mRNA-seq. The difference in gene expression between acromegaly patients and control needs to be validated with another gene expression analysis, such as </w:t>
      </w:r>
      <w:proofErr w:type="spellStart"/>
      <w:r>
        <w:t>qPCR</w:t>
      </w:r>
      <w:proofErr w:type="spellEnd"/>
      <w:r>
        <w:t>, to further support the results.</w:t>
      </w:r>
    </w:p>
    <w:p w14:paraId="20AB68BF" w14:textId="447D561E" w:rsidR="003E3D18" w:rsidRPr="004A6E10" w:rsidRDefault="003E3D18" w:rsidP="00EB47CD">
      <w:pPr>
        <w:bidi w:val="0"/>
        <w:spacing w:after="240"/>
        <w:jc w:val="both"/>
        <w:rPr>
          <w:rFonts w:ascii="Times New Roman" w:hAnsi="Times New Roman" w:cs="Times New Roman"/>
          <w:b/>
        </w:rPr>
      </w:pPr>
      <w:r w:rsidRPr="004A6E10">
        <w:rPr>
          <w:rFonts w:ascii="Times New Roman" w:hAnsi="Times New Roman" w:cs="Times New Roman"/>
          <w:b/>
        </w:rPr>
        <w:t xml:space="preserve">We considered performing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studies to ‘re-validate’ some of our gene-expression findings </w:t>
      </w:r>
      <w:proofErr w:type="gramStart"/>
      <w:r w:rsidRPr="004A6E10">
        <w:rPr>
          <w:rFonts w:ascii="Times New Roman" w:hAnsi="Times New Roman" w:cs="Times New Roman"/>
          <w:b/>
        </w:rPr>
        <w:t xml:space="preserve">but </w:t>
      </w:r>
      <w:r w:rsidR="00BD1120" w:rsidRPr="004A6E10">
        <w:rPr>
          <w:rFonts w:ascii="Times New Roman" w:hAnsi="Times New Roman" w:cs="Times New Roman"/>
          <w:b/>
        </w:rPr>
        <w:t xml:space="preserve"> are</w:t>
      </w:r>
      <w:proofErr w:type="gramEnd"/>
      <w:r w:rsidR="00BD1120" w:rsidRPr="004A6E10">
        <w:rPr>
          <w:rFonts w:ascii="Times New Roman" w:hAnsi="Times New Roman" w:cs="Times New Roman"/>
          <w:b/>
        </w:rPr>
        <w:t xml:space="preserve"> unable to as there is insufficient remaining RNA and tissue.  There is</w:t>
      </w:r>
      <w:r w:rsidRPr="004A6E10">
        <w:rPr>
          <w:rFonts w:ascii="Times New Roman" w:hAnsi="Times New Roman" w:cs="Times New Roman"/>
          <w:b/>
        </w:rPr>
        <w:t xml:space="preserve"> </w:t>
      </w:r>
      <w:r w:rsidR="00BD1120" w:rsidRPr="004A6E10">
        <w:rPr>
          <w:rFonts w:ascii="Times New Roman" w:hAnsi="Times New Roman" w:cs="Times New Roman"/>
          <w:b/>
        </w:rPr>
        <w:t xml:space="preserve">scant </w:t>
      </w:r>
      <w:r w:rsidRPr="004A6E10">
        <w:rPr>
          <w:rFonts w:ascii="Times New Roman" w:hAnsi="Times New Roman" w:cs="Times New Roman"/>
          <w:b/>
        </w:rPr>
        <w:t xml:space="preserve">evidence that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analyses from the same samples </w:t>
      </w:r>
      <w:r w:rsidR="00BD1120" w:rsidRPr="004A6E10">
        <w:rPr>
          <w:rFonts w:ascii="Times New Roman" w:hAnsi="Times New Roman" w:cs="Times New Roman"/>
          <w:b/>
        </w:rPr>
        <w:t xml:space="preserve">would </w:t>
      </w:r>
      <w:r w:rsidRPr="004A6E10">
        <w:rPr>
          <w:rFonts w:ascii="Times New Roman" w:hAnsi="Times New Roman" w:cs="Times New Roman"/>
          <w:b/>
        </w:rPr>
        <w:t>add any extra validity to our data</w:t>
      </w:r>
      <w:r w:rsidR="00BD1120" w:rsidRPr="004A6E10">
        <w:rPr>
          <w:rFonts w:ascii="Times New Roman" w:hAnsi="Times New Roman" w:cs="Times New Roman"/>
          <w:b/>
        </w:rPr>
        <w:t xml:space="preserve"> as p</w:t>
      </w:r>
      <w:r w:rsidRPr="004A6E10">
        <w:rPr>
          <w:rFonts w:ascii="Times New Roman" w:hAnsi="Times New Roman" w:cs="Times New Roman"/>
          <w:b/>
        </w:rPr>
        <w:t xml:space="preserve">revious studies have shown extremely close correlations between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and </w:t>
      </w:r>
      <w:proofErr w:type="spellStart"/>
      <w:r w:rsidRPr="004A6E10">
        <w:rPr>
          <w:rFonts w:ascii="Times New Roman" w:hAnsi="Times New Roman" w:cs="Times New Roman"/>
          <w:b/>
        </w:rPr>
        <w:t>RNAseq</w:t>
      </w:r>
      <w:proofErr w:type="spellEnd"/>
      <w:r w:rsidRPr="004A6E10">
        <w:rPr>
          <w:rFonts w:ascii="Times New Roman" w:hAnsi="Times New Roman" w:cs="Times New Roman"/>
          <w:b/>
        </w:rPr>
        <w:t xml:space="preserve"> data </w:t>
      </w:r>
      <w:r w:rsidRPr="00135B7F">
        <w:rPr>
          <w:rFonts w:ascii="Times New Roman" w:hAnsi="Times New Roman" w:cs="Times New Roman"/>
          <w:b/>
        </w:rPr>
        <w:fldChar w:fldCharType="begin" w:fldLock="1"/>
      </w:r>
      <w:r w:rsidR="00135B7F" w:rsidRPr="00135B7F">
        <w:rPr>
          <w:rFonts w:ascii="Times New Roman" w:hAnsi="Times New Roman" w:cs="Times New Roman"/>
          <w:b/>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"formattedCitation" : "[2\u20135]", "plainTextFormattedCitation" : "[2\u20135]", "previouslyFormattedCitation" : "[5\u20138]" }, "properties" : { "noteIndex" : 0 }, "schema" : "https://github.com/citation-style-language/schema/raw/master/csl-citation.json" }</w:instrText>
      </w:r>
      <w:r w:rsidRPr="00135B7F">
        <w:rPr>
          <w:rFonts w:ascii="Times New Roman" w:hAnsi="Times New Roman" w:cs="Times New Roman"/>
          <w:b/>
        </w:rPr>
        <w:fldChar w:fldCharType="separate"/>
      </w:r>
      <w:r w:rsidR="00135B7F" w:rsidRPr="00135B7F">
        <w:rPr>
          <w:rFonts w:ascii="Times New Roman" w:hAnsi="Times New Roman" w:cs="Times New Roman"/>
          <w:b/>
          <w:noProof/>
        </w:rPr>
        <w:t>[2–5]</w:t>
      </w:r>
      <w:r w:rsidRPr="00135B7F">
        <w:rPr>
          <w:rFonts w:ascii="Times New Roman" w:hAnsi="Times New Roman" w:cs="Times New Roman"/>
          <w:b/>
        </w:rPr>
        <w:fldChar w:fldCharType="end"/>
      </w:r>
      <w:r w:rsidR="00BD1120" w:rsidRPr="00135B7F">
        <w:rPr>
          <w:rFonts w:ascii="Times New Roman" w:hAnsi="Times New Roman" w:cs="Times New Roman"/>
          <w:b/>
        </w:rPr>
        <w:t>, with</w:t>
      </w:r>
      <w:r w:rsidR="00BD1120" w:rsidRPr="004A6E10">
        <w:rPr>
          <w:rFonts w:ascii="Times New Roman" w:hAnsi="Times New Roman" w:cs="Times New Roman"/>
          <w:b/>
        </w:rPr>
        <w:t xml:space="preserve"> differences largely being attributable to probe bias or non-linearity of </w:t>
      </w:r>
      <w:proofErr w:type="spellStart"/>
      <w:r w:rsidR="00BD1120" w:rsidRPr="004A6E10">
        <w:rPr>
          <w:rFonts w:ascii="Times New Roman" w:hAnsi="Times New Roman" w:cs="Times New Roman"/>
          <w:b/>
        </w:rPr>
        <w:t>qPCR</w:t>
      </w:r>
      <w:proofErr w:type="spellEnd"/>
      <w:r w:rsidR="00BD1120" w:rsidRPr="004A6E10">
        <w:rPr>
          <w:rFonts w:ascii="Times New Roman" w:hAnsi="Times New Roman" w:cs="Times New Roman"/>
          <w:b/>
        </w:rPr>
        <w:t xml:space="preserve"> not </w:t>
      </w:r>
      <w:proofErr w:type="spellStart"/>
      <w:r w:rsidR="00BD1120" w:rsidRPr="004A6E10">
        <w:rPr>
          <w:rFonts w:ascii="Times New Roman" w:hAnsi="Times New Roman" w:cs="Times New Roman"/>
          <w:b/>
        </w:rPr>
        <w:t>RNAseq</w:t>
      </w:r>
      <w:proofErr w:type="spellEnd"/>
      <w:r w:rsidRPr="004A6E10">
        <w:rPr>
          <w:rFonts w:ascii="Times New Roman" w:hAnsi="Times New Roman" w:cs="Times New Roman"/>
          <w:b/>
        </w:rPr>
        <w:t xml:space="preserve">.  Ideally, we would re-validate our findings in a separate cohort of </w:t>
      </w:r>
      <w:proofErr w:type="spellStart"/>
      <w:r w:rsidRPr="004A6E10">
        <w:rPr>
          <w:rFonts w:ascii="Times New Roman" w:hAnsi="Times New Roman" w:cs="Times New Roman"/>
          <w:b/>
        </w:rPr>
        <w:t>acromegalic</w:t>
      </w:r>
      <w:proofErr w:type="spellEnd"/>
      <w:r w:rsidRPr="004A6E10">
        <w:rPr>
          <w:rFonts w:ascii="Times New Roman" w:hAnsi="Times New Roman" w:cs="Times New Roman"/>
          <w:b/>
        </w:rPr>
        <w:t xml:space="preserve"> patients, but due to the difficulty in </w:t>
      </w:r>
      <w:r w:rsidR="00BD1120" w:rsidRPr="004A6E10">
        <w:rPr>
          <w:rFonts w:ascii="Times New Roman" w:hAnsi="Times New Roman" w:cs="Times New Roman"/>
          <w:b/>
        </w:rPr>
        <w:t xml:space="preserve">obtaining new </w:t>
      </w:r>
      <w:r w:rsidRPr="004A6E10">
        <w:rPr>
          <w:rFonts w:ascii="Times New Roman" w:hAnsi="Times New Roman" w:cs="Times New Roman"/>
          <w:b/>
        </w:rPr>
        <w:t>samples, those experiments are not possible at this time.</w:t>
      </w:r>
    </w:p>
    <w:p w14:paraId="6ADE3097" w14:textId="77777777" w:rsidR="009F143A" w:rsidRDefault="00E35E1A" w:rsidP="009F143A">
      <w:pPr>
        <w:bidi w:val="0"/>
      </w:pPr>
      <w:r>
        <w:br/>
        <w:t>3. What are serum GH levels of all the subjects?</w:t>
      </w:r>
    </w:p>
    <w:p w14:paraId="68FAFC73" w14:textId="46A9F84B" w:rsidR="000E4DB6" w:rsidRPr="004A6E10" w:rsidRDefault="009F143A" w:rsidP="009F143A">
      <w:pPr>
        <w:bidi w:val="0"/>
        <w:rPr>
          <w:b/>
        </w:rPr>
      </w:pPr>
      <w:commentRangeStart w:id="4"/>
      <w:r w:rsidRPr="004A6E10">
        <w:rPr>
          <w:b/>
          <w:bCs/>
        </w:rPr>
        <w:t xml:space="preserve">Serum GH for the acromegaly patients was in the range of 0.7-28.7 </w:t>
      </w:r>
      <w:proofErr w:type="spellStart"/>
      <w:r w:rsidRPr="004A6E10">
        <w:rPr>
          <w:b/>
          <w:bCs/>
        </w:rPr>
        <w:t>ng</w:t>
      </w:r>
      <w:proofErr w:type="spellEnd"/>
      <w:r w:rsidRPr="004A6E10">
        <w:rPr>
          <w:b/>
          <w:bCs/>
        </w:rPr>
        <w:t xml:space="preserve">/ml, with a mean 8.4 </w:t>
      </w:r>
      <w:proofErr w:type="spellStart"/>
      <w:r w:rsidRPr="004A6E10">
        <w:rPr>
          <w:b/>
          <w:bCs/>
        </w:rPr>
        <w:t>ng</w:t>
      </w:r>
      <w:proofErr w:type="spellEnd"/>
      <w:r w:rsidRPr="004A6E10">
        <w:rPr>
          <w:b/>
          <w:bCs/>
        </w:rPr>
        <w:t>/ml and median</w:t>
      </w:r>
      <w:r w:rsidR="00642BC7" w:rsidRPr="004A6E10">
        <w:rPr>
          <w:b/>
          <w:bCs/>
        </w:rPr>
        <w:t xml:space="preserve"> of</w:t>
      </w:r>
      <w:r w:rsidRPr="004A6E10">
        <w:rPr>
          <w:b/>
          <w:bCs/>
        </w:rPr>
        <w:t xml:space="preserve"> 7.1 </w:t>
      </w:r>
      <w:proofErr w:type="spellStart"/>
      <w:r w:rsidRPr="004A6E10">
        <w:rPr>
          <w:b/>
          <w:bCs/>
        </w:rPr>
        <w:t>ng</w:t>
      </w:r>
      <w:proofErr w:type="spellEnd"/>
      <w:r w:rsidRPr="004A6E10">
        <w:rPr>
          <w:b/>
          <w:bCs/>
        </w:rPr>
        <w:t>/ml.</w:t>
      </w:r>
      <w:r w:rsidRPr="004A6E10">
        <w:rPr>
          <w:b/>
        </w:rPr>
        <w:t xml:space="preserve"> </w:t>
      </w:r>
      <w:r w:rsidR="000E4DB6" w:rsidRPr="004A6E10">
        <w:rPr>
          <w:b/>
        </w:rPr>
        <w:t xml:space="preserve">  Serum GH levels were not measured for our non-secreting adenoma subjects but the average normal range of GH is </w:t>
      </w:r>
      <w:r w:rsidR="00642BC7" w:rsidRPr="004A6E10">
        <w:rPr>
          <w:b/>
        </w:rPr>
        <w:t>&lt; 5ng/</w:t>
      </w:r>
      <w:proofErr w:type="spellStart"/>
      <w:r w:rsidR="00642BC7" w:rsidRPr="004A6E10">
        <w:rPr>
          <w:b/>
        </w:rPr>
        <w:t>mL.</w:t>
      </w:r>
      <w:commentRangeEnd w:id="4"/>
      <w:proofErr w:type="spellEnd"/>
      <w:r w:rsidR="004A6E10">
        <w:rPr>
          <w:rStyle w:val="CommentReference"/>
        </w:rPr>
        <w:commentReference w:id="4"/>
      </w:r>
    </w:p>
    <w:p w14:paraId="7FB3C1AF" w14:textId="77777777" w:rsidR="003E3D18" w:rsidRDefault="00E35E1A" w:rsidP="009F143A">
      <w:pPr>
        <w:bidi w:val="0"/>
      </w:pPr>
      <w:r>
        <w:lastRenderedPageBreak/>
        <w:br/>
        <w:t>Minor points:</w:t>
      </w:r>
      <w:r>
        <w:br/>
      </w:r>
      <w:r>
        <w:br/>
        <w:t>1. The statement on p9, lines 207-213 should be removed. While the serum IGF1 levels correlates with the mRNA levels in adipose tissue, it is not clear if this is due to the increase in IGF1 mRNA in adipose tissue. Since liver IGF1 mRNA levels are not analyzed in acromegaly patients, it is not clear that the increase in adipose tissue IGF1 mRNA contributes the increase in serum IGF1 levels.</w:t>
      </w:r>
    </w:p>
    <w:p w14:paraId="2E1A44B8" w14:textId="39110A2D" w:rsidR="003E3D18" w:rsidRPr="004A6E10" w:rsidRDefault="003E3D18" w:rsidP="003E3D18">
      <w:pPr>
        <w:bidi w:val="0"/>
        <w:rPr>
          <w:b/>
          <w:bCs/>
        </w:rPr>
      </w:pPr>
      <w:r w:rsidRPr="004A6E10">
        <w:rPr>
          <w:b/>
          <w:bCs/>
        </w:rPr>
        <w:t xml:space="preserve">We agree </w:t>
      </w:r>
      <w:r w:rsidR="00904211">
        <w:rPr>
          <w:b/>
          <w:bCs/>
        </w:rPr>
        <w:t>with</w:t>
      </w:r>
      <w:r w:rsidR="00904211" w:rsidRPr="004A6E10">
        <w:rPr>
          <w:b/>
          <w:bCs/>
        </w:rPr>
        <w:t xml:space="preserve"> </w:t>
      </w:r>
      <w:r w:rsidRPr="004A6E10">
        <w:rPr>
          <w:b/>
          <w:bCs/>
        </w:rPr>
        <w:t>this comment and will omit this speculation.</w:t>
      </w:r>
    </w:p>
    <w:p w14:paraId="40CB2148" w14:textId="77777777" w:rsidR="00642BC7" w:rsidRDefault="00E35E1A" w:rsidP="003E3D18">
      <w:pPr>
        <w:bidi w:val="0"/>
      </w:pPr>
      <w:r>
        <w:br/>
        <w:t>2. Should “larger” in line 169 be changed to “smaller”? From Fig. 3, the difference in gene expression in subjects over 60 years old vs. control is smaller.</w:t>
      </w:r>
    </w:p>
    <w:p w14:paraId="4BC8AA36" w14:textId="77777777" w:rsidR="00844D29" w:rsidRDefault="00642BC7" w:rsidP="003E3D18">
      <w:pPr>
        <w:bidi w:val="0"/>
        <w:rPr>
          <w:b/>
        </w:rPr>
      </w:pPr>
      <w:r w:rsidRPr="004A6E10">
        <w:rPr>
          <w:b/>
        </w:rPr>
        <w:t>We have made this change, and thank the reviewer noticing this error.</w:t>
      </w:r>
      <w:r w:rsidR="00E35E1A" w:rsidRPr="004A6E10">
        <w:rPr>
          <w:b/>
        </w:rPr>
        <w:br/>
      </w:r>
    </w:p>
    <w:p w14:paraId="1CDBAF93" w14:textId="0D0569A4" w:rsidR="00135B7F" w:rsidRDefault="00135B7F" w:rsidP="003E3D18">
      <w:pPr>
        <w:bidi w:val="0"/>
        <w:rPr>
          <w:b/>
        </w:rPr>
      </w:pPr>
      <w:r>
        <w:rPr>
          <w:b/>
        </w:rPr>
        <w:t>References</w:t>
      </w:r>
    </w:p>
    <w:p w14:paraId="6BE66B28" w14:textId="5DC04CA2" w:rsidR="00135B7F" w:rsidRPr="00135B7F" w:rsidRDefault="00135B7F">
      <w:pPr>
        <w:pStyle w:val="NormalWeb"/>
        <w:ind w:left="640" w:hanging="640"/>
        <w:divId w:val="392003094"/>
        <w:rPr>
          <w:rFonts w:ascii="Calibri" w:hAnsi="Calibri"/>
          <w:noProof/>
          <w:sz w:val="22"/>
        </w:rPr>
      </w:pPr>
      <w:r>
        <w:rPr>
          <w:b/>
        </w:rPr>
        <w:fldChar w:fldCharType="begin" w:fldLock="1"/>
      </w:r>
      <w:r>
        <w:rPr>
          <w:b/>
        </w:rPr>
        <w:instrText xml:space="preserve">ADDIN Mendeley Bibliography CSL_BIBLIOGRAPHY </w:instrText>
      </w:r>
      <w:r>
        <w:rPr>
          <w:b/>
        </w:rPr>
        <w:fldChar w:fldCharType="separate"/>
      </w:r>
      <w:r w:rsidRPr="00135B7F">
        <w:rPr>
          <w:rFonts w:ascii="Calibri" w:hAnsi="Calibri"/>
          <w:noProof/>
          <w:sz w:val="22"/>
        </w:rPr>
        <w:t xml:space="preserve">1. </w:t>
      </w:r>
      <w:r w:rsidRPr="00135B7F">
        <w:rPr>
          <w:rFonts w:ascii="Calibri" w:hAnsi="Calibri"/>
          <w:noProof/>
          <w:sz w:val="22"/>
        </w:rPr>
        <w:tab/>
        <w:t>Nielsen TS, Jessen N, Jørgensen JOL, Møller N, Lund S (2014) Dissecting adipose tissue lipolysis: Molecular regulation and implications for metabolic disease. J Mol Endocrinol 52. doi:10.1530/JME-13-0277.</w:t>
      </w:r>
    </w:p>
    <w:p w14:paraId="01A9CEAD" w14:textId="77777777" w:rsidR="00135B7F" w:rsidRPr="00135B7F" w:rsidRDefault="00135B7F">
      <w:pPr>
        <w:pStyle w:val="NormalWeb"/>
        <w:ind w:left="640" w:hanging="640"/>
        <w:divId w:val="392003094"/>
        <w:rPr>
          <w:rFonts w:ascii="Calibri" w:hAnsi="Calibri"/>
          <w:noProof/>
          <w:sz w:val="22"/>
        </w:rPr>
      </w:pPr>
      <w:r w:rsidRPr="00135B7F">
        <w:rPr>
          <w:rFonts w:ascii="Calibri" w:hAnsi="Calibri"/>
          <w:noProof/>
          <w:sz w:val="22"/>
        </w:rPr>
        <w:t xml:space="preserve">2. </w:t>
      </w:r>
      <w:r w:rsidRPr="00135B7F">
        <w:rPr>
          <w:rFonts w:ascii="Calibri" w:hAnsi="Calibri"/>
          <w:noProof/>
          <w:sz w:val="22"/>
        </w:rPr>
        <w:tab/>
        <w:t>Griffith M, Griffith OL, Mwenifumbo J, Goya R, Morrissy a S, et al. (2010) Alternative expression analysis by RNA sequencing. Nat Methods 7: 843–847. doi:10.1038/nmeth.1503.</w:t>
      </w:r>
    </w:p>
    <w:p w14:paraId="6A6A811C" w14:textId="77777777" w:rsidR="00135B7F" w:rsidRPr="00135B7F" w:rsidRDefault="00135B7F">
      <w:pPr>
        <w:pStyle w:val="NormalWeb"/>
        <w:ind w:left="640" w:hanging="640"/>
        <w:divId w:val="392003094"/>
        <w:rPr>
          <w:rFonts w:ascii="Calibri" w:hAnsi="Calibri"/>
          <w:noProof/>
          <w:sz w:val="22"/>
        </w:rPr>
      </w:pPr>
      <w:r w:rsidRPr="00135B7F">
        <w:rPr>
          <w:rFonts w:ascii="Calibri" w:hAnsi="Calibri"/>
          <w:noProof/>
          <w:sz w:val="22"/>
        </w:rPr>
        <w:t xml:space="preserve">3. </w:t>
      </w:r>
      <w:r w:rsidRPr="00135B7F">
        <w:rPr>
          <w:rFonts w:ascii="Calibri" w:hAnsi="Calibri"/>
          <w:noProof/>
          <w:sz w:val="22"/>
        </w:rPr>
        <w:tab/>
        <w:t>Asmann YW, Klee EW, Thompson EA, Perez E a, Middha S, et al. (2009) 3’ tag digital gene expression profiling of human brain and universal reference RNA using Illumina Genome Analyzer. BMC Genomics 10: 531. doi:10.1186/1471-2164-10-531.</w:t>
      </w:r>
    </w:p>
    <w:p w14:paraId="12E80D35" w14:textId="77777777" w:rsidR="00135B7F" w:rsidRPr="00135B7F" w:rsidRDefault="00135B7F">
      <w:pPr>
        <w:pStyle w:val="NormalWeb"/>
        <w:ind w:left="640" w:hanging="640"/>
        <w:divId w:val="392003094"/>
        <w:rPr>
          <w:rFonts w:ascii="Calibri" w:hAnsi="Calibri"/>
          <w:noProof/>
          <w:sz w:val="22"/>
        </w:rPr>
      </w:pPr>
      <w:r w:rsidRPr="00135B7F">
        <w:rPr>
          <w:rFonts w:ascii="Calibri" w:hAnsi="Calibri"/>
          <w:noProof/>
          <w:sz w:val="22"/>
        </w:rPr>
        <w:t xml:space="preserve">4. </w:t>
      </w:r>
      <w:r w:rsidRPr="00135B7F">
        <w:rPr>
          <w:rFonts w:ascii="Calibri" w:hAnsi="Calibri"/>
          <w:noProof/>
          <w:sz w:val="22"/>
        </w:rPr>
        <w:tab/>
        <w:t>Wu AR, Neff NF, Kalisky T, Dalerba P, Treutlein B, et al. (2014) Quantitative assessment of single-cell RNA-sequencing methods. Nat Methods 11: 41–46. doi:10.1038/nmeth.2694.</w:t>
      </w:r>
    </w:p>
    <w:p w14:paraId="6B4F56C2" w14:textId="77777777" w:rsidR="00135B7F" w:rsidRPr="00135B7F" w:rsidRDefault="00135B7F">
      <w:pPr>
        <w:pStyle w:val="NormalWeb"/>
        <w:ind w:left="640" w:hanging="640"/>
        <w:divId w:val="392003094"/>
        <w:rPr>
          <w:rFonts w:ascii="Calibri" w:hAnsi="Calibri"/>
          <w:noProof/>
          <w:sz w:val="22"/>
        </w:rPr>
      </w:pPr>
      <w:r w:rsidRPr="00135B7F">
        <w:rPr>
          <w:rFonts w:ascii="Calibri" w:hAnsi="Calibri"/>
          <w:noProof/>
          <w:sz w:val="22"/>
        </w:rPr>
        <w:t xml:space="preserve">5. </w:t>
      </w:r>
      <w:r w:rsidRPr="00135B7F">
        <w:rPr>
          <w:rFonts w:ascii="Calibri" w:hAnsi="Calibri"/>
          <w:noProof/>
          <w:sz w:val="22"/>
        </w:rPr>
        <w:tab/>
        <w:t xml:space="preserve">Shi Y, He M (2014) Differential gene expression identified by RNA-Seq and qPCR in two sizes of pearl oyster (Pinctada fucata). Gene 538: 313–322. doi:10.1016/j.gene.2014.01.031. </w:t>
      </w:r>
    </w:p>
    <w:p w14:paraId="32EB6EC6" w14:textId="6AAA3360" w:rsidR="00135B7F" w:rsidRPr="004A6E10" w:rsidRDefault="00135B7F" w:rsidP="003E3D18">
      <w:pPr>
        <w:bidi w:val="0"/>
        <w:rPr>
          <w:b/>
        </w:rPr>
      </w:pPr>
      <w:r>
        <w:rPr>
          <w:b/>
        </w:rPr>
        <w:fldChar w:fldCharType="end"/>
      </w:r>
    </w:p>
    <w:sectPr w:rsidR="00135B7F" w:rsidRPr="004A6E10" w:rsidSect="00BC1BB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3-16T08:42:00Z" w:initials="DB">
    <w:p w14:paraId="6C36B866" w14:textId="77777777" w:rsidR="0055047C" w:rsidRDefault="0055047C">
      <w:pPr>
        <w:pStyle w:val="CommentText"/>
      </w:pPr>
      <w:r>
        <w:rPr>
          <w:rStyle w:val="CommentReference"/>
        </w:rPr>
        <w:annotationRef/>
      </w:r>
      <w:r>
        <w:rPr>
          <w:rtl/>
        </w:rPr>
        <w:t>Irit which two were these, so we can add it to the methods</w:t>
      </w:r>
    </w:p>
  </w:comment>
  <w:comment w:id="2" w:author="Dave Bridges" w:date="2015-03-12T11:31:00Z" w:initials="DB">
    <w:p w14:paraId="6E8DD244" w14:textId="77777777" w:rsidR="0055047C" w:rsidRDefault="0055047C">
      <w:pPr>
        <w:pStyle w:val="CommentText"/>
      </w:pPr>
      <w:ins w:id="3" w:author="Dave Bridges" w:date="2015-03-12T11:31:00Z">
        <w:r>
          <w:rPr>
            <w:rStyle w:val="CommentReference"/>
          </w:rPr>
          <w:annotationRef/>
        </w:r>
      </w:ins>
      <w:r>
        <w:rPr>
          <w:rtl/>
        </w:rPr>
        <w:t>Quynh needs to approve this</w:t>
      </w:r>
    </w:p>
  </w:comment>
  <w:comment w:id="4" w:author="Dave Bridges" w:date="2015-03-16T08:53:00Z" w:initials="DB">
    <w:p w14:paraId="0917B1AA" w14:textId="00602012" w:rsidR="0055047C" w:rsidRDefault="0055047C">
      <w:pPr>
        <w:pStyle w:val="CommentText"/>
      </w:pPr>
      <w:r>
        <w:rPr>
          <w:rStyle w:val="CommentReference"/>
        </w:rPr>
        <w:annotationRef/>
      </w:r>
      <w:r>
        <w:rPr>
          <w:rtl/>
        </w:rPr>
        <w:t>waiting  on William regarding the diagnostic criteria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E4DB6"/>
    <w:rsid w:val="00135B7F"/>
    <w:rsid w:val="003556B5"/>
    <w:rsid w:val="003E3D18"/>
    <w:rsid w:val="00405D8C"/>
    <w:rsid w:val="004A6E10"/>
    <w:rsid w:val="0055047C"/>
    <w:rsid w:val="00642BC7"/>
    <w:rsid w:val="00704F0A"/>
    <w:rsid w:val="00807ED2"/>
    <w:rsid w:val="00844D29"/>
    <w:rsid w:val="00904211"/>
    <w:rsid w:val="009A2DDB"/>
    <w:rsid w:val="009F143A"/>
    <w:rsid w:val="009F1F07"/>
    <w:rsid w:val="00BC1BBF"/>
    <w:rsid w:val="00BD1120"/>
    <w:rsid w:val="00BF3012"/>
    <w:rsid w:val="00DA41DB"/>
    <w:rsid w:val="00E35E1A"/>
    <w:rsid w:val="00EB47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8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semiHidden/>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semiHidden/>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F6C5B-CF68-C842-8EB2-6BA0B6E2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3718</Words>
  <Characters>21196</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6</cp:revision>
  <dcterms:created xsi:type="dcterms:W3CDTF">2015-03-12T16:37:00Z</dcterms:created>
  <dcterms:modified xsi:type="dcterms:W3CDTF">2015-03-16T14:40:00Z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