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732D45BE" w:rsidR="002025A3" w:rsidRDefault="002025A3" w:rsidP="0015200A">
      <w:pPr>
        <w:spacing w:line="480" w:lineRule="auto"/>
      </w:pPr>
      <w:r>
        <w:t xml:space="preserve">WORD COUNT: </w:t>
      </w:r>
      <w:r w:rsidR="008D1AB7">
        <w:t xml:space="preserve"> </w:t>
      </w:r>
      <w:r w:rsidR="00051BF6">
        <w:t>5290</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50607156"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syndrome, caused by </w:t>
      </w:r>
      <w:r w:rsidR="00F37C5B">
        <w:lastRenderedPageBreak/>
        <w:t>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B5029C5" w:rsidR="002025A3" w:rsidRDefault="00091F82" w:rsidP="0015200A">
      <w:pPr>
        <w:pStyle w:val="Heading2"/>
        <w:spacing w:line="480" w:lineRule="auto"/>
      </w:pPr>
      <w:r>
        <w:t>Patient R</w:t>
      </w:r>
      <w:r w:rsidR="002025A3">
        <w:t>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3F0188D8" w:rsidR="002025A3" w:rsidRDefault="00091F82" w:rsidP="0015200A">
      <w:pPr>
        <w:pStyle w:val="Heading2"/>
        <w:spacing w:line="480" w:lineRule="auto"/>
      </w:pPr>
      <w:r>
        <w:t>Subcutaneous Fat B</w:t>
      </w:r>
      <w:r w:rsidR="002025A3">
        <w:t>iopsy</w:t>
      </w:r>
    </w:p>
    <w:p w14:paraId="30760CB5" w14:textId="7E3680F3"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 xml:space="preserve">500 mg of this fat graft was used </w:t>
      </w:r>
      <w:r w:rsidR="00091F82">
        <w:t>in this</w:t>
      </w:r>
      <w:r>
        <w:t xml:space="preserve"> study.  ~100 mg </w:t>
      </w:r>
      <w:r w:rsidR="007B0D78">
        <w:t xml:space="preserve">fresh adipose tissue </w:t>
      </w:r>
      <w:r w:rsidR="00091F82">
        <w:t>was</w:t>
      </w:r>
      <w:r>
        <w:t xml:space="preserve"> utilized for </w:t>
      </w:r>
      <w:r w:rsidRPr="00091F82">
        <w:rPr>
          <w:i/>
        </w:rPr>
        <w:t>ex vivo</w:t>
      </w:r>
      <w:r>
        <w:t xml:space="preserve">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F24BA27" w14:textId="55238B9A" w:rsid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66369C81" w14:textId="33D59043" w:rsidR="00931FFA" w:rsidRDefault="00931FFA" w:rsidP="0015200A">
      <w:pPr>
        <w:pStyle w:val="Heading2"/>
        <w:spacing w:line="480" w:lineRule="auto"/>
      </w:pPr>
      <w:r>
        <w:t>Treatment of Animals with Dexamethasone</w:t>
      </w:r>
    </w:p>
    <w:p w14:paraId="581EE21E" w14:textId="2A4ED86C" w:rsidR="00931FFA" w:rsidRDefault="00C81680" w:rsidP="005842A4">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w:t>
      </w:r>
      <w:r w:rsidR="00091F82">
        <w:t xml:space="preserve">Animal body weight and body composition was </w:t>
      </w:r>
      <w:r w:rsidR="00371B43">
        <w:t xml:space="preserve">determined </w:t>
      </w:r>
      <w:r w:rsidR="00091F82">
        <w:t xml:space="preserve">weekly </w:t>
      </w:r>
      <w:r w:rsidR="00371B43">
        <w:t xml:space="preserve">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w:t>
      </w:r>
      <w:r w:rsidR="000C671D">
        <w:t xml:space="preserve">fasted for 16h and were </w:t>
      </w:r>
      <w:r w:rsidR="00563B3B">
        <w:t xml:space="preserve">sacrificed by cervical dislocation </w:t>
      </w:r>
      <w:r w:rsidR="000C671D">
        <w:t xml:space="preserve">at ZT3 </w:t>
      </w:r>
      <w:r w:rsidR="00563B3B">
        <w:t xml:space="preserve">after </w:t>
      </w:r>
      <w:proofErr w:type="spellStart"/>
      <w:r w:rsidR="00563B3B">
        <w:t>isoflurane</w:t>
      </w:r>
      <w:proofErr w:type="spellEnd"/>
      <w:r w:rsidR="00563B3B">
        <w:t xml:space="preserve"> </w:t>
      </w:r>
      <w:proofErr w:type="spellStart"/>
      <w:r w:rsidR="00563B3B">
        <w:t>anaesthesia</w:t>
      </w:r>
      <w:proofErr w:type="spellEnd"/>
      <w:r w:rsidR="00563B3B">
        <w:t xml:space="preserve">. </w:t>
      </w:r>
      <w:r w:rsidR="005842A4">
        <w:t xml:space="preserve">Following cervical dislocation, a sagittal incision was made along the </w:t>
      </w:r>
      <w:proofErr w:type="spellStart"/>
      <w:r w:rsidR="005842A4">
        <w:t>medioventral</w:t>
      </w:r>
      <w:proofErr w:type="spellEnd"/>
      <w:r w:rsidR="005842A4">
        <w:t xml:space="preserve"> surface of each mouse and the skin carefully pulled back to expose the subcutaneous fat depots. The incision was extended along the anterior surface of each </w:t>
      </w:r>
      <w:proofErr w:type="spellStart"/>
      <w:r w:rsidR="005842A4">
        <w:t>hindlimb</w:t>
      </w:r>
      <w:proofErr w:type="spellEnd"/>
      <w:r w:rsidR="005842A4">
        <w:t xml:space="preserve"> to allow careful dissection of the inguinal fat pads.  A small incision was then made into the rectus </w:t>
      </w:r>
      <w:proofErr w:type="spellStart"/>
      <w:r w:rsidR="005842A4">
        <w:t>abdominus</w:t>
      </w:r>
      <w:proofErr w:type="spellEnd"/>
      <w:r w:rsidR="005842A4">
        <w:t xml:space="preserve"> muscle to expose the abdominal</w:t>
      </w:r>
      <w:r w:rsidR="00091F82">
        <w:t xml:space="preserve"> cavity. The </w:t>
      </w:r>
      <w:proofErr w:type="spellStart"/>
      <w:r w:rsidR="005842A4">
        <w:t>epididymal</w:t>
      </w:r>
      <w:proofErr w:type="spellEnd"/>
      <w:r w:rsidR="005842A4">
        <w:t xml:space="preserve"> fats </w:t>
      </w:r>
      <w:r w:rsidR="005842A4">
        <w:lastRenderedPageBreak/>
        <w:t>pads were identified and carefully dissected out. The right fat pads from each mouse were weighed and snap frozen in liquid nitrogen</w:t>
      </w:r>
      <w:r w:rsidR="00091F82">
        <w:t xml:space="preserve"> for later analysis.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10D0BDC9" w14:textId="7500861F" w:rsidR="006A1AA1" w:rsidRPr="006A1AA1" w:rsidRDefault="00270A3F" w:rsidP="006A1AA1">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w:t>
      </w:r>
      <w:r w:rsidR="00AE2090">
        <w:lastRenderedPageBreak/>
        <w:t xml:space="preserve">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r w:rsidR="00070E5A">
        <w:t xml:space="preserve">  Statistical tests were performed as </w:t>
      </w:r>
      <w:r w:rsidR="006A1AA1">
        <w:t>described below based on tests of normality and</w:t>
      </w:r>
      <w:r w:rsidR="006A1AA1" w:rsidRPr="006A1AA1">
        <w:t> </w:t>
      </w:r>
      <w:r w:rsidR="006A1AA1" w:rsidRPr="006A1AA1">
        <w:rPr>
          <w:iCs/>
        </w:rPr>
        <w:t>homoscedasticity</w:t>
      </w:r>
      <w:r w:rsidR="006A1AA1">
        <w:rPr>
          <w:iCs/>
        </w:rPr>
        <w:t>, then p-values were adjusted for multiple corrections based on the number of genes tested for each tissue</w:t>
      </w:r>
      <w:r w:rsidR="000936EA">
        <w:rPr>
          <w:iCs/>
        </w:rPr>
        <w:t xml:space="preserve"> </w:t>
      </w:r>
      <w:proofErr w:type="spellStart"/>
      <w:r w:rsidR="000936EA">
        <w:rPr>
          <w:iCs/>
        </w:rPr>
        <w:t>accross</w:t>
      </w:r>
      <w:proofErr w:type="spellEnd"/>
      <w:r w:rsidR="000936EA">
        <w:rPr>
          <w:iCs/>
        </w:rPr>
        <w:t xml:space="preserve"> this manuscript</w:t>
      </w:r>
      <w:r w:rsidR="006A1AA1">
        <w:rPr>
          <w:iCs/>
        </w:rPr>
        <w:t>.</w:t>
      </w:r>
    </w:p>
    <w:p w14:paraId="03682808" w14:textId="26B88B9D" w:rsidR="00845D55" w:rsidRPr="00845D55" w:rsidRDefault="00070E5A" w:rsidP="0015200A">
      <w:pPr>
        <w:spacing w:line="480" w:lineRule="auto"/>
      </w:pPr>
      <w:r>
        <w:t xml:space="preserve"> </w:t>
      </w:r>
    </w:p>
    <w:p w14:paraId="14E2D63B" w14:textId="3DFE8362" w:rsidR="002025A3" w:rsidRDefault="002025A3" w:rsidP="0015200A">
      <w:pPr>
        <w:pStyle w:val="Heading2"/>
        <w:spacing w:line="480" w:lineRule="auto"/>
      </w:pPr>
      <w:proofErr w:type="spellStart"/>
      <w:r>
        <w:t>Ceramide</w:t>
      </w:r>
      <w:proofErr w:type="spellEnd"/>
      <w:r>
        <w:t xml:space="preserve"> </w:t>
      </w:r>
      <w:r w:rsidR="00091F82">
        <w:t>D</w:t>
      </w:r>
      <w:r>
        <w:t>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w:t>
      </w:r>
      <w:r>
        <w:lastRenderedPageBreak/>
        <w:t xml:space="preserve">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6F87EECC"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w:t>
      </w:r>
      <w:r>
        <w:lastRenderedPageBreak/>
        <w:t>Shapiro-</w:t>
      </w:r>
      <w:proofErr w:type="spellStart"/>
      <w:r>
        <w:t>Wi</w:t>
      </w:r>
      <w:r w:rsidR="007908AD">
        <w:t>lk</w:t>
      </w:r>
      <w:proofErr w:type="spellEnd"/>
      <w:r w:rsidR="007908AD">
        <w:t xml:space="preserve"> test. Wilcoxon rank sum tests were</w:t>
      </w:r>
      <w:r w:rsidR="00022D93">
        <w:t xml:space="preserve"> used</w:t>
      </w:r>
      <w:r w:rsidR="007908AD">
        <w:t xml:space="preserve"> </w:t>
      </w:r>
      <w:r w:rsidR="00F877A5">
        <w:t>when</w:t>
      </w:r>
      <w:r>
        <w:t xml:space="preserve"> data were not normally distributed.</w:t>
      </w:r>
      <w:r w:rsidR="003F29E8">
        <w:t xml:space="preserve">   </w:t>
      </w:r>
      <w:r>
        <w:t xml:space="preserve">Welch’s </w:t>
      </w:r>
      <w:r w:rsidRPr="003F29E8">
        <w:rPr>
          <w:i/>
        </w:rPr>
        <w:t>t</w:t>
      </w:r>
      <w:r>
        <w:t xml:space="preserve">-test was </w:t>
      </w:r>
      <w:r w:rsidR="00022D93">
        <w:t xml:space="preserve">performed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5D46B5">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w:t>
      </w:r>
      <w:r w:rsidR="00BF6D54">
        <w:t>The analysis we focus</w:t>
      </w:r>
      <w:r w:rsidR="00CC6C05">
        <w:t>ed on</w:t>
      </w:r>
      <w:r w:rsidR="004258CA">
        <w:t xml:space="preserve"> in this man</w:t>
      </w:r>
      <w:r w:rsidR="00BF6D54">
        <w:t>u</w:t>
      </w:r>
      <w:r w:rsidR="004258CA">
        <w:t>s</w:t>
      </w:r>
      <w:r w:rsidR="00BF6D54">
        <w:t xml:space="preserve">cript was without adjustment for BMI or age and is presented in Supplementary Table 1, with GSEA analyses in Supplementary Tables 2-3.  </w:t>
      </w:r>
      <w:r w:rsidR="00022D93">
        <w:t xml:space="preserve">A model controlled for BMI </w:t>
      </w:r>
      <w:r w:rsidR="00CC6C05">
        <w:t>as a linear covariate or stratified into obese or non-obese subjects is presented in Supplementary Tables 4</w:t>
      </w:r>
      <w:r w:rsidR="00682022">
        <w:t xml:space="preserve"> and </w:t>
      </w:r>
      <w:r w:rsidR="00CC6C05">
        <w:t xml:space="preserve">5.  A model </w:t>
      </w:r>
      <w:r w:rsidR="00682022">
        <w:t>controlled</w:t>
      </w:r>
      <w:r w:rsidR="00CC6C05">
        <w:t xml:space="preserve"> for </w:t>
      </w:r>
      <w:r w:rsidR="00CE028D">
        <w:t xml:space="preserve">both BMI and age </w:t>
      </w:r>
      <w:r w:rsidR="00091F82">
        <w:t>was</w:t>
      </w:r>
      <w:r w:rsidR="00BF6D54">
        <w:t xml:space="preserve"> also</w:t>
      </w:r>
      <w:r w:rsidR="00022D93">
        <w:t xml:space="preserve"> constructed </w:t>
      </w:r>
      <w:r w:rsidR="00CC6C05">
        <w:t xml:space="preserve">and is presented in Supplementary Table 6.  </w:t>
      </w:r>
      <w:r w:rsidR="003B5663" w:rsidRPr="003B5663">
        <w:t xml:space="preserve">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71F5789E" w:rsidR="007908AD" w:rsidRDefault="002025A3" w:rsidP="0015200A">
      <w:pPr>
        <w:spacing w:line="480" w:lineRule="auto"/>
      </w:pPr>
      <w:r>
        <w:lastRenderedPageBreak/>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hyperlink r:id="rId11" w:history="1">
        <w:r w:rsidR="00D17887" w:rsidRPr="005B2437">
          <w:rPr>
            <w:rStyle w:val="Hyperlink"/>
          </w:rPr>
          <w:t>http://bridgeslab.github.io/CushingAcromegalyStudy</w:t>
        </w:r>
      </w:hyperlink>
      <w:r w:rsidR="00D17887">
        <w:t xml:space="preserve"> </w:t>
      </w:r>
      <w:r w:rsidR="00D17887">
        <w:fldChar w:fldCharType="begin" w:fldLock="1"/>
      </w:r>
      <w:r w:rsidR="00D17887">
        <w:instrText>ADDIN CSL_CITATION { "citationItems" : [ { "id" : "ITEM-1", "itemData" : { "DOI" : "10.5281/zenodo.10726", "URL" : "http://zenodo.org/record/10726", "accessed" : { "date-parts" : [ [ "2014", "7", "25" ] ] }, "author" : [ { "dropping-particle" : "", "family" : "Hochberg", "given" : "Irit", "non-dropping-particle" : "", "parse-names" : false, "suffix" : "" }, { "dropping-particle" : "", "family" : "Tran", "given" : "Quynh", "non-dropping-particle" : "", "parse-names" : false, "suffix" : "" }, { "dropping-particle" : "", "family" : "Harvey", "given" : "Innocence", "non-dropping-particle" : "", "parse-names" : false, "suffix" : "" }, { "dropping-particle" : "", "family" : "Stephenson", "given" : "Erin J.", "non-dropping-particle" : "", "parse-names" : false, "suffix" : "" }, { "dropping-particle" : "", "family" : "Barkan", "given" : "Ariel R.", "non-dropping-particle" : "", "parse-names" : false, "suffix" : "" }, { "dropping-particle" : "", "family" : "Chander", "given" : "William F.", "non-dropping-particle" : "", "parse-names" : false, "suffix" : "" }, { "dropping-particle" : "", "family" : "Saltiel", "given" : "Alan R.", "non-dropping-particle" : "", "parse-names" : false, "suffix" : "" }, { "dropping-particle" : "", "family" : "Bridges", "given" : "Dave", "non-dropping-particle" : "", "parse-names" : false, "suffix" : "" } ], "id" : "ITEM-1", "issued" : { "date-parts" : [ [ "2015", "7", "1" ] ] }, "title" : "Dataset for Cushing's and Acromegaly Studies", "type" : "webpage" }, "uris" : [ "http://www.mendeley.com/documents/?uuid=b2ff2411-efac-4221-a876-d8cc547eca22" ] } ], "mendeley" : { "formattedCitation" : "(Hochberg &lt;i&gt;et al.&lt;/i&gt; 2015)", "plainTextFormattedCitation" : "(Hochberg et al. 2015)", "previouslyFormattedCitation" : "(Hochberg &lt;i&gt;et al.&lt;/i&gt; 2015)" }, "properties" : { "noteIndex" : 0 }, "schema" : "https://github.com/citation-style-language/schema/raw/master/csl-citation.json" }</w:instrText>
      </w:r>
      <w:r w:rsidR="00D17887">
        <w:fldChar w:fldCharType="separate"/>
      </w:r>
      <w:r w:rsidR="00D17887" w:rsidRPr="00D17887">
        <w:rPr>
          <w:noProof/>
        </w:rPr>
        <w:t xml:space="preserve">(Hochberg </w:t>
      </w:r>
      <w:r w:rsidR="00D17887" w:rsidRPr="00D17887">
        <w:rPr>
          <w:i/>
          <w:noProof/>
        </w:rPr>
        <w:t>et al.</w:t>
      </w:r>
      <w:r w:rsidR="00D17887" w:rsidRPr="00D17887">
        <w:rPr>
          <w:noProof/>
        </w:rPr>
        <w:t xml:space="preserve"> 2015)</w:t>
      </w:r>
      <w:r w:rsidR="00D17887">
        <w:fldChar w:fldCharType="end"/>
      </w:r>
    </w:p>
    <w:p w14:paraId="11073828" w14:textId="77777777" w:rsidR="002025A3" w:rsidRDefault="002025A3" w:rsidP="0015200A">
      <w:pPr>
        <w:pStyle w:val="Heading1"/>
        <w:spacing w:line="480" w:lineRule="auto"/>
      </w:pPr>
      <w:r>
        <w:t xml:space="preserve">Results </w:t>
      </w:r>
    </w:p>
    <w:p w14:paraId="5D02140C" w14:textId="4556EE86" w:rsidR="002025A3" w:rsidRDefault="00091F82" w:rsidP="0015200A">
      <w:pPr>
        <w:pStyle w:val="Heading2"/>
        <w:spacing w:line="480" w:lineRule="auto"/>
      </w:pPr>
      <w:r>
        <w:t>Patient C</w:t>
      </w:r>
      <w:r w:rsidR="002025A3">
        <w:t>haracteristics</w:t>
      </w:r>
    </w:p>
    <w:p w14:paraId="72471281" w14:textId="4BD7979C" w:rsidR="00920456" w:rsidRDefault="002025A3" w:rsidP="0015200A">
      <w:pPr>
        <w:shd w:val="clear" w:color="auto" w:fill="FFFFFF"/>
        <w:spacing w:line="480" w:lineRule="auto"/>
      </w:pPr>
      <w:r w:rsidRPr="00920456">
        <w:t xml:space="preserve">Clinical and metabolic measurements were obtained for </w:t>
      </w:r>
      <w:r w:rsidR="00091F82">
        <w:t>five</w:t>
      </w:r>
      <w:r w:rsidRPr="00920456">
        <w:t xml:space="preserve">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1B28B4A1"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w:t>
      </w:r>
      <w:r w:rsidR="00091F82">
        <w:t>five</w:t>
      </w:r>
      <w:r w:rsidR="002025A3">
        <w:t xml:space="preserve">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EBB1A46" w:rsidR="002025A3" w:rsidRDefault="00A74BCC" w:rsidP="0015200A">
      <w:pPr>
        <w:spacing w:line="480" w:lineRule="auto"/>
      </w:pPr>
      <w:r>
        <w:t>To validate the gene expression changes observed in human subjects, we treated C67BL/6J mice with dexamethasone</w:t>
      </w:r>
      <w:r w:rsidR="00091F82">
        <w:t>, a synthetic glucocorticoid</w:t>
      </w:r>
      <w:r>
        <w:t xml:space="preserv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 xml:space="preserve">methasone treated </w:t>
      </w:r>
      <w:r w:rsidR="006E37CB">
        <w:lastRenderedPageBreak/>
        <w:t>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396369E3" w:rsidR="002025A3" w:rsidRDefault="00091F82" w:rsidP="0015200A">
      <w:pPr>
        <w:pStyle w:val="Heading2"/>
        <w:spacing w:line="480" w:lineRule="auto"/>
      </w:pPr>
      <w:proofErr w:type="spellStart"/>
      <w:r>
        <w:t>Transcriptomic</w:t>
      </w:r>
      <w:proofErr w:type="spellEnd"/>
      <w:r>
        <w:t xml:space="preserve"> A</w:t>
      </w:r>
      <w:r w:rsidR="002025A3">
        <w:t>nalysis</w:t>
      </w:r>
      <w:r w:rsidR="00600CE6">
        <w:t xml:space="preserve"> of </w:t>
      </w:r>
      <w:r>
        <w:t>H</w:t>
      </w:r>
      <w:r w:rsidR="00600CE6">
        <w:t xml:space="preserve">uman </w:t>
      </w:r>
      <w:r>
        <w:t>A</w:t>
      </w:r>
      <w:r w:rsidR="00600CE6">
        <w:t xml:space="preserve">dipose </w:t>
      </w:r>
      <w:r>
        <w:t>T</w:t>
      </w:r>
      <w:r w:rsidR="00600CE6">
        <w:t xml:space="preserve">issue </w:t>
      </w:r>
      <w:r>
        <w:t>F</w:t>
      </w:r>
      <w:r w:rsidR="00600CE6">
        <w:t>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xml:space="preserve">, </w:t>
      </w:r>
      <w:r w:rsidR="001C7894">
        <w:lastRenderedPageBreak/>
        <w:t>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2A591F79"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w:t>
      </w:r>
      <w:r>
        <w:lastRenderedPageBreak/>
        <w:t xml:space="preserve">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w:t>
      </w:r>
      <w:r w:rsidR="00F4432A">
        <w:rPr>
          <w:i/>
        </w:rPr>
        <w:t>1</w:t>
      </w:r>
      <w:r w:rsidR="005A3933">
        <w:t xml:space="preserve">, </w:t>
      </w:r>
      <w:r w:rsidR="005A3933" w:rsidRPr="00B8003A">
        <w:rPr>
          <w:i/>
        </w:rPr>
        <w:t>DGAT</w:t>
      </w:r>
      <w:r w:rsidR="00F4432A">
        <w:rPr>
          <w:i/>
        </w:rPr>
        <w:t>2</w:t>
      </w:r>
      <w:r w:rsidR="002025A3">
        <w:t>,</w:t>
      </w:r>
      <w:r w:rsidR="005812FE">
        <w:t xml:space="preserve"> </w:t>
      </w:r>
      <w:r w:rsidR="002025A3" w:rsidRPr="00B8003A">
        <w:rPr>
          <w:i/>
        </w:rPr>
        <w:t>AGPAT2</w:t>
      </w:r>
      <w:r w:rsidR="00EA76F1">
        <w:rPr>
          <w:i/>
        </w:rPr>
        <w:t>/3</w:t>
      </w:r>
      <w:r w:rsidR="005A3933" w:rsidRPr="00B8003A">
        <w:rPr>
          <w:i/>
        </w:rPr>
        <w:t>,</w:t>
      </w:r>
      <w:r w:rsidR="00EA76F1">
        <w:rPr>
          <w:i/>
        </w:rPr>
        <w:t xml:space="preserve"> </w:t>
      </w:r>
      <w:r w:rsidR="00C00C81" w:rsidRPr="00C00C81">
        <w:t>and</w:t>
      </w:r>
      <w:r w:rsidR="00C00C81">
        <w:rPr>
          <w:i/>
        </w:rPr>
        <w:t xml:space="preserve"> </w:t>
      </w:r>
      <w:r w:rsidR="005A3933" w:rsidRPr="00B8003A">
        <w:rPr>
          <w:i/>
        </w:rPr>
        <w:t>GPD1</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79796B5C" w:rsidR="00270104" w:rsidRDefault="004276D8" w:rsidP="0015200A">
      <w:pPr>
        <w:spacing w:line="480" w:lineRule="auto"/>
      </w:pPr>
      <w:r>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091F82">
        <w:t>Lipoprotein L</w:t>
      </w:r>
      <w:r w:rsidR="002025A3">
        <w:t>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FF1F68">
        <w:t>, data not shown</w:t>
      </w:r>
      <w:r w:rsidR="00270104">
        <w:t xml:space="preserve">). </w:t>
      </w:r>
    </w:p>
    <w:p w14:paraId="34F82564" w14:textId="77777777" w:rsidR="00E318EB" w:rsidRDefault="00E318EB" w:rsidP="0015200A">
      <w:pPr>
        <w:spacing w:line="480" w:lineRule="auto"/>
      </w:pPr>
    </w:p>
    <w:p w14:paraId="336D6AB1" w14:textId="5D9D8D0F" w:rsidR="00F1025D" w:rsidRDefault="00F1025D" w:rsidP="0015200A">
      <w:pPr>
        <w:spacing w:line="480" w:lineRule="auto"/>
      </w:pPr>
      <w:r w:rsidRPr="00F1025D">
        <w:lastRenderedPageBreak/>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583D7D">
        <w:t xml:space="preserve">), </w:t>
      </w:r>
      <w:proofErr w:type="gramStart"/>
      <w:r w:rsidR="001E43B2">
        <w:t xml:space="preserve">7-dehydrocholesterol </w:t>
      </w:r>
      <w:proofErr w:type="spellStart"/>
      <w:r w:rsidR="001E43B2">
        <w:t>reductase</w:t>
      </w:r>
      <w:proofErr w:type="spellEnd"/>
      <w:r w:rsidR="001E43B2">
        <w:t xml:space="preserve"> (</w:t>
      </w:r>
      <w:r w:rsidR="001E43B2" w:rsidRPr="00091F82">
        <w:rPr>
          <w:i/>
        </w:rPr>
        <w:t>DHCR7</w:t>
      </w:r>
      <w:r w:rsidR="001E43B2">
        <w:t>)</w:t>
      </w:r>
      <w:proofErr w:type="gramEnd"/>
      <w:r w:rsidR="00583D7D">
        <w:t xml:space="preserve"> </w:t>
      </w:r>
      <w:r w:rsidR="00DC1A40">
        <w:t>and HMG-CoA synthase (</w:t>
      </w:r>
      <w:r w:rsidR="00DC1A40" w:rsidRPr="00091F82">
        <w:rPr>
          <w:i/>
        </w:rPr>
        <w:t>HMGCS1</w:t>
      </w:r>
      <w:r w:rsidR="00DC1A40">
        <w:t>)</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64EC5105" w:rsidR="002025A3" w:rsidRDefault="002025A3" w:rsidP="0015200A">
      <w:pPr>
        <w:pStyle w:val="Heading2"/>
        <w:spacing w:line="480" w:lineRule="auto"/>
      </w:pPr>
      <w:r>
        <w:t xml:space="preserve">Genes </w:t>
      </w:r>
      <w:r w:rsidR="00091F82">
        <w:t>C</w:t>
      </w:r>
      <w:r w:rsidR="003218D6">
        <w:t>ontrolling</w:t>
      </w:r>
      <w:r>
        <w:t xml:space="preserve"> </w:t>
      </w:r>
      <w:r w:rsidR="00091F82">
        <w:t>G</w:t>
      </w:r>
      <w:r w:rsidR="007574EE">
        <w:t xml:space="preserve">lucose </w:t>
      </w:r>
      <w:r w:rsidR="00091F82">
        <w:t>O</w:t>
      </w:r>
      <w:r w:rsidR="007574EE">
        <w:t xml:space="preserve">xidation </w:t>
      </w:r>
      <w:r w:rsidR="00091F82">
        <w:t>A</w:t>
      </w:r>
      <w:r w:rsidR="007574EE">
        <w:t xml:space="preserve">re </w:t>
      </w:r>
      <w:r w:rsidR="00091F82">
        <w:t>E</w:t>
      </w:r>
      <w:r w:rsidR="007574EE">
        <w:t>levated</w:t>
      </w:r>
      <w:r w:rsidR="002B3E82">
        <w:t xml:space="preserve"> in Cushing's </w:t>
      </w:r>
      <w:proofErr w:type="gramStart"/>
      <w:r w:rsidR="00091F82">
        <w:t>D</w:t>
      </w:r>
      <w:r w:rsidR="00C9498B">
        <w:t>isease</w:t>
      </w:r>
      <w:proofErr w:type="gramEnd"/>
      <w:r w:rsidR="00C9498B">
        <w:t xml:space="preserve"> </w:t>
      </w:r>
      <w:r w:rsidR="00091F82">
        <w:t>P</w:t>
      </w:r>
      <w:r w:rsidR="002B3E82">
        <w:t>atients</w:t>
      </w:r>
    </w:p>
    <w:p w14:paraId="6AAB2DDB" w14:textId="1D9576F2"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2F3468">
        <w:t xml:space="preserve">  (Figure 5C</w:t>
      </w:r>
      <w:r w:rsidR="00A631D1">
        <w:t>).</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w:t>
      </w:r>
      <w:r w:rsidR="0098461E" w:rsidRPr="0098461E">
        <w:rPr>
          <w:noProof/>
        </w:rPr>
        <w:lastRenderedPageBreak/>
        <w:t xml:space="preserve">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1EDF60EC" w:rsidR="002025A3" w:rsidRDefault="00091F82" w:rsidP="0015200A">
      <w:pPr>
        <w:pStyle w:val="Heading2"/>
        <w:spacing w:line="480" w:lineRule="auto"/>
      </w:pPr>
      <w:r>
        <w:t>Genes That Regulate Protein C</w:t>
      </w:r>
      <w:r w:rsidR="00F0643F">
        <w:t>a</w:t>
      </w:r>
      <w:r w:rsidR="002025A3">
        <w:t>tabolism</w:t>
      </w:r>
      <w:r w:rsidR="00F0643F">
        <w:t xml:space="preserve"> </w:t>
      </w:r>
      <w:proofErr w:type="gramStart"/>
      <w:r w:rsidR="00F0643F">
        <w:t>are</w:t>
      </w:r>
      <w:proofErr w:type="gramEnd"/>
      <w:r w:rsidR="00F0643F">
        <w:t xml:space="preserve"> </w:t>
      </w:r>
      <w:proofErr w:type="spellStart"/>
      <w:r>
        <w:t>Upregulated</w:t>
      </w:r>
      <w:proofErr w:type="spellEnd"/>
      <w:r>
        <w:t xml:space="preserve"> in Adipose T</w:t>
      </w:r>
      <w:r w:rsidR="00F0643F">
        <w:t>issue</w:t>
      </w:r>
      <w:r>
        <w:t xml:space="preserve"> from G</w:t>
      </w:r>
      <w:r w:rsidR="004861BB">
        <w:t xml:space="preserve">lucocorticoid </w:t>
      </w:r>
      <w:r>
        <w:t>E</w:t>
      </w:r>
      <w:r w:rsidR="004861BB">
        <w:t xml:space="preserve">xposed </w:t>
      </w:r>
      <w:r>
        <w:t>S</w:t>
      </w:r>
      <w:r w:rsidR="004861BB">
        <w:t>ubjects</w:t>
      </w:r>
      <w:r w:rsidR="00F0643F">
        <w:t>.</w:t>
      </w:r>
    </w:p>
    <w:p w14:paraId="7D6AFCC9" w14:textId="3C449B06" w:rsidR="00F637BB" w:rsidRDefault="00F637BB" w:rsidP="0015200A">
      <w:pPr>
        <w:spacing w:line="480" w:lineRule="auto"/>
      </w:pPr>
      <w:r>
        <w:t xml:space="preserve">We found two major pathways of protein homeostasis </w:t>
      </w:r>
      <w:r w:rsidR="004861BB">
        <w:t xml:space="preserve">are altered </w:t>
      </w:r>
      <w:r>
        <w:t>in response to glucocorticoids.  In concert with reductions in lean body (including muscle) mass (Figure 2B), we observed substantial muscle weakness in mice treated with 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w:t>
      </w:r>
      <w:r w:rsidR="000D4B81">
        <w:t>.  These effects did not reach statistical significance due to variability in dexamethasone responsiveness</w:t>
      </w:r>
      <w:r w:rsidR="00E914B3">
        <w:t xml:space="preserve">.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6D0C6688" w:rsidR="002025A3" w:rsidRDefault="00E914B3" w:rsidP="0015200A">
      <w:pPr>
        <w:spacing w:line="480" w:lineRule="auto"/>
      </w:pPr>
      <w:r>
        <w:t>In adipose tissue from Cush</w:t>
      </w:r>
      <w:bookmarkStart w:id="0" w:name="_GoBack"/>
      <w:bookmarkEnd w:id="0"/>
      <w:r>
        <w:t>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w:t>
      </w:r>
      <w:r w:rsidR="001D595C">
        <w:t xml:space="preserve">Among the amino acid catabolism genes, </w:t>
      </w:r>
      <w:r w:rsidR="001D595C" w:rsidRPr="001D595C">
        <w:rPr>
          <w:i/>
        </w:rPr>
        <w:t>AOX</w:t>
      </w:r>
      <w:r w:rsidR="00C441EB">
        <w:rPr>
          <w:i/>
        </w:rPr>
        <w:t xml:space="preserve">1 </w:t>
      </w:r>
      <w:r w:rsidR="00C441EB">
        <w:t>(96% increase, q=0.03)</w:t>
      </w:r>
      <w:r w:rsidR="001D595C">
        <w:t xml:space="preserve">, </w:t>
      </w:r>
      <w:r w:rsidR="008C1031">
        <w:rPr>
          <w:i/>
        </w:rPr>
        <w:t>OXCT1</w:t>
      </w:r>
      <w:r w:rsidR="001D595C">
        <w:t xml:space="preserve"> </w:t>
      </w:r>
      <w:r w:rsidR="00C441EB">
        <w:t>(</w:t>
      </w:r>
      <w:r w:rsidR="008C1031">
        <w:t>40% increase, q=0.04</w:t>
      </w:r>
      <w:r w:rsidR="00C441EB">
        <w:t>)</w:t>
      </w:r>
      <w:r w:rsidR="008C1031">
        <w:t xml:space="preserve"> </w:t>
      </w:r>
      <w:r w:rsidR="001D595C">
        <w:t xml:space="preserve">and </w:t>
      </w:r>
      <w:r w:rsidR="001D595C" w:rsidRPr="001D595C">
        <w:rPr>
          <w:i/>
        </w:rPr>
        <w:t>BCAT1</w:t>
      </w:r>
      <w:r w:rsidR="001D595C">
        <w:t xml:space="preserve"> </w:t>
      </w:r>
      <w:r w:rsidR="008C1031">
        <w:t xml:space="preserve">(80% increase, p=0.048) </w:t>
      </w:r>
      <w:r w:rsidR="001D595C">
        <w:t xml:space="preserve">were all significantly </w:t>
      </w:r>
      <w:proofErr w:type="spellStart"/>
      <w:r w:rsidR="001D595C">
        <w:t>upregulated</w:t>
      </w:r>
      <w:proofErr w:type="spellEnd"/>
      <w:r w:rsidR="001D595C">
        <w:t xml:space="preserve">.  </w:t>
      </w:r>
      <w:r>
        <w:t xml:space="preserve">Together these data </w:t>
      </w:r>
      <w:r>
        <w:lastRenderedPageBreak/>
        <w:t xml:space="preserve">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3C9BD753" w:rsidR="002025A3" w:rsidRDefault="00F0643F" w:rsidP="0015200A">
      <w:pPr>
        <w:pStyle w:val="Heading2"/>
        <w:spacing w:line="480" w:lineRule="auto"/>
      </w:pPr>
      <w:r>
        <w:t xml:space="preserve">Genes </w:t>
      </w:r>
      <w:r w:rsidR="00091F82">
        <w:t>I</w:t>
      </w:r>
      <w:r>
        <w:t xml:space="preserve">nvolved in </w:t>
      </w:r>
      <w:r w:rsidR="00091F82">
        <w:t>P</w:t>
      </w:r>
      <w:r>
        <w:t xml:space="preserve">roximal </w:t>
      </w:r>
      <w:r w:rsidR="00091F82">
        <w:t>I</w:t>
      </w:r>
      <w:r>
        <w:t xml:space="preserve">nsulin </w:t>
      </w:r>
      <w:r w:rsidR="00091F82">
        <w:t>S</w:t>
      </w:r>
      <w:r>
        <w:t xml:space="preserve">ignaling are </w:t>
      </w:r>
      <w:r w:rsidR="00091F82">
        <w:t>U</w:t>
      </w:r>
      <w:r w:rsidR="00E318EB">
        <w:t xml:space="preserve">nchanged in </w:t>
      </w:r>
      <w:r w:rsidR="00091F82">
        <w:t>A</w:t>
      </w:r>
      <w:r w:rsidR="00E318EB">
        <w:t xml:space="preserve">dipose </w:t>
      </w:r>
      <w:r w:rsidR="00091F82">
        <w:t>T</w:t>
      </w:r>
      <w:r w:rsidR="00E318EB">
        <w:t>issue from</w:t>
      </w:r>
      <w:r>
        <w:t xml:space="preserve"> Cushing’s </w:t>
      </w:r>
      <w:proofErr w:type="gramStart"/>
      <w:r w:rsidR="00091F82">
        <w:t>D</w:t>
      </w:r>
      <w:r w:rsidR="00C9498B">
        <w:t>isease</w:t>
      </w:r>
      <w:proofErr w:type="gramEnd"/>
      <w:r w:rsidR="00C9498B">
        <w:t xml:space="preserve"> </w:t>
      </w:r>
      <w:r w:rsidR="00091F82">
        <w:t>P</w:t>
      </w:r>
      <w:r>
        <w:t>atients.</w:t>
      </w:r>
    </w:p>
    <w:p w14:paraId="3FD45D0B" w14:textId="63B8792A"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091F82">
        <w:t xml:space="preserve">the insulin receptor substrates </w:t>
      </w:r>
      <w:r w:rsidR="00547DEE" w:rsidRPr="00324E99">
        <w:rPr>
          <w:i/>
        </w:rPr>
        <w:t>IRS1</w:t>
      </w:r>
      <w:r w:rsidR="00091F82">
        <w:t xml:space="preserve"> or</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D17887">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w:t>
      </w:r>
      <w:r>
        <w:lastRenderedPageBreak/>
        <w:t>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60BC8DF2" w14:textId="6FE7D5AC" w:rsidR="00C77B27"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rsidR="00F4118B">
        <w:t xml:space="preserve">; </w:t>
      </w:r>
      <w:r w:rsidR="00682022">
        <w:t>Supplementary Table</w:t>
      </w:r>
      <w:r w:rsidR="00F4118B">
        <w:t>s</w:t>
      </w:r>
      <w:r w:rsidR="00682022">
        <w:t xml:space="preserve"> 4 and 5</w:t>
      </w:r>
      <w:r w:rsidR="00C77B27">
        <w:t>)</w:t>
      </w:r>
      <w:r>
        <w:t xml:space="preserve">.  </w:t>
      </w:r>
      <w:r w:rsidR="00000A0F">
        <w:t xml:space="preserve">We were surprised to </w:t>
      </w:r>
      <w:r w:rsidR="00000A0F">
        <w:lastRenderedPageBreak/>
        <w:t xml:space="preserve">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01D8BA60" w14:textId="28257985" w:rsidR="00827E06" w:rsidRPr="00827E06" w:rsidRDefault="002025A3" w:rsidP="00827E06">
      <w:pPr>
        <w:spacing w:line="480" w:lineRule="auto"/>
        <w:rPr>
          <w:b/>
        </w:rPr>
      </w:pPr>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w:t>
      </w:r>
      <w:r w:rsidR="00626864">
        <w:t xml:space="preserve">metabolism </w:t>
      </w:r>
      <w:r w:rsidR="00DB2ED9">
        <w:t>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proofErr w:type="gramStart"/>
      <w:r w:rsidR="00C3729C">
        <w:t>This is indicated by</w:t>
      </w:r>
      <w:r w:rsidR="00626864">
        <w:t xml:space="preserve"> significant</w:t>
      </w:r>
      <w:r w:rsidR="00C3729C">
        <w:t xml:space="preserve"> increases in glycolytic </w:t>
      </w:r>
      <w:r w:rsidR="00997D8F">
        <w:t>(</w:t>
      </w:r>
      <w:r w:rsidR="00025FF1">
        <w:rPr>
          <w:i/>
        </w:rPr>
        <w:t>ALDOC, ENO1, IDH1, ME1</w:t>
      </w:r>
      <w:r w:rsidR="00A56BA6">
        <w:rPr>
          <w:i/>
        </w:rPr>
        <w:t>, GALM and GAPDH</w:t>
      </w:r>
      <w:r w:rsidR="00C3729C">
        <w:rPr>
          <w:i/>
        </w:rPr>
        <w:t>)</w:t>
      </w:r>
      <w:r w:rsidR="00C3729C">
        <w:t xml:space="preserve">, </w:t>
      </w:r>
      <w:proofErr w:type="spellStart"/>
      <w:r w:rsidR="006229FE">
        <w:t>proteolytic</w:t>
      </w:r>
      <w:proofErr w:type="spellEnd"/>
      <w:r w:rsidR="006229FE">
        <w:t xml:space="preserve"> (</w:t>
      </w:r>
      <w:r w:rsidR="00631625" w:rsidRPr="00997D8F">
        <w:rPr>
          <w:i/>
        </w:rPr>
        <w:t>PSMD1</w:t>
      </w:r>
      <w:r w:rsidR="006229FE" w:rsidRPr="00F4118B">
        <w:rPr>
          <w:i/>
        </w:rPr>
        <w:t>/14</w:t>
      </w:r>
      <w:r w:rsidR="006229FE">
        <w:t xml:space="preserve">) </w:t>
      </w:r>
      <w:r w:rsidR="00C3729C">
        <w:t xml:space="preserve">and </w:t>
      </w:r>
      <w:proofErr w:type="spellStart"/>
      <w:r w:rsidR="00C3729C">
        <w:t>lipogenic</w:t>
      </w:r>
      <w:proofErr w:type="spellEnd"/>
      <w:r w:rsidR="00C3729C">
        <w:t xml:space="preserve">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r w:rsidR="0008047F">
        <w:rPr>
          <w:i/>
        </w:rPr>
        <w:t>,</w:t>
      </w:r>
      <w:r w:rsidR="00025FF1">
        <w:rPr>
          <w:i/>
        </w:rPr>
        <w:t xml:space="preserve"> ELOVL</w:t>
      </w:r>
      <w:r w:rsidR="006C0F0D">
        <w:rPr>
          <w:i/>
        </w:rPr>
        <w:t>5</w:t>
      </w:r>
      <w:r w:rsidR="0008047F">
        <w:rPr>
          <w:i/>
        </w:rPr>
        <w:t>,</w:t>
      </w:r>
      <w:r w:rsidR="0008047F" w:rsidRPr="0008047F">
        <w:rPr>
          <w:i/>
        </w:rPr>
        <w:t xml:space="preserve"> </w:t>
      </w:r>
      <w:r w:rsidR="0008047F" w:rsidRPr="00B8003A">
        <w:rPr>
          <w:i/>
        </w:rPr>
        <w:t>GPAM</w:t>
      </w:r>
      <w:r w:rsidR="00997D8F">
        <w:t xml:space="preserve"> and</w:t>
      </w:r>
      <w:r w:rsidR="0008047F">
        <w:t xml:space="preserve"> </w:t>
      </w:r>
      <w:r w:rsidR="0008047F" w:rsidRPr="00B8003A">
        <w:rPr>
          <w:i/>
        </w:rPr>
        <w:t>DGAT2</w:t>
      </w:r>
      <w:r w:rsidR="00C3729C">
        <w:t>) transcript</w:t>
      </w:r>
      <w:r w:rsidR="006229FE">
        <w:t>s</w:t>
      </w:r>
      <w:r w:rsidR="00025FF1">
        <w:t xml:space="preserve"> in human adipose tissue</w:t>
      </w:r>
      <w:proofErr w:type="gramEnd"/>
      <w:r w:rsidR="00025FF1">
        <w:t>, with similar transcript expression changes seen in mouse adipose and muscle tissue</w:t>
      </w:r>
      <w:r w:rsidR="004B0F86">
        <w:t xml:space="preserve"> when treated with dexamethasone</w:t>
      </w:r>
      <w:r w:rsidR="00C3729C">
        <w:t xml:space="preserve">.  </w:t>
      </w:r>
      <w:r w:rsidR="00D84C77">
        <w:t xml:space="preserve">A limitation of our human data is </w:t>
      </w:r>
      <w:r w:rsidR="00D84C77">
        <w:lastRenderedPageBreak/>
        <w:t>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r w:rsidR="0027305C">
        <w:t xml:space="preserve"> </w:t>
      </w:r>
      <w:r w:rsidR="00B91CFC">
        <w:t xml:space="preserve"> </w:t>
      </w:r>
      <w:r w:rsidR="00B91CFC" w:rsidRPr="00F4118B">
        <w:t xml:space="preserve">Studies using a </w:t>
      </w:r>
      <w:r w:rsidR="00B91CFC" w:rsidRPr="00F4118B">
        <w:rPr>
          <w:i/>
        </w:rPr>
        <w:t xml:space="preserve">Hsd11b1 </w:t>
      </w:r>
      <w:r w:rsidR="00B91CFC" w:rsidRPr="00F4118B">
        <w:t>knockout mouse showed similar findings to our data inclu</w:t>
      </w:r>
      <w:r w:rsidR="00D716D6">
        <w:t>ding increased fat mass and</w:t>
      </w:r>
      <w:r w:rsidR="00B91CFC" w:rsidRPr="00F4118B">
        <w:t xml:space="preserve"> decreased lean mass and strength</w:t>
      </w:r>
      <w:r w:rsidR="00D716D6">
        <w:t>,</w:t>
      </w:r>
      <w:r w:rsidR="00B91CFC" w:rsidRPr="00F4118B">
        <w:t xml:space="preserve"> along with reduced insulin sensitivity </w:t>
      </w:r>
      <w:r w:rsidR="00B91CFC" w:rsidRPr="00BC1FB4">
        <w:fldChar w:fldCharType="begin" w:fldLock="1"/>
      </w:r>
      <w:r w:rsidR="00D17887">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 : "24", "issued" : { "date-parts" : [ [ "2014" ] ] }, "page" : "E2482-91", "title" : "11\u03b2-HSD1 is the major regulator of the tissue-specific effects of circulating glucocorticoid excess.", "type" : "article-journal", "volume" : "111" }, "uris" : [ "http://www.mendeley.com/documents/?uuid=449526ee-fbcf-43ec-adf0-b346500db7ca" ] } ], "mendeley" : { "formattedCitation" : "(Morgan &lt;i&gt;et al.&lt;/i&gt; 2014)", "plainTextFormattedCitation" : "(Morgan et al. 2014)", "previouslyFormattedCitation" : "(Morgan &lt;i&gt;et al.&lt;/i&gt; 2014)" }, "properties" : { "noteIndex" : 0 }, "schema" : "https://github.com/citation-style-language/schema/raw/master/csl-citation.json" }</w:instrText>
      </w:r>
      <w:r w:rsidR="00B91CFC" w:rsidRPr="00BC1FB4">
        <w:fldChar w:fldCharType="separate"/>
      </w:r>
      <w:r w:rsidR="00B91CFC" w:rsidRPr="00F4118B">
        <w:rPr>
          <w:noProof/>
        </w:rPr>
        <w:t xml:space="preserve">(Morgan </w:t>
      </w:r>
      <w:r w:rsidR="00B91CFC" w:rsidRPr="00F4118B">
        <w:rPr>
          <w:i/>
          <w:noProof/>
        </w:rPr>
        <w:t>et al.</w:t>
      </w:r>
      <w:r w:rsidR="00B91CFC" w:rsidRPr="00F4118B">
        <w:rPr>
          <w:noProof/>
        </w:rPr>
        <w:t xml:space="preserve"> 2014)</w:t>
      </w:r>
      <w:r w:rsidR="00B91CFC" w:rsidRPr="00BC1FB4">
        <w:fldChar w:fldCharType="end"/>
      </w:r>
      <w:r w:rsidR="00B91CFC" w:rsidRPr="00F4118B">
        <w:t xml:space="preserve">.   </w:t>
      </w:r>
      <w:r w:rsidR="00827E06" w:rsidRPr="00F4118B">
        <w:t xml:space="preserve">Transcriptionally both of our studies report increases in </w:t>
      </w:r>
      <w:proofErr w:type="spellStart"/>
      <w:r w:rsidR="00827E06" w:rsidRPr="00F4118B">
        <w:rPr>
          <w:i/>
        </w:rPr>
        <w:t>Dgat</w:t>
      </w:r>
      <w:proofErr w:type="spellEnd"/>
      <w:r w:rsidR="00827E06" w:rsidRPr="00F4118B">
        <w:t xml:space="preserve"> mRNA, though we observed no effects of Cushing’s disease on </w:t>
      </w:r>
      <w:proofErr w:type="spellStart"/>
      <w:r w:rsidR="00827E06" w:rsidRPr="00F4118B">
        <w:t>lipolytic</w:t>
      </w:r>
      <w:proofErr w:type="spellEnd"/>
      <w:r w:rsidR="00827E06" w:rsidRPr="00F4118B">
        <w:t xml:space="preserve"> genes (Figure 4D) as that study did.  In our study we did observe induction of fatty acid synthesis genes in both humans and mice (Figure 4A/F</w:t>
      </w:r>
      <w:proofErr w:type="gramStart"/>
      <w:r w:rsidR="00827E06" w:rsidRPr="00F4118B">
        <w:t>) which</w:t>
      </w:r>
      <w:proofErr w:type="gramEnd"/>
      <w:r w:rsidR="00827E06" w:rsidRPr="00F4118B">
        <w:t xml:space="preserve"> was not observed in the Morgan </w:t>
      </w:r>
      <w:r w:rsidR="00827E06" w:rsidRPr="00F4118B">
        <w:rPr>
          <w:i/>
        </w:rPr>
        <w:t xml:space="preserve">et al. </w:t>
      </w:r>
      <w:r w:rsidR="00827E06" w:rsidRPr="00F4118B">
        <w:t>study.  Three differences could potentially explain these discrepancies.  One is that in our case, dexamethasone is already active and cannot be further activated by 11</w:t>
      </w:r>
      <w:r w:rsidR="00827E06" w:rsidRPr="00F4118B">
        <w:t>-</w:t>
      </w:r>
      <w:proofErr w:type="gramStart"/>
      <w:r w:rsidR="00827E06" w:rsidRPr="00F4118B">
        <w:t>HSD1,</w:t>
      </w:r>
      <w:proofErr w:type="gramEnd"/>
      <w:r w:rsidR="00827E06" w:rsidRPr="00F4118B">
        <w:t xml:space="preserve"> </w:t>
      </w:r>
      <w:proofErr w:type="spellStart"/>
      <w:r w:rsidR="00827E06" w:rsidRPr="00F4118B">
        <w:t>wheras</w:t>
      </w:r>
      <w:proofErr w:type="spellEnd"/>
      <w:r w:rsidR="00827E06" w:rsidRPr="00F4118B">
        <w:t xml:space="preserve"> in their study </w:t>
      </w:r>
      <w:proofErr w:type="spellStart"/>
      <w:r w:rsidR="00827E06" w:rsidRPr="00F4118B">
        <w:t>corticosterone</w:t>
      </w:r>
      <w:proofErr w:type="spellEnd"/>
      <w:r w:rsidR="00827E06" w:rsidRPr="00F4118B">
        <w:t xml:space="preserve"> can be both inactivated by 11</w:t>
      </w:r>
      <w:r w:rsidR="00827E06" w:rsidRPr="00F4118B">
        <w:t>-HSD2 and reactivated by 11</w:t>
      </w:r>
      <w:r w:rsidR="00827E06" w:rsidRPr="00F4118B">
        <w:t xml:space="preserve">-HSD1.  Another key difference is the duration of treatment, which for our study was three months and for the Morgan </w:t>
      </w:r>
      <w:r w:rsidR="00827E06" w:rsidRPr="00F4118B">
        <w:rPr>
          <w:i/>
        </w:rPr>
        <w:t xml:space="preserve">et al. </w:t>
      </w:r>
      <w:r w:rsidR="00827E06" w:rsidRPr="00F4118B">
        <w:t>study was just over one month.  Finally they determined mRNA levels from gonadal adipose tissue, not subcutaneous adipose tissue, as we did in our work.</w:t>
      </w:r>
    </w:p>
    <w:p w14:paraId="789D6EE3" w14:textId="77777777" w:rsidR="00711A42" w:rsidRDefault="00711A42" w:rsidP="0015200A">
      <w:pPr>
        <w:spacing w:line="480" w:lineRule="auto"/>
      </w:pPr>
    </w:p>
    <w:p w14:paraId="067C017D" w14:textId="543EC8E2" w:rsidR="006C726C" w:rsidRPr="00F4118B" w:rsidRDefault="002025A3" w:rsidP="0015200A">
      <w:pPr>
        <w:spacing w:line="480" w:lineRule="auto"/>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w:t>
      </w:r>
      <w:r>
        <w:lastRenderedPageBreak/>
        <w:t xml:space="preserve">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w:t>
      </w:r>
      <w:r w:rsidR="001D6336">
        <w:t xml:space="preserve">These findings are consistent with our observed elevations of </w:t>
      </w:r>
      <w:proofErr w:type="spellStart"/>
      <w:r w:rsidR="001D6336">
        <w:t>lipogenesi</w:t>
      </w:r>
      <w:r w:rsidR="00161E96">
        <w:t>c</w:t>
      </w:r>
      <w:proofErr w:type="spellEnd"/>
      <w:r w:rsidR="001D6336">
        <w:t xml:space="preserve"> mRNA transcripts in human and mouse subcutaneous adipose tissue.  </w:t>
      </w:r>
      <w:r w:rsidR="00161E96">
        <w:t>Key</w:t>
      </w:r>
      <w:r w:rsidR="001D6336">
        <w:t xml:space="preserve"> tran</w:t>
      </w:r>
      <w:r w:rsidR="00161E96">
        <w:t>s</w:t>
      </w:r>
      <w:r w:rsidR="001D6336">
        <w:t xml:space="preserve">cripts in this category found to be significantly </w:t>
      </w:r>
      <w:proofErr w:type="spellStart"/>
      <w:r w:rsidR="001D6336">
        <w:t>upregulated</w:t>
      </w:r>
      <w:proofErr w:type="spellEnd"/>
      <w:r w:rsidR="001D6336">
        <w:t xml:space="preserve"> include</w:t>
      </w:r>
      <w:r w:rsidR="001D6336" w:rsidRPr="00C607CF">
        <w:t xml:space="preserve"> </w:t>
      </w:r>
      <w:r w:rsidR="001D6336" w:rsidRPr="00161E96">
        <w:t>Acetyl-CoA carboxylase alpha</w:t>
      </w:r>
      <w:r w:rsidR="001D6336">
        <w:t xml:space="preserve"> (</w:t>
      </w:r>
      <w:r w:rsidR="001D6336" w:rsidRPr="00C607CF">
        <w:rPr>
          <w:i/>
        </w:rPr>
        <w:t>ACACA</w:t>
      </w:r>
      <w:r w:rsidR="001D6336">
        <w:t xml:space="preserve">), responsible for the first step of </w:t>
      </w:r>
      <w:proofErr w:type="spellStart"/>
      <w:r w:rsidR="001D6336">
        <w:t>lipogenesis</w:t>
      </w:r>
      <w:proofErr w:type="spellEnd"/>
      <w:r w:rsidR="001D6336">
        <w:t xml:space="preserve"> (the irreversible conversion of acetyl-CoA to </w:t>
      </w:r>
      <w:proofErr w:type="spellStart"/>
      <w:r w:rsidR="001D6336">
        <w:t>malonyl</w:t>
      </w:r>
      <w:proofErr w:type="spellEnd"/>
      <w:r w:rsidR="001D6336">
        <w:t xml:space="preserve">-CoA) and </w:t>
      </w:r>
      <w:r w:rsidR="001D6336" w:rsidRPr="00161E96">
        <w:t xml:space="preserve">Glycerol-3-phospahte </w:t>
      </w:r>
      <w:proofErr w:type="spellStart"/>
      <w:r w:rsidR="001D6336" w:rsidRPr="00161E96">
        <w:t>acyltransferase</w:t>
      </w:r>
      <w:proofErr w:type="spellEnd"/>
      <w:r w:rsidR="001D6336" w:rsidRPr="00161E96">
        <w:t xml:space="preserve"> </w:t>
      </w:r>
      <w:r w:rsidR="001D6336">
        <w:t>(</w:t>
      </w:r>
      <w:r w:rsidR="001D6336" w:rsidRPr="00C607CF">
        <w:rPr>
          <w:i/>
        </w:rPr>
        <w:t>GPAM</w:t>
      </w:r>
      <w:r w:rsidR="001D6336">
        <w:t xml:space="preserve">) is responsible for the </w:t>
      </w:r>
      <w:r w:rsidR="00161E96">
        <w:t>first</w:t>
      </w:r>
      <w:r w:rsidR="001D6336">
        <w:t xml:space="preserve"> step in the synthesis of </w:t>
      </w:r>
      <w:proofErr w:type="spellStart"/>
      <w:r w:rsidR="001D6336">
        <w:t>glycerolipids</w:t>
      </w:r>
      <w:proofErr w:type="spellEnd"/>
      <w:r w:rsidR="001D6336">
        <w:t>. In addition to a shift towards lipid storage, we also observed elevated expression of glycogen synthesis mRNA transcripts in the Cushing's disease patients.</w:t>
      </w:r>
      <w:r w:rsidR="001D6336">
        <w:rPr>
          <w:rFonts w:ascii="Arial" w:eastAsia="Times New Roman" w:hAnsi="Arial" w:cs="Arial"/>
          <w:sz w:val="20"/>
          <w:szCs w:val="20"/>
          <w:lang w:bidi="he-IL"/>
        </w:rPr>
        <w:t xml:space="preserve"> </w:t>
      </w:r>
      <w:r w:rsidR="001D6336">
        <w:t xml:space="preserve">Most notably of these are significantly elevated mRNA transcripts </w:t>
      </w:r>
      <w:r w:rsidR="001D6336" w:rsidRPr="00161E96">
        <w:t>Glycogen synthase 2</w:t>
      </w:r>
      <w:r w:rsidR="001D6336">
        <w:t xml:space="preserve"> (</w:t>
      </w:r>
      <w:r w:rsidR="001D6336" w:rsidRPr="00F4118B">
        <w:rPr>
          <w:i/>
        </w:rPr>
        <w:t>GYS2</w:t>
      </w:r>
      <w:r w:rsidR="001D6336">
        <w:t xml:space="preserve">) and </w:t>
      </w:r>
      <w:r w:rsidR="001D6336" w:rsidRPr="00161E96">
        <w:t xml:space="preserve">UDP-glucose </w:t>
      </w:r>
      <w:proofErr w:type="spellStart"/>
      <w:r w:rsidR="001D6336" w:rsidRPr="00161E96">
        <w:t>pyrophosphorylase</w:t>
      </w:r>
      <w:proofErr w:type="spellEnd"/>
      <w:r w:rsidR="001D6336" w:rsidRPr="00161E96">
        <w:t xml:space="preserve"> 2</w:t>
      </w:r>
      <w:r w:rsidR="001D6336">
        <w:t xml:space="preserve"> (</w:t>
      </w:r>
      <w:r w:rsidR="001D6336" w:rsidRPr="00F4118B">
        <w:rPr>
          <w:i/>
        </w:rPr>
        <w:t>UGP2</w:t>
      </w:r>
      <w:r w:rsidR="001D6336">
        <w:t xml:space="preserve">), both of which are required for glycogen synthesis. </w:t>
      </w:r>
    </w:p>
    <w:p w14:paraId="19C4BD62" w14:textId="77777777" w:rsidR="006C726C" w:rsidRDefault="006C726C" w:rsidP="0015200A">
      <w:pPr>
        <w:spacing w:line="480" w:lineRule="auto"/>
      </w:pPr>
    </w:p>
    <w:p w14:paraId="4E64CC62" w14:textId="1DC85D9E"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w:t>
      </w:r>
      <w:r w:rsidR="00730E37">
        <w:lastRenderedPageBreak/>
        <w:t xml:space="preserve">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005763E3" w14:textId="5D58AE72" w:rsidR="00EA6DD3" w:rsidRPr="005D46B5"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xml:space="preserve">. Results from a recent study </w:t>
      </w:r>
      <w:r w:rsidR="00D716D6">
        <w:t>imply</w:t>
      </w:r>
      <w:r w:rsidR="00030F99" w:rsidRPr="00030F99">
        <w:t xml:space="preserve">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D17887">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1E75400C" w14:textId="45E20A56" w:rsidR="0001045F" w:rsidRPr="00BB540E" w:rsidRDefault="00D23E9E" w:rsidP="0015200A">
      <w:pPr>
        <w:spacing w:line="480" w:lineRule="auto"/>
      </w:pPr>
      <w:r w:rsidRPr="00F4118B">
        <w:rPr>
          <w:rFonts w:eastAsia="Times New Roman" w:cs="Times New Roman"/>
          <w:shd w:val="clear" w:color="auto" w:fill="FFFFFF"/>
        </w:rPr>
        <w:lastRenderedPageBreak/>
        <w:t xml:space="preserve">Another limitation in our study is the small sample size, especially the number of biological replicates in Cushing’s group (n=5). Adding a covariate such as BMI or age in the model further reduces the sample size to 2 or 3 replicates. Although this sample size is small, it is reasonable for a rare disease such as Cushing’s. Realizing our limitation, we chose DESeq2 as the statistical method for our </w:t>
      </w:r>
      <w:proofErr w:type="spellStart"/>
      <w:r w:rsidRPr="00F4118B">
        <w:rPr>
          <w:rFonts w:eastAsia="Times New Roman" w:cs="Times New Roman"/>
          <w:shd w:val="clear" w:color="auto" w:fill="FFFFFF"/>
        </w:rPr>
        <w:t>RNAseq</w:t>
      </w:r>
      <w:proofErr w:type="spellEnd"/>
      <w:r w:rsidRPr="00F4118B">
        <w:rPr>
          <w:rFonts w:eastAsia="Times New Roman" w:cs="Times New Roman"/>
          <w:shd w:val="clear" w:color="auto" w:fill="FFFFFF"/>
        </w:rPr>
        <w:t xml:space="preserve"> data. DESeq2 overcomes the small sample size problem by pooling information across genes. Maximum likelihood estimation is applied to estimate the dispersion or variance of a gene across al</w:t>
      </w:r>
      <w:r w:rsidR="00D716D6">
        <w:rPr>
          <w:rFonts w:eastAsia="Times New Roman" w:cs="Times New Roman"/>
          <w:shd w:val="clear" w:color="auto" w:fill="FFFFFF"/>
        </w:rPr>
        <w:t>l replicates in a group. A</w:t>
      </w:r>
      <w:r w:rsidRPr="00F4118B">
        <w:rPr>
          <w:rFonts w:eastAsia="Times New Roman" w:cs="Times New Roman"/>
          <w:shd w:val="clear" w:color="auto" w:fill="FFFFFF"/>
        </w:rPr>
        <w:t xml:space="preserve">n empirical Bayes approach is </w:t>
      </w:r>
      <w:r w:rsidR="00D716D6">
        <w:rPr>
          <w:rFonts w:eastAsia="Times New Roman" w:cs="Times New Roman"/>
          <w:shd w:val="clear" w:color="auto" w:fill="FFFFFF"/>
        </w:rPr>
        <w:t xml:space="preserve">then </w:t>
      </w:r>
      <w:r w:rsidRPr="00F4118B">
        <w:rPr>
          <w:rFonts w:eastAsia="Times New Roman" w:cs="Times New Roman"/>
          <w:shd w:val="clear" w:color="auto" w:fill="FFFFFF"/>
        </w:rPr>
        <w:t xml:space="preserve">used to get </w:t>
      </w:r>
      <w:proofErr w:type="gramStart"/>
      <w:r w:rsidRPr="00F4118B">
        <w:rPr>
          <w:rFonts w:eastAsia="Times New Roman" w:cs="Times New Roman"/>
          <w:shd w:val="clear" w:color="auto" w:fill="FFFFFF"/>
        </w:rPr>
        <w:t>maximum</w:t>
      </w:r>
      <w:proofErr w:type="gramEnd"/>
      <w:r w:rsidRPr="00F4118B">
        <w:rPr>
          <w:rFonts w:eastAsia="Times New Roman" w:cs="Times New Roman"/>
          <w:shd w:val="clear" w:color="auto" w:fill="FFFFFF"/>
        </w:rPr>
        <w:t xml:space="preserve"> a </w:t>
      </w:r>
      <w:r w:rsidRPr="00F4118B">
        <w:rPr>
          <w:rFonts w:eastAsia="Times New Roman" w:cs="Times New Roman"/>
          <w:i/>
          <w:shd w:val="clear" w:color="auto" w:fill="FFFFFF"/>
        </w:rPr>
        <w:t>posterior</w:t>
      </w:r>
      <w:r w:rsidRPr="00F4118B">
        <w:rPr>
          <w:rFonts w:eastAsia="Times New Roman" w:cs="Times New Roman"/>
          <w:shd w:val="clear" w:color="auto" w:fill="FFFFFF"/>
        </w:rPr>
        <w:t xml:space="preserve"> as the final dispersion estimate. This method utilizes the available data to the maximum extent; therefore, help avoiding potential false positives </w:t>
      </w:r>
      <w:r w:rsidR="005D46B5" w:rsidRPr="00F4118B">
        <w:rPr>
          <w:rFonts w:eastAsia="Times New Roman" w:cs="Times New Roman"/>
          <w:shd w:val="clear" w:color="auto" w:fill="FFFFFF"/>
        </w:rPr>
        <w:fldChar w:fldCharType="begin" w:fldLock="1"/>
      </w:r>
      <w:r w:rsidR="00161E96" w:rsidRPr="00F4118B">
        <w:rPr>
          <w:rFonts w:eastAsia="Times New Roman" w:cs="Times New Roman"/>
          <w:shd w:val="clear" w:color="auto" w:fill="FFFFFF"/>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5D46B5" w:rsidRPr="00F4118B">
        <w:rPr>
          <w:rFonts w:eastAsia="Times New Roman" w:cs="Times New Roman"/>
          <w:shd w:val="clear" w:color="auto" w:fill="FFFFFF"/>
        </w:rPr>
        <w:fldChar w:fldCharType="separate"/>
      </w:r>
      <w:r w:rsidR="005D46B5" w:rsidRPr="00F4118B">
        <w:rPr>
          <w:rFonts w:eastAsia="Times New Roman" w:cs="Times New Roman"/>
          <w:noProof/>
          <w:shd w:val="clear" w:color="auto" w:fill="FFFFFF"/>
        </w:rPr>
        <w:t xml:space="preserve">(Love </w:t>
      </w:r>
      <w:r w:rsidR="005D46B5" w:rsidRPr="00F4118B">
        <w:rPr>
          <w:rFonts w:eastAsia="Times New Roman" w:cs="Times New Roman"/>
          <w:i/>
          <w:noProof/>
          <w:shd w:val="clear" w:color="auto" w:fill="FFFFFF"/>
        </w:rPr>
        <w:t>et al.</w:t>
      </w:r>
      <w:r w:rsidR="005D46B5" w:rsidRPr="00F4118B">
        <w:rPr>
          <w:rFonts w:eastAsia="Times New Roman" w:cs="Times New Roman"/>
          <w:noProof/>
          <w:shd w:val="clear" w:color="auto" w:fill="FFFFFF"/>
        </w:rPr>
        <w:t xml:space="preserve"> 2014)</w:t>
      </w:r>
      <w:r w:rsidR="005D46B5" w:rsidRPr="00F4118B">
        <w:rPr>
          <w:rFonts w:eastAsia="Times New Roman" w:cs="Times New Roman"/>
          <w:shd w:val="clear" w:color="auto" w:fill="FFFFFF"/>
        </w:rPr>
        <w:fldChar w:fldCharType="end"/>
      </w:r>
      <w:r w:rsidR="005D46B5" w:rsidRPr="00F4118B">
        <w:rPr>
          <w:rFonts w:eastAsia="Times New Roman" w:cs="Times New Roman"/>
          <w:shd w:val="clear" w:color="auto" w:fill="FFFFFF"/>
        </w:rPr>
        <w:t>.</w:t>
      </w: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13CB488C" w:rsidR="00B940A5" w:rsidRDefault="00D716D6" w:rsidP="0015200A">
      <w:pPr>
        <w:pStyle w:val="Heading1"/>
        <w:spacing w:line="480" w:lineRule="auto"/>
      </w:pPr>
      <w:r>
        <w:t>Declaration of I</w:t>
      </w:r>
      <w:r w:rsidR="00B940A5">
        <w:t>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lastRenderedPageBreak/>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5D6C721D"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t>
      </w:r>
      <w:r w:rsidR="00906B15" w:rsidRPr="00906B15">
        <w:t xml:space="preserve">The authors would like to thank Ian Brooks and the UTHSC-ORNL Center for Biomedical Informatics for provisioning </w:t>
      </w:r>
      <w:r w:rsidR="00906B15">
        <w:t xml:space="preserve">the </w:t>
      </w:r>
      <w:proofErr w:type="spellStart"/>
      <w:r w:rsidR="00906B15">
        <w:t>RS</w:t>
      </w:r>
      <w:r w:rsidR="00906B15" w:rsidRPr="00906B15">
        <w:t>tudio</w:t>
      </w:r>
      <w:proofErr w:type="spellEnd"/>
      <w:r w:rsidR="00906B15" w:rsidRPr="00906B15">
        <w:t xml:space="preserve"> server used in this analysis.  </w:t>
      </w:r>
      <w:r w:rsidR="00D716D6">
        <w:t xml:space="preserve">We would also like to thank the University of Tennessee Health Science Center Neuroscience Institute for use of the grip strength monitor.  </w:t>
      </w:r>
      <w:r w:rsidR="00793E93">
        <w:t xml:space="preserve">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lastRenderedPageBreak/>
        <w:br w:type="page"/>
      </w:r>
    </w:p>
    <w:p w14:paraId="7733976D" w14:textId="24827043" w:rsidR="00F72E09" w:rsidRDefault="00F72E09" w:rsidP="0015200A">
      <w:pPr>
        <w:pStyle w:val="Heading1"/>
        <w:spacing w:line="480" w:lineRule="auto"/>
      </w:pPr>
      <w:r>
        <w:lastRenderedPageBreak/>
        <w:t>References</w:t>
      </w:r>
    </w:p>
    <w:p w14:paraId="1D8CFCD2" w14:textId="57B620C0" w:rsidR="00D17887" w:rsidRPr="00D17887" w:rsidRDefault="00F72E09">
      <w:pPr>
        <w:pStyle w:val="NormalWeb"/>
        <w:ind w:left="480" w:hanging="480"/>
        <w:divId w:val="1897930850"/>
        <w:rPr>
          <w:rFonts w:ascii="Cambria" w:hAnsi="Cambria"/>
          <w:noProof/>
          <w:sz w:val="24"/>
        </w:rPr>
      </w:pPr>
      <w:r>
        <w:fldChar w:fldCharType="begin" w:fldLock="1"/>
      </w:r>
      <w:r>
        <w:instrText xml:space="preserve">ADDIN Mendeley Bibliography CSL_BIBLIOGRAPHY </w:instrText>
      </w:r>
      <w:r>
        <w:fldChar w:fldCharType="separate"/>
      </w:r>
      <w:r w:rsidR="00D17887" w:rsidRPr="00D17887">
        <w:rPr>
          <w:rFonts w:ascii="Cambria" w:hAnsi="Cambria"/>
          <w:noProof/>
          <w:sz w:val="24"/>
        </w:rPr>
        <w:t xml:space="preserve">Adams JM, Pratipanawatr T, Berria R, Wang E, DeFronzo RA, Sullards MC &amp; Mandarino LJ 2004 Ceramide content is increased in skeletal muscle from obese insulin-resistant humans. </w:t>
      </w:r>
      <w:r w:rsidR="00D17887" w:rsidRPr="00D17887">
        <w:rPr>
          <w:rFonts w:ascii="Cambria" w:hAnsi="Cambria"/>
          <w:i/>
          <w:iCs/>
          <w:noProof/>
          <w:sz w:val="24"/>
        </w:rPr>
        <w:t>Diabetes</w:t>
      </w:r>
      <w:r w:rsidR="00D17887" w:rsidRPr="00D17887">
        <w:rPr>
          <w:rFonts w:ascii="Cambria" w:hAnsi="Cambria"/>
          <w:noProof/>
          <w:sz w:val="24"/>
        </w:rPr>
        <w:t xml:space="preserve"> </w:t>
      </w:r>
      <w:r w:rsidR="00D17887" w:rsidRPr="00D17887">
        <w:rPr>
          <w:rFonts w:ascii="Cambria" w:hAnsi="Cambria"/>
          <w:b/>
          <w:bCs/>
          <w:noProof/>
          <w:sz w:val="24"/>
        </w:rPr>
        <w:t>53</w:t>
      </w:r>
      <w:r w:rsidR="00D17887" w:rsidRPr="00D17887">
        <w:rPr>
          <w:rFonts w:ascii="Cambria" w:hAnsi="Cambria"/>
          <w:noProof/>
          <w:sz w:val="24"/>
        </w:rPr>
        <w:t xml:space="preserve"> 25–31.</w:t>
      </w:r>
    </w:p>
    <w:p w14:paraId="44CBD703"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Aerts JM, Ottenhoff R, Powlson AS, Grefhorst A, van Eijk M, Dubbelhuis PF, Aten J, Kuipers F, Serlie MJ, Wennekes T </w:t>
      </w:r>
      <w:r w:rsidRPr="00D17887">
        <w:rPr>
          <w:rFonts w:ascii="Cambria" w:hAnsi="Cambria"/>
          <w:i/>
          <w:iCs/>
          <w:noProof/>
          <w:sz w:val="24"/>
        </w:rPr>
        <w:t>et al.</w:t>
      </w:r>
      <w:r w:rsidRPr="00D17887">
        <w:rPr>
          <w:rFonts w:ascii="Cambria" w:hAnsi="Cambria"/>
          <w:noProof/>
          <w:sz w:val="24"/>
        </w:rPr>
        <w:t xml:space="preserve"> 2007 Pharmacological inhibition of glucosylceramide synthase enhances insulin sensitivity. </w:t>
      </w:r>
      <w:r w:rsidRPr="00D17887">
        <w:rPr>
          <w:rFonts w:ascii="Cambria" w:hAnsi="Cambria"/>
          <w:i/>
          <w:iCs/>
          <w:noProof/>
          <w:sz w:val="24"/>
        </w:rPr>
        <w:t>Diabetes</w:t>
      </w:r>
      <w:r w:rsidRPr="00D17887">
        <w:rPr>
          <w:rFonts w:ascii="Cambria" w:hAnsi="Cambria"/>
          <w:noProof/>
          <w:sz w:val="24"/>
        </w:rPr>
        <w:t xml:space="preserve"> </w:t>
      </w:r>
      <w:r w:rsidRPr="00D17887">
        <w:rPr>
          <w:rFonts w:ascii="Cambria" w:hAnsi="Cambria"/>
          <w:b/>
          <w:bCs/>
          <w:noProof/>
          <w:sz w:val="24"/>
        </w:rPr>
        <w:t>56</w:t>
      </w:r>
      <w:r w:rsidRPr="00D17887">
        <w:rPr>
          <w:rFonts w:ascii="Cambria" w:hAnsi="Cambria"/>
          <w:noProof/>
          <w:sz w:val="24"/>
        </w:rPr>
        <w:t xml:space="preserve"> 1341–1349. (doi:10.2337/db06-1619)</w:t>
      </w:r>
    </w:p>
    <w:p w14:paraId="5B0455F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Anders S, Pyl PT &amp; Huber W 2014 HTSeq - A Python framework to work with high-throughput sequencing data. </w:t>
      </w:r>
      <w:r w:rsidRPr="00D17887">
        <w:rPr>
          <w:rFonts w:ascii="Cambria" w:hAnsi="Cambria"/>
          <w:i/>
          <w:iCs/>
          <w:noProof/>
          <w:sz w:val="24"/>
        </w:rPr>
        <w:t>Bioinformatics</w:t>
      </w:r>
      <w:r w:rsidRPr="00D17887">
        <w:rPr>
          <w:rFonts w:ascii="Cambria" w:hAnsi="Cambria"/>
          <w:noProof/>
          <w:sz w:val="24"/>
        </w:rPr>
        <w:t xml:space="preserve"> 1–4. (doi:10.1093/bioinformatics/btu638)</w:t>
      </w:r>
    </w:p>
    <w:p w14:paraId="5062062C"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Baqué S, Roca a, Guinovart JJ &amp; Gómez-Foix a M 1996 Direct activating effects of dexamethasone on glycogen metabolizing enzymes in primary cultured rat hepatocytes. </w:t>
      </w:r>
      <w:r w:rsidRPr="00D17887">
        <w:rPr>
          <w:rFonts w:ascii="Cambria" w:hAnsi="Cambria"/>
          <w:i/>
          <w:iCs/>
          <w:noProof/>
          <w:sz w:val="24"/>
        </w:rPr>
        <w:t>European Journal of Biochemistry</w:t>
      </w:r>
      <w:r w:rsidRPr="00D17887">
        <w:rPr>
          <w:rFonts w:ascii="Cambria" w:hAnsi="Cambria"/>
          <w:noProof/>
          <w:sz w:val="24"/>
        </w:rPr>
        <w:t xml:space="preserve"> </w:t>
      </w:r>
      <w:r w:rsidRPr="00D17887">
        <w:rPr>
          <w:rFonts w:ascii="Cambria" w:hAnsi="Cambria"/>
          <w:b/>
          <w:bCs/>
          <w:noProof/>
          <w:sz w:val="24"/>
        </w:rPr>
        <w:t>236</w:t>
      </w:r>
      <w:r w:rsidRPr="00D17887">
        <w:rPr>
          <w:rFonts w:ascii="Cambria" w:hAnsi="Cambria"/>
          <w:noProof/>
          <w:sz w:val="24"/>
        </w:rPr>
        <w:t xml:space="preserve"> 772–777.</w:t>
      </w:r>
    </w:p>
    <w:p w14:paraId="5B9396F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Bates D, Mächler M, Bolker B &amp; Walker S 2014 Fitting Linear Mixed-Effects Models using lme4. </w:t>
      </w:r>
      <w:r w:rsidRPr="00D17887">
        <w:rPr>
          <w:rFonts w:ascii="Cambria" w:hAnsi="Cambria"/>
          <w:i/>
          <w:iCs/>
          <w:noProof/>
          <w:sz w:val="24"/>
        </w:rPr>
        <w:t>ArXiv</w:t>
      </w:r>
      <w:r w:rsidRPr="00D17887">
        <w:rPr>
          <w:rFonts w:ascii="Cambria" w:hAnsi="Cambria"/>
          <w:noProof/>
          <w:sz w:val="24"/>
        </w:rPr>
        <w:t xml:space="preserve"> </w:t>
      </w:r>
      <w:r w:rsidRPr="00D17887">
        <w:rPr>
          <w:rFonts w:ascii="Cambria" w:hAnsi="Cambria"/>
          <w:b/>
          <w:bCs/>
          <w:noProof/>
          <w:sz w:val="24"/>
        </w:rPr>
        <w:t>1406.5823</w:t>
      </w:r>
      <w:r w:rsidRPr="00D17887">
        <w:rPr>
          <w:rFonts w:ascii="Cambria" w:hAnsi="Cambria"/>
          <w:noProof/>
          <w:sz w:val="24"/>
        </w:rPr>
        <w:t xml:space="preserve"> 1–51.</w:t>
      </w:r>
    </w:p>
    <w:p w14:paraId="48140296"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Beaufrere B, Horber FF, Schwenk WF, Marsh HM, Matthews D, Gerich JE &amp; Haymond MW 1989 </w:t>
      </w:r>
      <w:r w:rsidRPr="00D17887">
        <w:rPr>
          <w:rFonts w:ascii="Cambria" w:hAnsi="Cambria"/>
          <w:i/>
          <w:iCs/>
          <w:noProof/>
          <w:sz w:val="24"/>
        </w:rPr>
        <w:t>Glucocorticosteroids Increase Leucine Oxidation and Impair Leucine Balance in Humans.</w:t>
      </w:r>
      <w:r w:rsidRPr="00D17887">
        <w:rPr>
          <w:rFonts w:ascii="Cambria" w:hAnsi="Cambria"/>
          <w:noProof/>
          <w:sz w:val="24"/>
        </w:rPr>
        <w:t xml:space="preserve"> In </w:t>
      </w:r>
      <w:r w:rsidRPr="00D17887">
        <w:rPr>
          <w:rFonts w:ascii="Cambria" w:hAnsi="Cambria"/>
          <w:i/>
          <w:iCs/>
          <w:noProof/>
          <w:sz w:val="24"/>
        </w:rPr>
        <w:t>The American Journal of Physiology</w:t>
      </w:r>
      <w:r w:rsidRPr="00D17887">
        <w:rPr>
          <w:rFonts w:ascii="Cambria" w:hAnsi="Cambria"/>
          <w:noProof/>
          <w:sz w:val="24"/>
        </w:rPr>
        <w:t>.</w:t>
      </w:r>
    </w:p>
    <w:p w14:paraId="42B4017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Benjamini Y &amp; Hochberg Y 1995 Controlling the False Discovery Rate: A Practical and Powerful Approach to Multiple Testing. </w:t>
      </w:r>
      <w:r w:rsidRPr="00D17887">
        <w:rPr>
          <w:rFonts w:ascii="Cambria" w:hAnsi="Cambria"/>
          <w:i/>
          <w:iCs/>
          <w:noProof/>
          <w:sz w:val="24"/>
        </w:rPr>
        <w:t>Journal of the Royal Statistical Society. Series B</w:t>
      </w:r>
      <w:r w:rsidRPr="00D17887">
        <w:rPr>
          <w:rFonts w:ascii="Cambria" w:hAnsi="Cambria"/>
          <w:noProof/>
          <w:sz w:val="24"/>
        </w:rPr>
        <w:t xml:space="preserve"> </w:t>
      </w:r>
      <w:r w:rsidRPr="00D17887">
        <w:rPr>
          <w:rFonts w:ascii="Cambria" w:hAnsi="Cambria"/>
          <w:b/>
          <w:bCs/>
          <w:noProof/>
          <w:sz w:val="24"/>
        </w:rPr>
        <w:t>57</w:t>
      </w:r>
      <w:r w:rsidRPr="00D17887">
        <w:rPr>
          <w:rFonts w:ascii="Cambria" w:hAnsi="Cambria"/>
          <w:noProof/>
          <w:sz w:val="24"/>
        </w:rPr>
        <w:t xml:space="preserve"> 289–300.</w:t>
      </w:r>
    </w:p>
    <w:p w14:paraId="0EA83ACC"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Bligh EG &amp; Dyer WJ 1959 A rapid method of total lipid extraction and purification. </w:t>
      </w:r>
      <w:r w:rsidRPr="00D17887">
        <w:rPr>
          <w:rFonts w:ascii="Cambria" w:hAnsi="Cambria"/>
          <w:i/>
          <w:iCs/>
          <w:noProof/>
          <w:sz w:val="24"/>
        </w:rPr>
        <w:t>Canadian Journal of Biochemistry and Physiology</w:t>
      </w:r>
      <w:r w:rsidRPr="00D17887">
        <w:rPr>
          <w:rFonts w:ascii="Cambria" w:hAnsi="Cambria"/>
          <w:noProof/>
          <w:sz w:val="24"/>
        </w:rPr>
        <w:t xml:space="preserve"> </w:t>
      </w:r>
      <w:r w:rsidRPr="00D17887">
        <w:rPr>
          <w:rFonts w:ascii="Cambria" w:hAnsi="Cambria"/>
          <w:b/>
          <w:bCs/>
          <w:noProof/>
          <w:sz w:val="24"/>
        </w:rPr>
        <w:t>37</w:t>
      </w:r>
      <w:r w:rsidRPr="00D17887">
        <w:rPr>
          <w:rFonts w:ascii="Cambria" w:hAnsi="Cambria"/>
          <w:noProof/>
          <w:sz w:val="24"/>
        </w:rPr>
        <w:t xml:space="preserve"> 911–917.</w:t>
      </w:r>
    </w:p>
    <w:p w14:paraId="66E4696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Campbell JE, Peckett AJ, D’souza AM, Hawke TJ &amp; Riddell MC 2011 Adipogenic and lipolytic effects of chronic glucocorticoid exposure. </w:t>
      </w:r>
      <w:r w:rsidRPr="00D17887">
        <w:rPr>
          <w:rFonts w:ascii="Cambria" w:hAnsi="Cambria"/>
          <w:i/>
          <w:iCs/>
          <w:noProof/>
          <w:sz w:val="24"/>
        </w:rPr>
        <w:t>American Journal of Physiology. Cell Physiology</w:t>
      </w:r>
      <w:r w:rsidRPr="00D17887">
        <w:rPr>
          <w:rFonts w:ascii="Cambria" w:hAnsi="Cambria"/>
          <w:noProof/>
          <w:sz w:val="24"/>
        </w:rPr>
        <w:t xml:space="preserve"> </w:t>
      </w:r>
      <w:r w:rsidRPr="00D17887">
        <w:rPr>
          <w:rFonts w:ascii="Cambria" w:hAnsi="Cambria"/>
          <w:b/>
          <w:bCs/>
          <w:noProof/>
          <w:sz w:val="24"/>
        </w:rPr>
        <w:t>300</w:t>
      </w:r>
      <w:r w:rsidRPr="00D17887">
        <w:rPr>
          <w:rFonts w:ascii="Cambria" w:hAnsi="Cambria"/>
          <w:noProof/>
          <w:sz w:val="24"/>
        </w:rPr>
        <w:t xml:space="preserve"> C198–C209. (doi:10.1152/ajpcell.00045.2010)</w:t>
      </w:r>
    </w:p>
    <w:p w14:paraId="63AD086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Clark NR &amp; Ma’ayan A 2011 Introduction to statistical methods for analyzing large data sets: gene-set enrichment analysis. </w:t>
      </w:r>
      <w:r w:rsidRPr="00D17887">
        <w:rPr>
          <w:rFonts w:ascii="Cambria" w:hAnsi="Cambria"/>
          <w:i/>
          <w:iCs/>
          <w:noProof/>
          <w:sz w:val="24"/>
        </w:rPr>
        <w:t>Science Signaling</w:t>
      </w:r>
      <w:r w:rsidRPr="00D17887">
        <w:rPr>
          <w:rFonts w:ascii="Cambria" w:hAnsi="Cambria"/>
          <w:noProof/>
          <w:sz w:val="24"/>
        </w:rPr>
        <w:t xml:space="preserve"> </w:t>
      </w:r>
      <w:r w:rsidRPr="00D17887">
        <w:rPr>
          <w:rFonts w:ascii="Cambria" w:hAnsi="Cambria"/>
          <w:b/>
          <w:bCs/>
          <w:noProof/>
          <w:sz w:val="24"/>
        </w:rPr>
        <w:t>4</w:t>
      </w:r>
      <w:r w:rsidRPr="00D17887">
        <w:rPr>
          <w:rFonts w:ascii="Cambria" w:hAnsi="Cambria"/>
          <w:noProof/>
          <w:sz w:val="24"/>
        </w:rPr>
        <w:t xml:space="preserve"> tr4. (doi:10.1126/scisignal.2001966)</w:t>
      </w:r>
    </w:p>
    <w:p w14:paraId="002781A1"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Cushing H 1932 The basophil adenomas of the pituitary body and their clinical manifestations. </w:t>
      </w:r>
      <w:r w:rsidRPr="00D17887">
        <w:rPr>
          <w:rFonts w:ascii="Cambria" w:hAnsi="Cambria"/>
          <w:i/>
          <w:iCs/>
          <w:noProof/>
          <w:sz w:val="24"/>
        </w:rPr>
        <w:t>Bulletin of the Johns Hopkins Hospital</w:t>
      </w:r>
      <w:r w:rsidRPr="00D17887">
        <w:rPr>
          <w:rFonts w:ascii="Cambria" w:hAnsi="Cambria"/>
          <w:noProof/>
          <w:sz w:val="24"/>
        </w:rPr>
        <w:t xml:space="preserve"> </w:t>
      </w:r>
      <w:r w:rsidRPr="00D17887">
        <w:rPr>
          <w:rFonts w:ascii="Cambria" w:hAnsi="Cambria"/>
          <w:b/>
          <w:bCs/>
          <w:noProof/>
          <w:sz w:val="24"/>
        </w:rPr>
        <w:t>50</w:t>
      </w:r>
      <w:r w:rsidRPr="00D17887">
        <w:rPr>
          <w:rFonts w:ascii="Cambria" w:hAnsi="Cambria"/>
          <w:noProof/>
          <w:sz w:val="24"/>
        </w:rPr>
        <w:t xml:space="preserve"> 157–158.</w:t>
      </w:r>
    </w:p>
    <w:p w14:paraId="06A4B1C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D17887">
        <w:rPr>
          <w:rFonts w:ascii="Cambria" w:hAnsi="Cambria"/>
          <w:i/>
          <w:iCs/>
          <w:noProof/>
          <w:sz w:val="24"/>
        </w:rPr>
        <w:t>Journal of Clinical Investigation</w:t>
      </w:r>
      <w:r w:rsidRPr="00D17887">
        <w:rPr>
          <w:rFonts w:ascii="Cambria" w:hAnsi="Cambria"/>
          <w:noProof/>
          <w:sz w:val="24"/>
        </w:rPr>
        <w:t xml:space="preserve"> </w:t>
      </w:r>
      <w:r w:rsidRPr="00D17887">
        <w:rPr>
          <w:rFonts w:ascii="Cambria" w:hAnsi="Cambria"/>
          <w:b/>
          <w:bCs/>
          <w:noProof/>
          <w:sz w:val="24"/>
        </w:rPr>
        <w:t>96</w:t>
      </w:r>
      <w:r w:rsidRPr="00D17887">
        <w:rPr>
          <w:rFonts w:ascii="Cambria" w:hAnsi="Cambria"/>
          <w:noProof/>
          <w:sz w:val="24"/>
        </w:rPr>
        <w:t xml:space="preserve"> 2113–2119. (doi:10.1172/JCI118264)</w:t>
      </w:r>
    </w:p>
    <w:p w14:paraId="774563F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D17887">
        <w:rPr>
          <w:rFonts w:ascii="Cambria" w:hAnsi="Cambria"/>
          <w:i/>
          <w:iCs/>
          <w:noProof/>
          <w:sz w:val="24"/>
        </w:rPr>
        <w:t>Endocrinology</w:t>
      </w:r>
      <w:r w:rsidRPr="00D17887">
        <w:rPr>
          <w:rFonts w:ascii="Cambria" w:hAnsi="Cambria"/>
          <w:noProof/>
          <w:sz w:val="24"/>
        </w:rPr>
        <w:t xml:space="preserve"> </w:t>
      </w:r>
      <w:r w:rsidRPr="00D17887">
        <w:rPr>
          <w:rFonts w:ascii="Cambria" w:hAnsi="Cambria"/>
          <w:b/>
          <w:bCs/>
          <w:noProof/>
          <w:sz w:val="24"/>
        </w:rPr>
        <w:t>145</w:t>
      </w:r>
      <w:r w:rsidRPr="00D17887">
        <w:rPr>
          <w:rFonts w:ascii="Cambria" w:hAnsi="Cambria"/>
          <w:noProof/>
          <w:sz w:val="24"/>
        </w:rPr>
        <w:t xml:space="preserve"> 5847–5861. (doi:10.1210/en.2004-0371)</w:t>
      </w:r>
    </w:p>
    <w:p w14:paraId="3C1974F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Dinarello C a &amp; Kim S-H 2006 IL-32, a novel cytokine with a possible role in disease. </w:t>
      </w:r>
      <w:r w:rsidRPr="00D17887">
        <w:rPr>
          <w:rFonts w:ascii="Cambria" w:hAnsi="Cambria"/>
          <w:i/>
          <w:iCs/>
          <w:noProof/>
          <w:sz w:val="24"/>
        </w:rPr>
        <w:t>Annals of the Rheumatic Diseases</w:t>
      </w:r>
      <w:r w:rsidRPr="00D17887">
        <w:rPr>
          <w:rFonts w:ascii="Cambria" w:hAnsi="Cambria"/>
          <w:noProof/>
          <w:sz w:val="24"/>
        </w:rPr>
        <w:t xml:space="preserve"> </w:t>
      </w:r>
      <w:r w:rsidRPr="00D17887">
        <w:rPr>
          <w:rFonts w:ascii="Cambria" w:hAnsi="Cambria"/>
          <w:b/>
          <w:bCs/>
          <w:noProof/>
          <w:sz w:val="24"/>
        </w:rPr>
        <w:t>65 Suppl 3</w:t>
      </w:r>
      <w:r w:rsidRPr="00D17887">
        <w:rPr>
          <w:rFonts w:ascii="Cambria" w:hAnsi="Cambria"/>
          <w:noProof/>
          <w:sz w:val="24"/>
        </w:rPr>
        <w:t xml:space="preserve"> iii61–i64. (doi:10.1136/ard.2006.058511)</w:t>
      </w:r>
    </w:p>
    <w:p w14:paraId="37A977F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Divertie GD, Jensen MD &amp; Miles JM 1991 Stimulation of lipolysis in humans by physiological hypercortisolemia. </w:t>
      </w:r>
      <w:r w:rsidRPr="00D17887">
        <w:rPr>
          <w:rFonts w:ascii="Cambria" w:hAnsi="Cambria"/>
          <w:i/>
          <w:iCs/>
          <w:noProof/>
          <w:sz w:val="24"/>
        </w:rPr>
        <w:t>Diabetes</w:t>
      </w:r>
      <w:r w:rsidRPr="00D17887">
        <w:rPr>
          <w:rFonts w:ascii="Cambria" w:hAnsi="Cambria"/>
          <w:noProof/>
          <w:sz w:val="24"/>
        </w:rPr>
        <w:t xml:space="preserve"> </w:t>
      </w:r>
      <w:r w:rsidRPr="00D17887">
        <w:rPr>
          <w:rFonts w:ascii="Cambria" w:hAnsi="Cambria"/>
          <w:b/>
          <w:bCs/>
          <w:noProof/>
          <w:sz w:val="24"/>
        </w:rPr>
        <w:t>40</w:t>
      </w:r>
      <w:r w:rsidRPr="00D17887">
        <w:rPr>
          <w:rFonts w:ascii="Cambria" w:hAnsi="Cambria"/>
          <w:noProof/>
          <w:sz w:val="24"/>
        </w:rPr>
        <w:t xml:space="preserve"> 1228–1232. (doi:10.2337/diabetes.40.10.1228)</w:t>
      </w:r>
    </w:p>
    <w:p w14:paraId="7B6BC35F"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Engel FL &amp; Scott JL 1951 The role of hormones in adipose tissue glycogen synthesis in the rat; the adrenal cortex. </w:t>
      </w:r>
      <w:r w:rsidRPr="00D17887">
        <w:rPr>
          <w:rFonts w:ascii="Cambria" w:hAnsi="Cambria"/>
          <w:i/>
          <w:iCs/>
          <w:noProof/>
          <w:sz w:val="24"/>
        </w:rPr>
        <w:t>Endocrinology</w:t>
      </w:r>
      <w:r w:rsidRPr="00D17887">
        <w:rPr>
          <w:rFonts w:ascii="Cambria" w:hAnsi="Cambria"/>
          <w:noProof/>
          <w:sz w:val="24"/>
        </w:rPr>
        <w:t xml:space="preserve"> </w:t>
      </w:r>
      <w:r w:rsidRPr="00D17887">
        <w:rPr>
          <w:rFonts w:ascii="Cambria" w:hAnsi="Cambria"/>
          <w:b/>
          <w:bCs/>
          <w:noProof/>
          <w:sz w:val="24"/>
        </w:rPr>
        <w:t>48</w:t>
      </w:r>
      <w:r w:rsidRPr="00D17887">
        <w:rPr>
          <w:rFonts w:ascii="Cambria" w:hAnsi="Cambria"/>
          <w:noProof/>
          <w:sz w:val="24"/>
        </w:rPr>
        <w:t xml:space="preserve"> 56–69.</w:t>
      </w:r>
    </w:p>
    <w:p w14:paraId="70331DC0"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Galton DJ &amp; Wilson JP 1972 Lipogenesis in adipose tissue of patients with obesity and Cushing’s disease. </w:t>
      </w:r>
      <w:r w:rsidRPr="00D17887">
        <w:rPr>
          <w:rFonts w:ascii="Cambria" w:hAnsi="Cambria"/>
          <w:i/>
          <w:iCs/>
          <w:noProof/>
          <w:sz w:val="24"/>
        </w:rPr>
        <w:t>Clinical Science</w:t>
      </w:r>
      <w:r w:rsidRPr="00D17887">
        <w:rPr>
          <w:rFonts w:ascii="Cambria" w:hAnsi="Cambria"/>
          <w:noProof/>
          <w:sz w:val="24"/>
        </w:rPr>
        <w:t xml:space="preserve"> </w:t>
      </w:r>
      <w:r w:rsidRPr="00D17887">
        <w:rPr>
          <w:rFonts w:ascii="Cambria" w:hAnsi="Cambria"/>
          <w:b/>
          <w:bCs/>
          <w:noProof/>
          <w:sz w:val="24"/>
        </w:rPr>
        <w:t>43</w:t>
      </w:r>
      <w:r w:rsidRPr="00D17887">
        <w:rPr>
          <w:rFonts w:ascii="Cambria" w:hAnsi="Cambria"/>
          <w:noProof/>
          <w:sz w:val="24"/>
        </w:rPr>
        <w:t xml:space="preserve"> 17P.</w:t>
      </w:r>
    </w:p>
    <w:p w14:paraId="740953E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Gathercole LL, Bujalska IJ, Stewart PM &amp; Tomlinson JW 2007 Glucocorticoid modulation of insulin signaling in human subcutaneous adipose tissue. </w:t>
      </w:r>
      <w:r w:rsidRPr="00D17887">
        <w:rPr>
          <w:rFonts w:ascii="Cambria" w:hAnsi="Cambria"/>
          <w:i/>
          <w:iCs/>
          <w:noProof/>
          <w:sz w:val="24"/>
        </w:rPr>
        <w:t>The Journal of Clinical Endocrinology and Metabolism</w:t>
      </w:r>
      <w:r w:rsidRPr="00D17887">
        <w:rPr>
          <w:rFonts w:ascii="Cambria" w:hAnsi="Cambria"/>
          <w:noProof/>
          <w:sz w:val="24"/>
        </w:rPr>
        <w:t xml:space="preserve"> </w:t>
      </w:r>
      <w:r w:rsidRPr="00D17887">
        <w:rPr>
          <w:rFonts w:ascii="Cambria" w:hAnsi="Cambria"/>
          <w:b/>
          <w:bCs/>
          <w:noProof/>
          <w:sz w:val="24"/>
        </w:rPr>
        <w:t>92</w:t>
      </w:r>
      <w:r w:rsidRPr="00D17887">
        <w:rPr>
          <w:rFonts w:ascii="Cambria" w:hAnsi="Cambria"/>
          <w:noProof/>
          <w:sz w:val="24"/>
        </w:rPr>
        <w:t xml:space="preserve"> 4332–4339. (doi:10.1210/jc.2007-1399)</w:t>
      </w:r>
    </w:p>
    <w:p w14:paraId="24E46FD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Geer EB, Islam J &amp; Buettner C 2014 Mechanisms of glucocorticoid-induced insulin resistance: Focus on adipose tissue function and lipid metabolism. </w:t>
      </w:r>
      <w:r w:rsidRPr="00D17887">
        <w:rPr>
          <w:rFonts w:ascii="Cambria" w:hAnsi="Cambria"/>
          <w:i/>
          <w:iCs/>
          <w:noProof/>
          <w:sz w:val="24"/>
        </w:rPr>
        <w:t>Endocrinology and Metabolism Clinics of North America</w:t>
      </w:r>
      <w:r w:rsidRPr="00D17887">
        <w:rPr>
          <w:rFonts w:ascii="Cambria" w:hAnsi="Cambria"/>
          <w:noProof/>
          <w:sz w:val="24"/>
        </w:rPr>
        <w:t xml:space="preserve"> </w:t>
      </w:r>
      <w:r w:rsidRPr="00D17887">
        <w:rPr>
          <w:rFonts w:ascii="Cambria" w:hAnsi="Cambria"/>
          <w:b/>
          <w:bCs/>
          <w:noProof/>
          <w:sz w:val="24"/>
        </w:rPr>
        <w:t>43</w:t>
      </w:r>
      <w:r w:rsidRPr="00D17887">
        <w:rPr>
          <w:rFonts w:ascii="Cambria" w:hAnsi="Cambria"/>
          <w:noProof/>
          <w:sz w:val="24"/>
        </w:rPr>
        <w:t xml:space="preserve"> 75–102. (doi:10.1016/j.ecl.2013.10.005)</w:t>
      </w:r>
    </w:p>
    <w:p w14:paraId="6AA3DB2E"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83</w:t>
      </w:r>
      <w:r w:rsidRPr="00D17887">
        <w:rPr>
          <w:rFonts w:ascii="Cambria" w:hAnsi="Cambria"/>
          <w:noProof/>
          <w:sz w:val="24"/>
        </w:rPr>
        <w:t xml:space="preserve"> 902–910. (doi:10.1210/jc.83.3.902)</w:t>
      </w:r>
    </w:p>
    <w:p w14:paraId="2B1C5D83"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D17887">
        <w:rPr>
          <w:rFonts w:ascii="Cambria" w:hAnsi="Cambria"/>
          <w:i/>
          <w:iCs/>
          <w:noProof/>
          <w:sz w:val="24"/>
        </w:rPr>
        <w:t>American Journal of Physiology. Endocrinology and Metabolism</w:t>
      </w:r>
      <w:r w:rsidRPr="00D17887">
        <w:rPr>
          <w:rFonts w:ascii="Cambria" w:hAnsi="Cambria"/>
          <w:noProof/>
          <w:sz w:val="24"/>
        </w:rPr>
        <w:t xml:space="preserve"> </w:t>
      </w:r>
      <w:r w:rsidRPr="00D17887">
        <w:rPr>
          <w:rFonts w:ascii="Cambria" w:hAnsi="Cambria"/>
          <w:b/>
          <w:bCs/>
          <w:noProof/>
          <w:sz w:val="24"/>
        </w:rPr>
        <w:t>304</w:t>
      </w:r>
      <w:r w:rsidRPr="00D17887">
        <w:rPr>
          <w:rFonts w:ascii="Cambria" w:hAnsi="Cambria"/>
          <w:noProof/>
          <w:sz w:val="24"/>
        </w:rPr>
        <w:t xml:space="preserve"> E282–E293. (doi:10.1152/ajpendo.00154.2012)</w:t>
      </w:r>
    </w:p>
    <w:p w14:paraId="7A3C305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lastRenderedPageBreak/>
        <w:t xml:space="preserve">Hauner H, Schmid P &amp; Pfeiffer EF 1987 Glucocorticoids and insulin promote the differentiation of human adipocyte precursor cells into fat cells.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64</w:t>
      </w:r>
      <w:r w:rsidRPr="00D17887">
        <w:rPr>
          <w:rFonts w:ascii="Cambria" w:hAnsi="Cambria"/>
          <w:noProof/>
          <w:sz w:val="24"/>
        </w:rPr>
        <w:t xml:space="preserve"> 832–835. (doi:10.1210/jcem-64-4-832)</w:t>
      </w:r>
    </w:p>
    <w:p w14:paraId="7217A44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D17887">
        <w:rPr>
          <w:rFonts w:ascii="Cambria" w:hAnsi="Cambria"/>
          <w:i/>
          <w:iCs/>
          <w:noProof/>
          <w:sz w:val="24"/>
        </w:rPr>
        <w:t>The Journal of Clinical Endocrinology and Metabolism</w:t>
      </w:r>
      <w:r w:rsidRPr="00D17887">
        <w:rPr>
          <w:rFonts w:ascii="Cambria" w:hAnsi="Cambria"/>
          <w:noProof/>
          <w:sz w:val="24"/>
        </w:rPr>
        <w:t xml:space="preserve"> </w:t>
      </w:r>
      <w:r w:rsidRPr="00D17887">
        <w:rPr>
          <w:rFonts w:ascii="Cambria" w:hAnsi="Cambria"/>
          <w:b/>
          <w:bCs/>
          <w:noProof/>
          <w:sz w:val="24"/>
        </w:rPr>
        <w:t>98</w:t>
      </w:r>
      <w:r w:rsidRPr="00D17887">
        <w:rPr>
          <w:rFonts w:ascii="Cambria" w:hAnsi="Cambria"/>
          <w:noProof/>
          <w:sz w:val="24"/>
        </w:rPr>
        <w:t xml:space="preserve"> 1631–1640. (doi:10.1210/jc.2012-3523)</w:t>
      </w:r>
    </w:p>
    <w:p w14:paraId="1006A2B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Hochberg I, Tran Q, Harvey I, Stephenson EJ, Barkan AR, Chander WF, Saltiel AR &amp; Bridges D 2015 Dataset for Cushing’s and Acromegaly Studies. (doi:10.5281/zenodo.10726)</w:t>
      </w:r>
    </w:p>
    <w:p w14:paraId="699C4B3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Holland WL, Brozinick JT, Wang L-PP, Hawkins ED, Sargent KM, Liu Y, Narra K, Hoehn KL, Knotts T a., Siesky A </w:t>
      </w:r>
      <w:r w:rsidRPr="00D17887">
        <w:rPr>
          <w:rFonts w:ascii="Cambria" w:hAnsi="Cambria"/>
          <w:i/>
          <w:iCs/>
          <w:noProof/>
          <w:sz w:val="24"/>
        </w:rPr>
        <w:t>et al.</w:t>
      </w:r>
      <w:r w:rsidRPr="00D17887">
        <w:rPr>
          <w:rFonts w:ascii="Cambria" w:hAnsi="Cambria"/>
          <w:noProof/>
          <w:sz w:val="24"/>
        </w:rPr>
        <w:t xml:space="preserve"> 2007 Inhibition of ceramide synthesis ameliorates glucocorticoid-, saturated-fat-, and obesity-induced insulin resistance. </w:t>
      </w:r>
      <w:r w:rsidRPr="00D17887">
        <w:rPr>
          <w:rFonts w:ascii="Cambria" w:hAnsi="Cambria"/>
          <w:i/>
          <w:iCs/>
          <w:noProof/>
          <w:sz w:val="24"/>
        </w:rPr>
        <w:t>Cell Metabolism</w:t>
      </w:r>
      <w:r w:rsidRPr="00D17887">
        <w:rPr>
          <w:rFonts w:ascii="Cambria" w:hAnsi="Cambria"/>
          <w:noProof/>
          <w:sz w:val="24"/>
        </w:rPr>
        <w:t xml:space="preserve"> </w:t>
      </w:r>
      <w:r w:rsidRPr="00D17887">
        <w:rPr>
          <w:rFonts w:ascii="Cambria" w:hAnsi="Cambria"/>
          <w:b/>
          <w:bCs/>
          <w:noProof/>
          <w:sz w:val="24"/>
        </w:rPr>
        <w:t>5</w:t>
      </w:r>
      <w:r w:rsidRPr="00D17887">
        <w:rPr>
          <w:rFonts w:ascii="Cambria" w:hAnsi="Cambria"/>
          <w:noProof/>
          <w:sz w:val="24"/>
        </w:rPr>
        <w:t xml:space="preserve"> 167–179. (doi:10.1016/j.cmet.2007.01.002)</w:t>
      </w:r>
    </w:p>
    <w:p w14:paraId="2BFEAB44"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D17887">
        <w:rPr>
          <w:rFonts w:ascii="Cambria" w:hAnsi="Cambria"/>
          <w:i/>
          <w:iCs/>
          <w:noProof/>
          <w:sz w:val="24"/>
        </w:rPr>
        <w:t>Analytical Biochemistry</w:t>
      </w:r>
      <w:r w:rsidRPr="00D17887">
        <w:rPr>
          <w:rFonts w:ascii="Cambria" w:hAnsi="Cambria"/>
          <w:noProof/>
          <w:sz w:val="24"/>
        </w:rPr>
        <w:t xml:space="preserve"> </w:t>
      </w:r>
      <w:r w:rsidRPr="00D17887">
        <w:rPr>
          <w:rFonts w:ascii="Cambria" w:hAnsi="Cambria"/>
          <w:b/>
          <w:bCs/>
          <w:noProof/>
          <w:sz w:val="24"/>
        </w:rPr>
        <w:t>401</w:t>
      </w:r>
      <w:r w:rsidRPr="00D17887">
        <w:rPr>
          <w:rFonts w:ascii="Cambria" w:hAnsi="Cambria"/>
          <w:noProof/>
          <w:sz w:val="24"/>
        </w:rPr>
        <w:t xml:space="preserve"> 154–161. (doi:10.1016/j.ab.2010.02.023)</w:t>
      </w:r>
    </w:p>
    <w:p w14:paraId="63FD163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Kim D, Pertea G, Trapnell C, Pimentel H, Kelley R &amp; Salzberg SL 2013 TopHat2: accurate alignment of transcriptomes in the presence of insertions, deletions and gene fusions. </w:t>
      </w:r>
      <w:r w:rsidRPr="00D17887">
        <w:rPr>
          <w:rFonts w:ascii="Cambria" w:hAnsi="Cambria"/>
          <w:i/>
          <w:iCs/>
          <w:noProof/>
          <w:sz w:val="24"/>
        </w:rPr>
        <w:t>Genome Biology</w:t>
      </w:r>
      <w:r w:rsidRPr="00D17887">
        <w:rPr>
          <w:rFonts w:ascii="Cambria" w:hAnsi="Cambria"/>
          <w:noProof/>
          <w:sz w:val="24"/>
        </w:rPr>
        <w:t xml:space="preserve"> </w:t>
      </w:r>
      <w:r w:rsidRPr="00D17887">
        <w:rPr>
          <w:rFonts w:ascii="Cambria" w:hAnsi="Cambria"/>
          <w:b/>
          <w:bCs/>
          <w:noProof/>
          <w:sz w:val="24"/>
        </w:rPr>
        <w:t>14</w:t>
      </w:r>
      <w:r w:rsidRPr="00D17887">
        <w:rPr>
          <w:rFonts w:ascii="Cambria" w:hAnsi="Cambria"/>
          <w:noProof/>
          <w:sz w:val="24"/>
        </w:rPr>
        <w:t xml:space="preserve"> R36. (doi:10.1186/gb-2013-14-4-r36)</w:t>
      </w:r>
    </w:p>
    <w:p w14:paraId="7F49EC8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D17887">
        <w:rPr>
          <w:rFonts w:ascii="Cambria" w:hAnsi="Cambria"/>
          <w:i/>
          <w:iCs/>
          <w:noProof/>
          <w:sz w:val="24"/>
        </w:rPr>
        <w:t>Physiological Research</w:t>
      </w:r>
      <w:r w:rsidRPr="00D17887">
        <w:rPr>
          <w:rFonts w:ascii="Cambria" w:hAnsi="Cambria"/>
          <w:noProof/>
          <w:sz w:val="24"/>
        </w:rPr>
        <w:t xml:space="preserve"> </w:t>
      </w:r>
      <w:r w:rsidRPr="00D17887">
        <w:rPr>
          <w:rFonts w:ascii="Cambria" w:hAnsi="Cambria"/>
          <w:b/>
          <w:bCs/>
          <w:noProof/>
          <w:sz w:val="24"/>
        </w:rPr>
        <w:t>55</w:t>
      </w:r>
      <w:r w:rsidRPr="00D17887">
        <w:rPr>
          <w:rFonts w:ascii="Cambria" w:hAnsi="Cambria"/>
          <w:noProof/>
          <w:sz w:val="24"/>
        </w:rPr>
        <w:t xml:space="preserve"> 421–428.</w:t>
      </w:r>
    </w:p>
    <w:p w14:paraId="5204123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Lamberts SW &amp; Birkenhäger JC 1976 Body composition in Cushing’s disease. </w:t>
      </w:r>
      <w:r w:rsidRPr="00D17887">
        <w:rPr>
          <w:rFonts w:ascii="Cambria" w:hAnsi="Cambria"/>
          <w:i/>
          <w:iCs/>
          <w:noProof/>
          <w:sz w:val="24"/>
        </w:rPr>
        <w:t>The Journal of Clinical Endocrinology and Metabolism</w:t>
      </w:r>
      <w:r w:rsidRPr="00D17887">
        <w:rPr>
          <w:rFonts w:ascii="Cambria" w:hAnsi="Cambria"/>
          <w:noProof/>
          <w:sz w:val="24"/>
        </w:rPr>
        <w:t xml:space="preserve"> </w:t>
      </w:r>
      <w:r w:rsidRPr="00D17887">
        <w:rPr>
          <w:rFonts w:ascii="Cambria" w:hAnsi="Cambria"/>
          <w:b/>
          <w:bCs/>
          <w:noProof/>
          <w:sz w:val="24"/>
        </w:rPr>
        <w:t>42</w:t>
      </w:r>
      <w:r w:rsidRPr="00D17887">
        <w:rPr>
          <w:rFonts w:ascii="Cambria" w:hAnsi="Cambria"/>
          <w:noProof/>
          <w:sz w:val="24"/>
        </w:rPr>
        <w:t xml:space="preserve"> 864–868.</w:t>
      </w:r>
    </w:p>
    <w:p w14:paraId="013BCF1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Langmead B &amp; Salzberg S 2012 Fast gapped-read alignment with Bowtie 2. </w:t>
      </w:r>
      <w:r w:rsidRPr="00D17887">
        <w:rPr>
          <w:rFonts w:ascii="Cambria" w:hAnsi="Cambria"/>
          <w:i/>
          <w:iCs/>
          <w:noProof/>
          <w:sz w:val="24"/>
        </w:rPr>
        <w:t>Nature Methods</w:t>
      </w:r>
      <w:r w:rsidRPr="00D17887">
        <w:rPr>
          <w:rFonts w:ascii="Cambria" w:hAnsi="Cambria"/>
          <w:noProof/>
          <w:sz w:val="24"/>
        </w:rPr>
        <w:t xml:space="preserve"> </w:t>
      </w:r>
      <w:r w:rsidRPr="00D17887">
        <w:rPr>
          <w:rFonts w:ascii="Cambria" w:hAnsi="Cambria"/>
          <w:b/>
          <w:bCs/>
          <w:noProof/>
          <w:sz w:val="24"/>
        </w:rPr>
        <w:t>9</w:t>
      </w:r>
      <w:r w:rsidRPr="00D17887">
        <w:rPr>
          <w:rFonts w:ascii="Cambria" w:hAnsi="Cambria"/>
          <w:noProof/>
          <w:sz w:val="24"/>
        </w:rPr>
        <w:t xml:space="preserve"> 357–360. (doi:10.1038/nmeth.1923)</w:t>
      </w:r>
    </w:p>
    <w:p w14:paraId="6E83F8D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Lindholm J, Juul S, Jørgensen JOL, Astrup J, Bjerre P, Feldt-Rasmussen U, Hagen C, Jørgensen J, Kosteljanetz M, Kristensen L </w:t>
      </w:r>
      <w:r w:rsidRPr="00D17887">
        <w:rPr>
          <w:rFonts w:ascii="Cambria" w:hAnsi="Cambria"/>
          <w:i/>
          <w:iCs/>
          <w:noProof/>
          <w:sz w:val="24"/>
        </w:rPr>
        <w:t>et al.</w:t>
      </w:r>
      <w:r w:rsidRPr="00D17887">
        <w:rPr>
          <w:rFonts w:ascii="Cambria" w:hAnsi="Cambria"/>
          <w:noProof/>
          <w:sz w:val="24"/>
        </w:rPr>
        <w:t xml:space="preserve"> 2001 Incidence and late prognosis of Cushing’s syndrome: A population-based study.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86</w:t>
      </w:r>
      <w:r w:rsidRPr="00D17887">
        <w:rPr>
          <w:rFonts w:ascii="Cambria" w:hAnsi="Cambria"/>
          <w:noProof/>
          <w:sz w:val="24"/>
        </w:rPr>
        <w:t xml:space="preserve"> 117–123. (doi:10.1210/jc.86.1.117)</w:t>
      </w:r>
    </w:p>
    <w:p w14:paraId="57EE7AB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lastRenderedPageBreak/>
        <w:t xml:space="preserve">Long W, Wei L &amp; Barrett EJ 2001 Dexamethasone inhibits the stimulation of muscle protein synthesis and PHAS-I and p70 S6-kinase phosphorylation. </w:t>
      </w:r>
      <w:r w:rsidRPr="00D17887">
        <w:rPr>
          <w:rFonts w:ascii="Cambria" w:hAnsi="Cambria"/>
          <w:i/>
          <w:iCs/>
          <w:noProof/>
          <w:sz w:val="24"/>
        </w:rPr>
        <w:t>American Journal of Physiology. Endocrinology and Metabolism</w:t>
      </w:r>
      <w:r w:rsidRPr="00D17887">
        <w:rPr>
          <w:rFonts w:ascii="Cambria" w:hAnsi="Cambria"/>
          <w:noProof/>
          <w:sz w:val="24"/>
        </w:rPr>
        <w:t xml:space="preserve"> </w:t>
      </w:r>
      <w:r w:rsidRPr="00D17887">
        <w:rPr>
          <w:rFonts w:ascii="Cambria" w:hAnsi="Cambria"/>
          <w:b/>
          <w:bCs/>
          <w:noProof/>
          <w:sz w:val="24"/>
        </w:rPr>
        <w:t>280</w:t>
      </w:r>
      <w:r w:rsidRPr="00D17887">
        <w:rPr>
          <w:rFonts w:ascii="Cambria" w:hAnsi="Cambria"/>
          <w:noProof/>
          <w:sz w:val="24"/>
        </w:rPr>
        <w:t xml:space="preserve"> E570–E575.</w:t>
      </w:r>
    </w:p>
    <w:p w14:paraId="72E6BAC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Love MI, Huber W &amp; Anders S 2014 </w:t>
      </w:r>
      <w:r w:rsidRPr="00D17887">
        <w:rPr>
          <w:rFonts w:ascii="Cambria" w:hAnsi="Cambria"/>
          <w:i/>
          <w:iCs/>
          <w:noProof/>
          <w:sz w:val="24"/>
        </w:rPr>
        <w:t>Moderated Estimation of Fold Change and Dispersion for RNA-Seq Data with DESeq2</w:t>
      </w:r>
      <w:r w:rsidRPr="00D17887">
        <w:rPr>
          <w:rFonts w:ascii="Cambria" w:hAnsi="Cambria"/>
          <w:noProof/>
          <w:sz w:val="24"/>
        </w:rPr>
        <w:t>. (doi:10.1101/002832)</w:t>
      </w:r>
    </w:p>
    <w:p w14:paraId="189897F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Lumeng CN &amp; Saltiel AR 2011 Inflammatory links between obesity and metabolic disease. </w:t>
      </w:r>
      <w:r w:rsidRPr="00D17887">
        <w:rPr>
          <w:rFonts w:ascii="Cambria" w:hAnsi="Cambria"/>
          <w:i/>
          <w:iCs/>
          <w:noProof/>
          <w:sz w:val="24"/>
        </w:rPr>
        <w:t>The Journal of Clinical Investigation</w:t>
      </w:r>
      <w:r w:rsidRPr="00D17887">
        <w:rPr>
          <w:rFonts w:ascii="Cambria" w:hAnsi="Cambria"/>
          <w:noProof/>
          <w:sz w:val="24"/>
        </w:rPr>
        <w:t xml:space="preserve"> </w:t>
      </w:r>
      <w:r w:rsidRPr="00D17887">
        <w:rPr>
          <w:rFonts w:ascii="Cambria" w:hAnsi="Cambria"/>
          <w:b/>
          <w:bCs/>
          <w:noProof/>
          <w:sz w:val="24"/>
        </w:rPr>
        <w:t>121</w:t>
      </w:r>
      <w:r w:rsidRPr="00D17887">
        <w:rPr>
          <w:rFonts w:ascii="Cambria" w:hAnsi="Cambria"/>
          <w:noProof/>
          <w:sz w:val="24"/>
        </w:rPr>
        <w:t xml:space="preserve"> 2111–2117. (doi:10.1172/JCI57132)</w:t>
      </w:r>
    </w:p>
    <w:p w14:paraId="310AF51D"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D17887">
        <w:rPr>
          <w:rFonts w:ascii="Cambria" w:hAnsi="Cambria"/>
          <w:i/>
          <w:iCs/>
          <w:noProof/>
          <w:sz w:val="24"/>
        </w:rPr>
        <w:t>Radiology</w:t>
      </w:r>
      <w:r w:rsidRPr="00D17887">
        <w:rPr>
          <w:rFonts w:ascii="Cambria" w:hAnsi="Cambria"/>
          <w:noProof/>
          <w:sz w:val="24"/>
        </w:rPr>
        <w:t xml:space="preserve"> </w:t>
      </w:r>
      <w:r w:rsidRPr="00D17887">
        <w:rPr>
          <w:rFonts w:ascii="Cambria" w:hAnsi="Cambria"/>
          <w:b/>
          <w:bCs/>
          <w:noProof/>
          <w:sz w:val="24"/>
        </w:rPr>
        <w:t>170</w:t>
      </w:r>
      <w:r w:rsidRPr="00D17887">
        <w:rPr>
          <w:rFonts w:ascii="Cambria" w:hAnsi="Cambria"/>
          <w:noProof/>
          <w:sz w:val="24"/>
        </w:rPr>
        <w:t xml:space="preserve"> 515–518.</w:t>
      </w:r>
    </w:p>
    <w:p w14:paraId="0C6A223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Menconi M, Fareed M, O’Neal P, Poylin V, Wei W &amp; Hasselgren P-O 2007 Role of glucocorticoids in the molecular regulation of muscle wasting. </w:t>
      </w:r>
      <w:r w:rsidRPr="00D17887">
        <w:rPr>
          <w:rFonts w:ascii="Cambria" w:hAnsi="Cambria"/>
          <w:i/>
          <w:iCs/>
          <w:noProof/>
          <w:sz w:val="24"/>
        </w:rPr>
        <w:t>Critical Care Medicine</w:t>
      </w:r>
      <w:r w:rsidRPr="00D17887">
        <w:rPr>
          <w:rFonts w:ascii="Cambria" w:hAnsi="Cambria"/>
          <w:noProof/>
          <w:sz w:val="24"/>
        </w:rPr>
        <w:t xml:space="preserve"> </w:t>
      </w:r>
      <w:r w:rsidRPr="00D17887">
        <w:rPr>
          <w:rFonts w:ascii="Cambria" w:hAnsi="Cambria"/>
          <w:b/>
          <w:bCs/>
          <w:noProof/>
          <w:sz w:val="24"/>
        </w:rPr>
        <w:t>35</w:t>
      </w:r>
      <w:r w:rsidRPr="00D17887">
        <w:rPr>
          <w:rFonts w:ascii="Cambria" w:hAnsi="Cambria"/>
          <w:noProof/>
          <w:sz w:val="24"/>
        </w:rPr>
        <w:t xml:space="preserve"> S602–S608. (doi:10.1097/01.CCM.0000279194.11328.77)</w:t>
      </w:r>
    </w:p>
    <w:p w14:paraId="5EAF792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Morgan SA, McCabe EL, Gathercole LL, Hassan-Smith ZK, Larner DP, Bujalska IJ, Stewart PM, Tomlinson JW &amp; Lavery GG 2014 11β-HSD1 is the major regulator of the tissue-specific effects of circulating glucocorticoid excess. </w:t>
      </w:r>
      <w:r w:rsidRPr="00D17887">
        <w:rPr>
          <w:rFonts w:ascii="Cambria" w:hAnsi="Cambria"/>
          <w:i/>
          <w:iCs/>
          <w:noProof/>
          <w:sz w:val="24"/>
        </w:rPr>
        <w:t>Proceedings of the National Academy of Sciences of the United States of America</w:t>
      </w:r>
      <w:r w:rsidRPr="00D17887">
        <w:rPr>
          <w:rFonts w:ascii="Cambria" w:hAnsi="Cambria"/>
          <w:noProof/>
          <w:sz w:val="24"/>
        </w:rPr>
        <w:t xml:space="preserve"> </w:t>
      </w:r>
      <w:r w:rsidRPr="00D17887">
        <w:rPr>
          <w:rFonts w:ascii="Cambria" w:hAnsi="Cambria"/>
          <w:b/>
          <w:bCs/>
          <w:noProof/>
          <w:sz w:val="24"/>
        </w:rPr>
        <w:t>111</w:t>
      </w:r>
      <w:r w:rsidRPr="00D17887">
        <w:rPr>
          <w:rFonts w:ascii="Cambria" w:hAnsi="Cambria"/>
          <w:noProof/>
          <w:sz w:val="24"/>
        </w:rPr>
        <w:t xml:space="preserve"> E2482–E2491. (doi:10.1073/pnas.1323681111)</w:t>
      </w:r>
    </w:p>
    <w:p w14:paraId="0CC80A4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Ntali G, Grossman A &amp; Karavitaki N 2015 Clinical and biochemical manifestations of Cushing’s. </w:t>
      </w:r>
      <w:r w:rsidRPr="00D17887">
        <w:rPr>
          <w:rFonts w:ascii="Cambria" w:hAnsi="Cambria"/>
          <w:i/>
          <w:iCs/>
          <w:noProof/>
          <w:sz w:val="24"/>
        </w:rPr>
        <w:t>Pituitary</w:t>
      </w:r>
      <w:r w:rsidRPr="00D17887">
        <w:rPr>
          <w:rFonts w:ascii="Cambria" w:hAnsi="Cambria"/>
          <w:noProof/>
          <w:sz w:val="24"/>
        </w:rPr>
        <w:t>. (doi:10.1007/s11102-014-0631-4)</w:t>
      </w:r>
    </w:p>
    <w:p w14:paraId="713F7E0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Papaspyrou-Rao S, Schneider SH, Petersen RN &amp; Fried SK 1997 Dexamethasone increases leptin expression in humans in vivo.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82</w:t>
      </w:r>
      <w:r w:rsidRPr="00D17887">
        <w:rPr>
          <w:rFonts w:ascii="Cambria" w:hAnsi="Cambria"/>
          <w:noProof/>
          <w:sz w:val="24"/>
        </w:rPr>
        <w:t xml:space="preserve"> 1635–1637.</w:t>
      </w:r>
    </w:p>
    <w:p w14:paraId="2BD33893"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Pleasure DE, Walsh GO &amp; Engel WK 1970 Atrophy of skeletal muscle in patients with Cushing’s syndrome. </w:t>
      </w:r>
      <w:r w:rsidRPr="00D17887">
        <w:rPr>
          <w:rFonts w:ascii="Cambria" w:hAnsi="Cambria"/>
          <w:i/>
          <w:iCs/>
          <w:noProof/>
          <w:sz w:val="24"/>
        </w:rPr>
        <w:t>Archives of Neurology</w:t>
      </w:r>
      <w:r w:rsidRPr="00D17887">
        <w:rPr>
          <w:rFonts w:ascii="Cambria" w:hAnsi="Cambria"/>
          <w:noProof/>
          <w:sz w:val="24"/>
        </w:rPr>
        <w:t xml:space="preserve"> </w:t>
      </w:r>
      <w:r w:rsidRPr="00D17887">
        <w:rPr>
          <w:rFonts w:ascii="Cambria" w:hAnsi="Cambria"/>
          <w:b/>
          <w:bCs/>
          <w:noProof/>
          <w:sz w:val="24"/>
        </w:rPr>
        <w:t>22</w:t>
      </w:r>
      <w:r w:rsidRPr="00D17887">
        <w:rPr>
          <w:rFonts w:ascii="Cambria" w:hAnsi="Cambria"/>
          <w:noProof/>
          <w:sz w:val="24"/>
        </w:rPr>
        <w:t xml:space="preserve"> 118–125. (doi:10.1001/archneur.1970.00480200024002)</w:t>
      </w:r>
    </w:p>
    <w:p w14:paraId="612E2B74"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Price SR, England BK, Bailey JL, Van Vreede K &amp; Mitch WE 1994 Acidosis and glucocorticoids concomitantly increase ubiquitin and proteasome subunit mRNAs in rat muscle. </w:t>
      </w:r>
      <w:r w:rsidRPr="00D17887">
        <w:rPr>
          <w:rFonts w:ascii="Cambria" w:hAnsi="Cambria"/>
          <w:i/>
          <w:iCs/>
          <w:noProof/>
          <w:sz w:val="24"/>
        </w:rPr>
        <w:t>The American Journal of Physiology</w:t>
      </w:r>
      <w:r w:rsidRPr="00D17887">
        <w:rPr>
          <w:rFonts w:ascii="Cambria" w:hAnsi="Cambria"/>
          <w:noProof/>
          <w:sz w:val="24"/>
        </w:rPr>
        <w:t xml:space="preserve"> </w:t>
      </w:r>
      <w:r w:rsidRPr="00D17887">
        <w:rPr>
          <w:rFonts w:ascii="Cambria" w:hAnsi="Cambria"/>
          <w:b/>
          <w:bCs/>
          <w:noProof/>
          <w:sz w:val="24"/>
        </w:rPr>
        <w:t>267</w:t>
      </w:r>
      <w:r w:rsidRPr="00D17887">
        <w:rPr>
          <w:rFonts w:ascii="Cambria" w:hAnsi="Cambria"/>
          <w:noProof/>
          <w:sz w:val="24"/>
        </w:rPr>
        <w:t xml:space="preserve"> C955–C960.</w:t>
      </w:r>
    </w:p>
    <w:p w14:paraId="4345E8FE"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R Core Team 2013 R: A Language and Environment for Statistical Computing.</w:t>
      </w:r>
    </w:p>
    <w:p w14:paraId="6C0828A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Reddy TE, Pauli F, Sprouse RO, Neff NF, Newberry KM, Garabedian MJ &amp; Myers RM 2009 Genomic determination of the glucocorticoid response reveals </w:t>
      </w:r>
      <w:r w:rsidRPr="00D17887">
        <w:rPr>
          <w:rFonts w:ascii="Cambria" w:hAnsi="Cambria"/>
          <w:noProof/>
          <w:sz w:val="24"/>
        </w:rPr>
        <w:lastRenderedPageBreak/>
        <w:t xml:space="preserve">unexpected mechanisms of gene regulation. </w:t>
      </w:r>
      <w:r w:rsidRPr="00D17887">
        <w:rPr>
          <w:rFonts w:ascii="Cambria" w:hAnsi="Cambria"/>
          <w:i/>
          <w:iCs/>
          <w:noProof/>
          <w:sz w:val="24"/>
        </w:rPr>
        <w:t>Genome Research</w:t>
      </w:r>
      <w:r w:rsidRPr="00D17887">
        <w:rPr>
          <w:rFonts w:ascii="Cambria" w:hAnsi="Cambria"/>
          <w:noProof/>
          <w:sz w:val="24"/>
        </w:rPr>
        <w:t xml:space="preserve"> </w:t>
      </w:r>
      <w:r w:rsidRPr="00D17887">
        <w:rPr>
          <w:rFonts w:ascii="Cambria" w:hAnsi="Cambria"/>
          <w:b/>
          <w:bCs/>
          <w:noProof/>
          <w:sz w:val="24"/>
        </w:rPr>
        <w:t>19</w:t>
      </w:r>
      <w:r w:rsidRPr="00D17887">
        <w:rPr>
          <w:rFonts w:ascii="Cambria" w:hAnsi="Cambria"/>
          <w:noProof/>
          <w:sz w:val="24"/>
        </w:rPr>
        <w:t xml:space="preserve"> 2163–2171. (doi:10.1101/gr.097022.109)</w:t>
      </w:r>
    </w:p>
    <w:p w14:paraId="100D2481"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D17887">
        <w:rPr>
          <w:rFonts w:ascii="Cambria" w:hAnsi="Cambria"/>
          <w:i/>
          <w:iCs/>
          <w:noProof/>
          <w:sz w:val="24"/>
        </w:rPr>
        <w:t>European Journal of Endocrinology</w:t>
      </w:r>
      <w:r w:rsidRPr="00D17887">
        <w:rPr>
          <w:rFonts w:ascii="Cambria" w:hAnsi="Cambria"/>
          <w:noProof/>
          <w:sz w:val="24"/>
        </w:rPr>
        <w:t xml:space="preserve"> </w:t>
      </w:r>
      <w:r w:rsidRPr="00D17887">
        <w:rPr>
          <w:rFonts w:ascii="Cambria" w:hAnsi="Cambria"/>
          <w:b/>
          <w:bCs/>
          <w:noProof/>
          <w:sz w:val="24"/>
        </w:rPr>
        <w:t>149</w:t>
      </w:r>
      <w:r w:rsidRPr="00D17887">
        <w:rPr>
          <w:rFonts w:ascii="Cambria" w:hAnsi="Cambria"/>
          <w:noProof/>
          <w:sz w:val="24"/>
        </w:rPr>
        <w:t xml:space="preserve"> 543–548. (doi:10.1530/eje.0.1490543)</w:t>
      </w:r>
    </w:p>
    <w:p w14:paraId="633E306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D17887">
        <w:rPr>
          <w:rFonts w:ascii="Cambria" w:hAnsi="Cambria"/>
          <w:i/>
          <w:iCs/>
          <w:noProof/>
          <w:sz w:val="24"/>
        </w:rPr>
        <w:t>Endocrinology</w:t>
      </w:r>
      <w:r w:rsidRPr="00D17887">
        <w:rPr>
          <w:rFonts w:ascii="Cambria" w:hAnsi="Cambria"/>
          <w:noProof/>
          <w:sz w:val="24"/>
        </w:rPr>
        <w:t xml:space="preserve"> </w:t>
      </w:r>
      <w:r w:rsidRPr="00D17887">
        <w:rPr>
          <w:rFonts w:ascii="Cambria" w:hAnsi="Cambria"/>
          <w:b/>
          <w:bCs/>
          <w:noProof/>
          <w:sz w:val="24"/>
        </w:rPr>
        <w:t>154</w:t>
      </w:r>
      <w:r w:rsidRPr="00D17887">
        <w:rPr>
          <w:rFonts w:ascii="Cambria" w:hAnsi="Cambria"/>
          <w:noProof/>
          <w:sz w:val="24"/>
        </w:rPr>
        <w:t xml:space="preserve"> 1528–1539. (doi:10.1210/en.2011-1047)</w:t>
      </w:r>
    </w:p>
    <w:p w14:paraId="63D4649E"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83</w:t>
      </w:r>
      <w:r w:rsidRPr="00D17887">
        <w:rPr>
          <w:rFonts w:ascii="Cambria" w:hAnsi="Cambria"/>
          <w:noProof/>
          <w:sz w:val="24"/>
        </w:rPr>
        <w:t xml:space="preserve"> 626–631. (doi:10.1210/jc.83.2.626)</w:t>
      </w:r>
    </w:p>
    <w:p w14:paraId="6624E2E1"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Segal HL &amp; Gonzalez Lopez C 1963 Early Effects of Glucocorticoids on Precursor Incorporation into Glycogen. </w:t>
      </w:r>
      <w:r w:rsidRPr="00D17887">
        <w:rPr>
          <w:rFonts w:ascii="Cambria" w:hAnsi="Cambria"/>
          <w:i/>
          <w:iCs/>
          <w:noProof/>
          <w:sz w:val="24"/>
        </w:rPr>
        <w:t>Nature</w:t>
      </w:r>
      <w:r w:rsidRPr="00D17887">
        <w:rPr>
          <w:rFonts w:ascii="Cambria" w:hAnsi="Cambria"/>
          <w:noProof/>
          <w:sz w:val="24"/>
        </w:rPr>
        <w:t xml:space="preserve"> </w:t>
      </w:r>
      <w:r w:rsidRPr="00D17887">
        <w:rPr>
          <w:rFonts w:ascii="Cambria" w:hAnsi="Cambria"/>
          <w:b/>
          <w:bCs/>
          <w:noProof/>
          <w:sz w:val="24"/>
        </w:rPr>
        <w:t>200</w:t>
      </w:r>
      <w:r w:rsidRPr="00D17887">
        <w:rPr>
          <w:rFonts w:ascii="Cambria" w:hAnsi="Cambria"/>
          <w:noProof/>
          <w:sz w:val="24"/>
        </w:rPr>
        <w:t xml:space="preserve"> 143–144. (doi:10.1038/200143a0)</w:t>
      </w:r>
    </w:p>
    <w:p w14:paraId="3020B7A4"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Subramanian A, Tamayo P, Mootha VK, Mukherjee S, Ebert BL, Gillette MA, Paulovich A, Pomeroy SL, Golub TR, Lander ES </w:t>
      </w:r>
      <w:r w:rsidRPr="00D17887">
        <w:rPr>
          <w:rFonts w:ascii="Cambria" w:hAnsi="Cambria"/>
          <w:i/>
          <w:iCs/>
          <w:noProof/>
          <w:sz w:val="24"/>
        </w:rPr>
        <w:t>et al.</w:t>
      </w:r>
      <w:r w:rsidRPr="00D17887">
        <w:rPr>
          <w:rFonts w:ascii="Cambria" w:hAnsi="Cambria"/>
          <w:noProof/>
          <w:sz w:val="24"/>
        </w:rPr>
        <w:t xml:space="preserve"> 2005 Gene set enrichment analysis: a knowledge-based approach for interpreting genome-wide expression profiles. </w:t>
      </w:r>
      <w:r w:rsidRPr="00D17887">
        <w:rPr>
          <w:rFonts w:ascii="Cambria" w:hAnsi="Cambria"/>
          <w:i/>
          <w:iCs/>
          <w:noProof/>
          <w:sz w:val="24"/>
        </w:rPr>
        <w:t>Proceedings of the National Academy of Sciences of the United States of America</w:t>
      </w:r>
      <w:r w:rsidRPr="00D17887">
        <w:rPr>
          <w:rFonts w:ascii="Cambria" w:hAnsi="Cambria"/>
          <w:noProof/>
          <w:sz w:val="24"/>
        </w:rPr>
        <w:t xml:space="preserve"> </w:t>
      </w:r>
      <w:r w:rsidRPr="00D17887">
        <w:rPr>
          <w:rFonts w:ascii="Cambria" w:hAnsi="Cambria"/>
          <w:b/>
          <w:bCs/>
          <w:noProof/>
          <w:sz w:val="24"/>
        </w:rPr>
        <w:t>102</w:t>
      </w:r>
      <w:r w:rsidRPr="00D17887">
        <w:rPr>
          <w:rFonts w:ascii="Cambria" w:hAnsi="Cambria"/>
          <w:noProof/>
          <w:sz w:val="24"/>
        </w:rPr>
        <w:t xml:space="preserve"> 15545–15550. (doi:10.1073/pnas.0506580102)</w:t>
      </w:r>
    </w:p>
    <w:p w14:paraId="7231E99D"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D17887">
        <w:rPr>
          <w:rFonts w:ascii="Cambria" w:hAnsi="Cambria"/>
          <w:i/>
          <w:iCs/>
          <w:noProof/>
          <w:sz w:val="24"/>
        </w:rPr>
        <w:t>Cell</w:t>
      </w:r>
      <w:r w:rsidRPr="00D17887">
        <w:rPr>
          <w:rFonts w:ascii="Cambria" w:hAnsi="Cambria"/>
          <w:noProof/>
          <w:sz w:val="24"/>
        </w:rPr>
        <w:t xml:space="preserve"> </w:t>
      </w:r>
      <w:r w:rsidRPr="00D17887">
        <w:rPr>
          <w:rFonts w:ascii="Cambria" w:hAnsi="Cambria"/>
          <w:b/>
          <w:bCs/>
          <w:noProof/>
          <w:sz w:val="24"/>
        </w:rPr>
        <w:t>145</w:t>
      </w:r>
      <w:r w:rsidRPr="00D17887">
        <w:rPr>
          <w:rFonts w:ascii="Cambria" w:hAnsi="Cambria"/>
          <w:noProof/>
          <w:sz w:val="24"/>
        </w:rPr>
        <w:t xml:space="preserve"> 224–241. (doi:10.1016/j.cell.2011.03.027)</w:t>
      </w:r>
    </w:p>
    <w:p w14:paraId="7FDC207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D17887">
        <w:rPr>
          <w:rFonts w:ascii="Cambria" w:hAnsi="Cambria"/>
          <w:i/>
          <w:iCs/>
          <w:noProof/>
          <w:sz w:val="24"/>
        </w:rPr>
        <w:t>Molecular Endocrinology (Baltimore, Md.)</w:t>
      </w:r>
      <w:r w:rsidRPr="00D17887">
        <w:rPr>
          <w:rFonts w:ascii="Cambria" w:hAnsi="Cambria"/>
          <w:noProof/>
          <w:sz w:val="24"/>
        </w:rPr>
        <w:t xml:space="preserve"> </w:t>
      </w:r>
      <w:r w:rsidRPr="00D17887">
        <w:rPr>
          <w:rFonts w:ascii="Cambria" w:hAnsi="Cambria"/>
          <w:b/>
          <w:bCs/>
          <w:noProof/>
          <w:sz w:val="24"/>
        </w:rPr>
        <w:t>24</w:t>
      </w:r>
      <w:r w:rsidRPr="00D17887">
        <w:rPr>
          <w:rFonts w:ascii="Cambria" w:hAnsi="Cambria"/>
          <w:noProof/>
          <w:sz w:val="24"/>
        </w:rPr>
        <w:t xml:space="preserve"> 104–113. (doi:10.1210/me.2009-0091)</w:t>
      </w:r>
    </w:p>
    <w:p w14:paraId="3AD6A64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Wing SS &amp; Goldberg AL 1993 Glucocorticoids activate the ATP-ubiquitin-dependent proteolytic system in skeletal muscle during fasting. </w:t>
      </w:r>
      <w:r w:rsidRPr="00D17887">
        <w:rPr>
          <w:rFonts w:ascii="Cambria" w:hAnsi="Cambria"/>
          <w:i/>
          <w:iCs/>
          <w:noProof/>
          <w:sz w:val="24"/>
        </w:rPr>
        <w:t>The American Journal of Physiology</w:t>
      </w:r>
      <w:r w:rsidRPr="00D17887">
        <w:rPr>
          <w:rFonts w:ascii="Cambria" w:hAnsi="Cambria"/>
          <w:noProof/>
          <w:sz w:val="24"/>
        </w:rPr>
        <w:t xml:space="preserve"> </w:t>
      </w:r>
      <w:r w:rsidRPr="00D17887">
        <w:rPr>
          <w:rFonts w:ascii="Cambria" w:hAnsi="Cambria"/>
          <w:b/>
          <w:bCs/>
          <w:noProof/>
          <w:sz w:val="24"/>
        </w:rPr>
        <w:t>264</w:t>
      </w:r>
      <w:r w:rsidRPr="00D17887">
        <w:rPr>
          <w:rFonts w:ascii="Cambria" w:hAnsi="Cambria"/>
          <w:noProof/>
          <w:sz w:val="24"/>
        </w:rPr>
        <w:t xml:space="preserve"> E668–E676.</w:t>
      </w:r>
    </w:p>
    <w:p w14:paraId="114523FE" w14:textId="5DE92790" w:rsidR="00F72E09" w:rsidRPr="00F72E09" w:rsidRDefault="00F72E09" w:rsidP="00D17887">
      <w:pPr>
        <w:pStyle w:val="NormalWeb"/>
        <w:ind w:left="480" w:hanging="480"/>
        <w:divId w:val="774405318"/>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21E55819"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was administered via IP injection and blood glucose was measur</w:t>
      </w:r>
      <w:r w:rsidR="00D14C7C">
        <w:t xml:space="preserve">ed at baseline </w:t>
      </w:r>
      <w:r w:rsidR="00D7626E">
        <w:t xml:space="preserve">and the indicated </w:t>
      </w:r>
      <w:r w:rsidR="00D14C7C">
        <w:t>time</w:t>
      </w:r>
      <w:r w:rsidR="003C77EE">
        <w:t xml:space="preserve"> post injection. </w:t>
      </w:r>
      <w:r w:rsidR="00BA0D4B">
        <w:t xml:space="preserve">G) Inguinal (IWAT) and </w:t>
      </w:r>
      <w:proofErr w:type="spellStart"/>
      <w:r w:rsidR="00BA0D4B">
        <w:t>epididymal</w:t>
      </w:r>
      <w:proofErr w:type="spellEnd"/>
      <w:r w:rsidR="00BA0D4B">
        <w:t xml:space="preserve"> (EWAT) fat pad weights, for </w:t>
      </w:r>
      <w:r w:rsidR="00D14C7C">
        <w:t>right</w:t>
      </w:r>
      <w:r w:rsidR="00BA0D4B">
        <w:t xml:space="preserve">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8C1031" w:rsidRDefault="008C1031" w:rsidP="002025A3">
      <w:r>
        <w:separator/>
      </w:r>
    </w:p>
  </w:endnote>
  <w:endnote w:type="continuationSeparator" w:id="0">
    <w:p w14:paraId="4862A113" w14:textId="77777777" w:rsidR="008C1031" w:rsidRDefault="008C1031" w:rsidP="002025A3">
      <w:r>
        <w:continuationSeparator/>
      </w:r>
    </w:p>
  </w:endnote>
  <w:endnote w:type="continuationNotice" w:id="1">
    <w:p w14:paraId="0803EFCE" w14:textId="77777777" w:rsidR="008C1031" w:rsidRDefault="008C10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8C1031" w:rsidRDefault="008C1031"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8C1031" w:rsidRDefault="008C103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8C1031" w:rsidRDefault="008C1031"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0878">
      <w:rPr>
        <w:rStyle w:val="PageNumber"/>
        <w:noProof/>
      </w:rPr>
      <w:t>16</w:t>
    </w:r>
    <w:r>
      <w:rPr>
        <w:rStyle w:val="PageNumber"/>
      </w:rPr>
      <w:fldChar w:fldCharType="end"/>
    </w:r>
  </w:p>
  <w:p w14:paraId="498801B7" w14:textId="77777777" w:rsidR="008C1031" w:rsidRDefault="008C103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8C1031" w:rsidRDefault="008C1031" w:rsidP="002025A3">
      <w:r>
        <w:separator/>
      </w:r>
    </w:p>
  </w:footnote>
  <w:footnote w:type="continuationSeparator" w:id="0">
    <w:p w14:paraId="26E7F533" w14:textId="77777777" w:rsidR="008C1031" w:rsidRDefault="008C1031" w:rsidP="002025A3">
      <w:r>
        <w:continuationSeparator/>
      </w:r>
    </w:p>
  </w:footnote>
  <w:footnote w:type="continuationNotice" w:id="1">
    <w:p w14:paraId="12BCD0C6" w14:textId="77777777" w:rsidR="008C1031" w:rsidRDefault="008C1031"/>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2D93"/>
    <w:rsid w:val="0002510A"/>
    <w:rsid w:val="00025FF1"/>
    <w:rsid w:val="0003020D"/>
    <w:rsid w:val="00030F99"/>
    <w:rsid w:val="000317EB"/>
    <w:rsid w:val="00035B50"/>
    <w:rsid w:val="0003601C"/>
    <w:rsid w:val="00044176"/>
    <w:rsid w:val="000468F7"/>
    <w:rsid w:val="00051BF6"/>
    <w:rsid w:val="00055886"/>
    <w:rsid w:val="00064AB6"/>
    <w:rsid w:val="00070E5A"/>
    <w:rsid w:val="0008047F"/>
    <w:rsid w:val="00091F82"/>
    <w:rsid w:val="000936EA"/>
    <w:rsid w:val="000C66BF"/>
    <w:rsid w:val="000C671D"/>
    <w:rsid w:val="000D4B81"/>
    <w:rsid w:val="000D5F39"/>
    <w:rsid w:val="000D7EE2"/>
    <w:rsid w:val="000F1A60"/>
    <w:rsid w:val="000F1BFF"/>
    <w:rsid w:val="0010215F"/>
    <w:rsid w:val="00102B1C"/>
    <w:rsid w:val="00122DD7"/>
    <w:rsid w:val="001265D3"/>
    <w:rsid w:val="001267C8"/>
    <w:rsid w:val="00127C57"/>
    <w:rsid w:val="0015033F"/>
    <w:rsid w:val="0015200A"/>
    <w:rsid w:val="00154286"/>
    <w:rsid w:val="00155D0E"/>
    <w:rsid w:val="00161D64"/>
    <w:rsid w:val="00161E96"/>
    <w:rsid w:val="00177EF6"/>
    <w:rsid w:val="00197751"/>
    <w:rsid w:val="001A282B"/>
    <w:rsid w:val="001A4B5B"/>
    <w:rsid w:val="001A4F2F"/>
    <w:rsid w:val="001B369A"/>
    <w:rsid w:val="001C7894"/>
    <w:rsid w:val="001D595C"/>
    <w:rsid w:val="001D5F14"/>
    <w:rsid w:val="001D6336"/>
    <w:rsid w:val="001E43B2"/>
    <w:rsid w:val="001E5037"/>
    <w:rsid w:val="001F3AE6"/>
    <w:rsid w:val="0020142E"/>
    <w:rsid w:val="002025A3"/>
    <w:rsid w:val="002039A2"/>
    <w:rsid w:val="0022275B"/>
    <w:rsid w:val="0022352A"/>
    <w:rsid w:val="00224A1A"/>
    <w:rsid w:val="00230A0D"/>
    <w:rsid w:val="00250B75"/>
    <w:rsid w:val="00255ADC"/>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3468"/>
    <w:rsid w:val="002F7649"/>
    <w:rsid w:val="00314020"/>
    <w:rsid w:val="003218D6"/>
    <w:rsid w:val="00323F22"/>
    <w:rsid w:val="00324E99"/>
    <w:rsid w:val="00330800"/>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4E7"/>
    <w:rsid w:val="003C6F69"/>
    <w:rsid w:val="003C77EE"/>
    <w:rsid w:val="003D4413"/>
    <w:rsid w:val="003E29F9"/>
    <w:rsid w:val="003F29E8"/>
    <w:rsid w:val="00403DF7"/>
    <w:rsid w:val="00417C9E"/>
    <w:rsid w:val="00425280"/>
    <w:rsid w:val="004258CA"/>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B4503"/>
    <w:rsid w:val="004D4287"/>
    <w:rsid w:val="004E303C"/>
    <w:rsid w:val="004E3059"/>
    <w:rsid w:val="004E786F"/>
    <w:rsid w:val="004F16EA"/>
    <w:rsid w:val="00501DB9"/>
    <w:rsid w:val="00521A96"/>
    <w:rsid w:val="00523615"/>
    <w:rsid w:val="0054695A"/>
    <w:rsid w:val="00547DEE"/>
    <w:rsid w:val="00556904"/>
    <w:rsid w:val="00563B3B"/>
    <w:rsid w:val="005812FE"/>
    <w:rsid w:val="00583D7D"/>
    <w:rsid w:val="005842A4"/>
    <w:rsid w:val="00590878"/>
    <w:rsid w:val="005937AF"/>
    <w:rsid w:val="005A3933"/>
    <w:rsid w:val="005B58EA"/>
    <w:rsid w:val="005C6048"/>
    <w:rsid w:val="005D09A1"/>
    <w:rsid w:val="005D4214"/>
    <w:rsid w:val="005D46B5"/>
    <w:rsid w:val="005D7786"/>
    <w:rsid w:val="005E4873"/>
    <w:rsid w:val="005E6A67"/>
    <w:rsid w:val="005F06E6"/>
    <w:rsid w:val="00600CE6"/>
    <w:rsid w:val="006146F4"/>
    <w:rsid w:val="00620E7B"/>
    <w:rsid w:val="006229FE"/>
    <w:rsid w:val="00625692"/>
    <w:rsid w:val="006259A6"/>
    <w:rsid w:val="006263FB"/>
    <w:rsid w:val="00626864"/>
    <w:rsid w:val="00631625"/>
    <w:rsid w:val="00636EEB"/>
    <w:rsid w:val="00646C8E"/>
    <w:rsid w:val="00651227"/>
    <w:rsid w:val="006647D3"/>
    <w:rsid w:val="0067239C"/>
    <w:rsid w:val="00682022"/>
    <w:rsid w:val="006827BB"/>
    <w:rsid w:val="0069268D"/>
    <w:rsid w:val="006A1AA1"/>
    <w:rsid w:val="006A2C66"/>
    <w:rsid w:val="006A2D5D"/>
    <w:rsid w:val="006B39C6"/>
    <w:rsid w:val="006B66B9"/>
    <w:rsid w:val="006C087D"/>
    <w:rsid w:val="006C0F0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0D78"/>
    <w:rsid w:val="007B5760"/>
    <w:rsid w:val="007C2C1C"/>
    <w:rsid w:val="007D5F8A"/>
    <w:rsid w:val="007D60C1"/>
    <w:rsid w:val="00813D1F"/>
    <w:rsid w:val="00827E06"/>
    <w:rsid w:val="008445E4"/>
    <w:rsid w:val="00845239"/>
    <w:rsid w:val="00845D55"/>
    <w:rsid w:val="00847FE2"/>
    <w:rsid w:val="008654AE"/>
    <w:rsid w:val="0088089C"/>
    <w:rsid w:val="00883800"/>
    <w:rsid w:val="0089101A"/>
    <w:rsid w:val="008B05E8"/>
    <w:rsid w:val="008B4941"/>
    <w:rsid w:val="008B7184"/>
    <w:rsid w:val="008C0783"/>
    <w:rsid w:val="008C1031"/>
    <w:rsid w:val="008D1AB7"/>
    <w:rsid w:val="008D20DD"/>
    <w:rsid w:val="008E2055"/>
    <w:rsid w:val="008E7DAD"/>
    <w:rsid w:val="00900C37"/>
    <w:rsid w:val="00901CB0"/>
    <w:rsid w:val="009024ED"/>
    <w:rsid w:val="00906B15"/>
    <w:rsid w:val="00920456"/>
    <w:rsid w:val="00921294"/>
    <w:rsid w:val="0092656E"/>
    <w:rsid w:val="00931FFA"/>
    <w:rsid w:val="0093335B"/>
    <w:rsid w:val="00957D30"/>
    <w:rsid w:val="009647EA"/>
    <w:rsid w:val="00967496"/>
    <w:rsid w:val="00970A6B"/>
    <w:rsid w:val="0097392E"/>
    <w:rsid w:val="00974D82"/>
    <w:rsid w:val="0098461E"/>
    <w:rsid w:val="00996FC9"/>
    <w:rsid w:val="00997D8F"/>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6BA6"/>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E2300"/>
    <w:rsid w:val="00AF6894"/>
    <w:rsid w:val="00AF77CF"/>
    <w:rsid w:val="00B375F2"/>
    <w:rsid w:val="00B4059E"/>
    <w:rsid w:val="00B52B45"/>
    <w:rsid w:val="00B60B15"/>
    <w:rsid w:val="00B63E9D"/>
    <w:rsid w:val="00B73856"/>
    <w:rsid w:val="00B738C3"/>
    <w:rsid w:val="00B76695"/>
    <w:rsid w:val="00B8003A"/>
    <w:rsid w:val="00B8018E"/>
    <w:rsid w:val="00B90816"/>
    <w:rsid w:val="00B91CFC"/>
    <w:rsid w:val="00B940A5"/>
    <w:rsid w:val="00B96FD0"/>
    <w:rsid w:val="00BA0D4B"/>
    <w:rsid w:val="00BA1FD0"/>
    <w:rsid w:val="00BB540E"/>
    <w:rsid w:val="00BC1457"/>
    <w:rsid w:val="00BC1FB4"/>
    <w:rsid w:val="00BC4151"/>
    <w:rsid w:val="00BD0693"/>
    <w:rsid w:val="00BD18D5"/>
    <w:rsid w:val="00BD4A3A"/>
    <w:rsid w:val="00BF14C9"/>
    <w:rsid w:val="00BF3DF7"/>
    <w:rsid w:val="00BF6D54"/>
    <w:rsid w:val="00C00C81"/>
    <w:rsid w:val="00C103F7"/>
    <w:rsid w:val="00C24DAC"/>
    <w:rsid w:val="00C27D9A"/>
    <w:rsid w:val="00C36212"/>
    <w:rsid w:val="00C3729C"/>
    <w:rsid w:val="00C414DC"/>
    <w:rsid w:val="00C441CE"/>
    <w:rsid w:val="00C441EB"/>
    <w:rsid w:val="00C50DF5"/>
    <w:rsid w:val="00C52C01"/>
    <w:rsid w:val="00C54DB8"/>
    <w:rsid w:val="00C72C44"/>
    <w:rsid w:val="00C77B27"/>
    <w:rsid w:val="00C81680"/>
    <w:rsid w:val="00C93467"/>
    <w:rsid w:val="00C9498B"/>
    <w:rsid w:val="00CA0833"/>
    <w:rsid w:val="00CC6C05"/>
    <w:rsid w:val="00CD160B"/>
    <w:rsid w:val="00CE028D"/>
    <w:rsid w:val="00CF1A2D"/>
    <w:rsid w:val="00CF4895"/>
    <w:rsid w:val="00D07D33"/>
    <w:rsid w:val="00D12603"/>
    <w:rsid w:val="00D1301B"/>
    <w:rsid w:val="00D14C7C"/>
    <w:rsid w:val="00D17887"/>
    <w:rsid w:val="00D23E9E"/>
    <w:rsid w:val="00D2729C"/>
    <w:rsid w:val="00D321DE"/>
    <w:rsid w:val="00D36E64"/>
    <w:rsid w:val="00D514E8"/>
    <w:rsid w:val="00D534A4"/>
    <w:rsid w:val="00D716D6"/>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A6DD3"/>
    <w:rsid w:val="00EA76F1"/>
    <w:rsid w:val="00EB71E1"/>
    <w:rsid w:val="00ED270F"/>
    <w:rsid w:val="00EE0FAB"/>
    <w:rsid w:val="00EE519A"/>
    <w:rsid w:val="00EF2587"/>
    <w:rsid w:val="00F0643F"/>
    <w:rsid w:val="00F1025D"/>
    <w:rsid w:val="00F1608E"/>
    <w:rsid w:val="00F21DCE"/>
    <w:rsid w:val="00F21DE7"/>
    <w:rsid w:val="00F21FA7"/>
    <w:rsid w:val="00F2263C"/>
    <w:rsid w:val="00F22BAB"/>
    <w:rsid w:val="00F25628"/>
    <w:rsid w:val="00F3066B"/>
    <w:rsid w:val="00F36835"/>
    <w:rsid w:val="00F36F37"/>
    <w:rsid w:val="00F37380"/>
    <w:rsid w:val="00F3793D"/>
    <w:rsid w:val="00F37C5B"/>
    <w:rsid w:val="00F4118B"/>
    <w:rsid w:val="00F41AC1"/>
    <w:rsid w:val="00F4432A"/>
    <w:rsid w:val="00F445F4"/>
    <w:rsid w:val="00F530D8"/>
    <w:rsid w:val="00F530F0"/>
    <w:rsid w:val="00F54175"/>
    <w:rsid w:val="00F63602"/>
    <w:rsid w:val="00F637BB"/>
    <w:rsid w:val="00F63D9D"/>
    <w:rsid w:val="00F666DF"/>
    <w:rsid w:val="00F72E09"/>
    <w:rsid w:val="00F82784"/>
    <w:rsid w:val="00F877A5"/>
    <w:rsid w:val="00F94399"/>
    <w:rsid w:val="00F9502E"/>
    <w:rsid w:val="00FA0771"/>
    <w:rsid w:val="00FA6EF6"/>
    <w:rsid w:val="00FB0AA3"/>
    <w:rsid w:val="00FB5F4F"/>
    <w:rsid w:val="00FB7900"/>
    <w:rsid w:val="00FD6522"/>
    <w:rsid w:val="00FE701E"/>
    <w:rsid w:val="00FE71AA"/>
    <w:rsid w:val="00FF1F68"/>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0544">
      <w:bodyDiv w:val="1"/>
      <w:marLeft w:val="0"/>
      <w:marRight w:val="0"/>
      <w:marTop w:val="0"/>
      <w:marBottom w:val="0"/>
      <w:divBdr>
        <w:top w:val="none" w:sz="0" w:space="0" w:color="auto"/>
        <w:left w:val="none" w:sz="0" w:space="0" w:color="auto"/>
        <w:bottom w:val="none" w:sz="0" w:space="0" w:color="auto"/>
        <w:right w:val="none" w:sz="0" w:space="0" w:color="auto"/>
      </w:divBdr>
      <w:divsChild>
        <w:div w:id="1088769123">
          <w:marLeft w:val="0"/>
          <w:marRight w:val="0"/>
          <w:marTop w:val="0"/>
          <w:marBottom w:val="0"/>
          <w:divBdr>
            <w:top w:val="none" w:sz="0" w:space="0" w:color="auto"/>
            <w:left w:val="none" w:sz="0" w:space="0" w:color="auto"/>
            <w:bottom w:val="none" w:sz="0" w:space="0" w:color="auto"/>
            <w:right w:val="none" w:sz="0" w:space="0" w:color="auto"/>
          </w:divBdr>
          <w:divsChild>
            <w:div w:id="211771851">
              <w:marLeft w:val="0"/>
              <w:marRight w:val="0"/>
              <w:marTop w:val="0"/>
              <w:marBottom w:val="0"/>
              <w:divBdr>
                <w:top w:val="none" w:sz="0" w:space="0" w:color="auto"/>
                <w:left w:val="none" w:sz="0" w:space="0" w:color="auto"/>
                <w:bottom w:val="none" w:sz="0" w:space="0" w:color="auto"/>
                <w:right w:val="none" w:sz="0" w:space="0" w:color="auto"/>
              </w:divBdr>
              <w:divsChild>
                <w:div w:id="16436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13123">
      <w:bodyDiv w:val="1"/>
      <w:marLeft w:val="0"/>
      <w:marRight w:val="0"/>
      <w:marTop w:val="0"/>
      <w:marBottom w:val="0"/>
      <w:divBdr>
        <w:top w:val="none" w:sz="0" w:space="0" w:color="auto"/>
        <w:left w:val="none" w:sz="0" w:space="0" w:color="auto"/>
        <w:bottom w:val="none" w:sz="0" w:space="0" w:color="auto"/>
        <w:right w:val="none" w:sz="0" w:space="0" w:color="auto"/>
      </w:divBdr>
      <w:divsChild>
        <w:div w:id="187186761">
          <w:marLeft w:val="0"/>
          <w:marRight w:val="0"/>
          <w:marTop w:val="0"/>
          <w:marBottom w:val="0"/>
          <w:divBdr>
            <w:top w:val="none" w:sz="0" w:space="0" w:color="auto"/>
            <w:left w:val="none" w:sz="0" w:space="0" w:color="auto"/>
            <w:bottom w:val="none" w:sz="0" w:space="0" w:color="auto"/>
            <w:right w:val="none" w:sz="0" w:space="0" w:color="auto"/>
          </w:divBdr>
          <w:divsChild>
            <w:div w:id="979310017">
              <w:marLeft w:val="0"/>
              <w:marRight w:val="0"/>
              <w:marTop w:val="0"/>
              <w:marBottom w:val="0"/>
              <w:divBdr>
                <w:top w:val="none" w:sz="0" w:space="0" w:color="auto"/>
                <w:left w:val="none" w:sz="0" w:space="0" w:color="auto"/>
                <w:bottom w:val="none" w:sz="0" w:space="0" w:color="auto"/>
                <w:right w:val="none" w:sz="0" w:space="0" w:color="auto"/>
              </w:divBdr>
              <w:divsChild>
                <w:div w:id="12657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582370">
      <w:bodyDiv w:val="1"/>
      <w:marLeft w:val="0"/>
      <w:marRight w:val="0"/>
      <w:marTop w:val="0"/>
      <w:marBottom w:val="0"/>
      <w:divBdr>
        <w:top w:val="none" w:sz="0" w:space="0" w:color="auto"/>
        <w:left w:val="none" w:sz="0" w:space="0" w:color="auto"/>
        <w:bottom w:val="none" w:sz="0" w:space="0" w:color="auto"/>
        <w:right w:val="none" w:sz="0" w:space="0" w:color="auto"/>
      </w:divBdr>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sChild>
                                                                                                                                                                        <w:div w:id="180824201">
                                                                                                                                                                          <w:marLeft w:val="0"/>
                                                                                                                                                                          <w:marRight w:val="0"/>
                                                                                                                                                                          <w:marTop w:val="0"/>
                                                                                                                                                                          <w:marBottom w:val="0"/>
                                                                                                                                                                          <w:divBdr>
                                                                                                                                                                            <w:top w:val="none" w:sz="0" w:space="0" w:color="auto"/>
                                                                                                                                                                            <w:left w:val="none" w:sz="0" w:space="0" w:color="auto"/>
                                                                                                                                                                            <w:bottom w:val="none" w:sz="0" w:space="0" w:color="auto"/>
                                                                                                                                                                            <w:right w:val="none" w:sz="0" w:space="0" w:color="auto"/>
                                                                                                                                                                          </w:divBdr>
                                                                                                                                                                          <w:divsChild>
                                                                                                                                                                            <w:div w:id="243227936">
                                                                                                                                                                              <w:marLeft w:val="0"/>
                                                                                                                                                                              <w:marRight w:val="0"/>
                                                                                                                                                                              <w:marTop w:val="0"/>
                                                                                                                                                                              <w:marBottom w:val="0"/>
                                                                                                                                                                              <w:divBdr>
                                                                                                                                                                                <w:top w:val="none" w:sz="0" w:space="0" w:color="auto"/>
                                                                                                                                                                                <w:left w:val="none" w:sz="0" w:space="0" w:color="auto"/>
                                                                                                                                                                                <w:bottom w:val="none" w:sz="0" w:space="0" w:color="auto"/>
                                                                                                                                                                                <w:right w:val="none" w:sz="0" w:space="0" w:color="auto"/>
                                                                                                                                                                              </w:divBdr>
                                                                                                                                                                              <w:divsChild>
                                                                                                                                                                                <w:div w:id="1952470995">
                                                                                                                                                                                  <w:marLeft w:val="0"/>
                                                                                                                                                                                  <w:marRight w:val="0"/>
                                                                                                                                                                                  <w:marTop w:val="0"/>
                                                                                                                                                                                  <w:marBottom w:val="0"/>
                                                                                                                                                                                  <w:divBdr>
                                                                                                                                                                                    <w:top w:val="none" w:sz="0" w:space="0" w:color="auto"/>
                                                                                                                                                                                    <w:left w:val="none" w:sz="0" w:space="0" w:color="auto"/>
                                                                                                                                                                                    <w:bottom w:val="none" w:sz="0" w:space="0" w:color="auto"/>
                                                                                                                                                                                    <w:right w:val="none" w:sz="0" w:space="0" w:color="auto"/>
                                                                                                                                                                                  </w:divBdr>
                                                                                                                                                                                  <w:divsChild>
                                                                                                                                                                                    <w:div w:id="774405318">
                                                                                                                                                                                      <w:marLeft w:val="0"/>
                                                                                                                                                                                      <w:marRight w:val="0"/>
                                                                                                                                                                                      <w:marTop w:val="0"/>
                                                                                                                                                                                      <w:marBottom w:val="0"/>
                                                                                                                                                                                      <w:divBdr>
                                                                                                                                                                                        <w:top w:val="none" w:sz="0" w:space="0" w:color="auto"/>
                                                                                                                                                                                        <w:left w:val="none" w:sz="0" w:space="0" w:color="auto"/>
                                                                                                                                                                                        <w:bottom w:val="none" w:sz="0" w:space="0" w:color="auto"/>
                                                                                                                                                                                        <w:right w:val="none" w:sz="0" w:space="0" w:color="auto"/>
                                                                                                                                                                                      </w:divBdr>
                                                                                                                                                                                      <w:divsChild>
                                                                                                                                                                                        <w:div w:id="18979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1609804">
      <w:bodyDiv w:val="1"/>
      <w:marLeft w:val="0"/>
      <w:marRight w:val="0"/>
      <w:marTop w:val="0"/>
      <w:marBottom w:val="0"/>
      <w:divBdr>
        <w:top w:val="none" w:sz="0" w:space="0" w:color="auto"/>
        <w:left w:val="none" w:sz="0" w:space="0" w:color="auto"/>
        <w:bottom w:val="none" w:sz="0" w:space="0" w:color="auto"/>
        <w:right w:val="none" w:sz="0" w:space="0" w:color="auto"/>
      </w:divBdr>
      <w:divsChild>
        <w:div w:id="951136315">
          <w:marLeft w:val="0"/>
          <w:marRight w:val="0"/>
          <w:marTop w:val="0"/>
          <w:marBottom w:val="0"/>
          <w:divBdr>
            <w:top w:val="none" w:sz="0" w:space="0" w:color="auto"/>
            <w:left w:val="none" w:sz="0" w:space="0" w:color="auto"/>
            <w:bottom w:val="none" w:sz="0" w:space="0" w:color="auto"/>
            <w:right w:val="none" w:sz="0" w:space="0" w:color="auto"/>
          </w:divBdr>
          <w:divsChild>
            <w:div w:id="754282725">
              <w:marLeft w:val="0"/>
              <w:marRight w:val="0"/>
              <w:marTop w:val="0"/>
              <w:marBottom w:val="0"/>
              <w:divBdr>
                <w:top w:val="none" w:sz="0" w:space="0" w:color="auto"/>
                <w:left w:val="none" w:sz="0" w:space="0" w:color="auto"/>
                <w:bottom w:val="none" w:sz="0" w:space="0" w:color="auto"/>
                <w:right w:val="none" w:sz="0" w:space="0" w:color="auto"/>
              </w:divBdr>
              <w:divsChild>
                <w:div w:id="7096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ridgeslab.github.io/CushingAcromegalyStudy"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E97B0-423D-C047-A674-1C99FB50A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33</Pages>
  <Words>28093</Words>
  <Characters>160134</Characters>
  <Application>Microsoft Macintosh Word</Application>
  <DocSecurity>0</DocSecurity>
  <Lines>1334</Lines>
  <Paragraphs>375</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187852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82</cp:revision>
  <cp:lastPrinted>2015-02-27T17:07:00Z</cp:lastPrinted>
  <dcterms:created xsi:type="dcterms:W3CDTF">2015-02-28T22:47:00Z</dcterms:created>
  <dcterms:modified xsi:type="dcterms:W3CDTF">2015-06-21T13:50:00Z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