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 xml:space="preserve">nstitutional Animal Care and Use Committee.  </w:t>
      </w:r>
      <w:r w:rsidR="00091F82">
        <w:t xml:space="preserve">Animal body weight and body composition was </w:t>
      </w:r>
      <w:r w:rsidR="00371B43">
        <w:t xml:space="preserve">determined </w:t>
      </w:r>
      <w:r w:rsidR="00091F82">
        <w:t xml:space="preserve">weekly </w:t>
      </w:r>
      <w:r w:rsidR="00371B43">
        <w:t>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isoflurane anaesthesia. </w:t>
      </w:r>
      <w:r w:rsidR="005842A4">
        <w:t>Following cervical dislocation, a sagittal incision was made along the medioventral surface of each mouse and the skin carefully pulled back to expose the subcutaneous fat depots. The incision was extended along the anterior surface of each hindlimb to allow careful dissection of the inguinal fat pads.  A small incision was then made into the rectus abdominus muscle to expose the abdominal</w:t>
      </w:r>
      <w:r w:rsidR="00091F82">
        <w:t xml:space="preserve"> cavity. The </w:t>
      </w:r>
      <w:r w:rsidR="005842A4">
        <w:t xml:space="preserve">epididymal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20D304AE"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w:t>
      </w:r>
      <w:r w:rsidR="00F35DD3">
        <w:t>12</w:t>
      </w:r>
      <w:r>
        <w:t xml:space="preserve"> weeks of </w:t>
      </w:r>
      <w:r w:rsidR="00371B43">
        <w:t xml:space="preserve">dexamethasone </w:t>
      </w:r>
      <w:r>
        <w:t xml:space="preserve">treatment (21 weeks of age). Following a six-hour fast, mice were given </w:t>
      </w:r>
      <w:r w:rsidR="00371B43">
        <w:t>intraperitoneal</w:t>
      </w:r>
      <w:r>
        <w:t xml:space="preserve"> injections 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6CB4D228" w:rsidR="006A1AA1" w:rsidRPr="006A1AA1" w:rsidRDefault="00270A3F" w:rsidP="006A1AA1">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Statistical tests were performed as </w:t>
      </w:r>
      <w:r w:rsidR="006A1AA1">
        <w:t>described below based on tests of normality and</w:t>
      </w:r>
      <w:r w:rsidR="006A1AA1" w:rsidRPr="006A1AA1">
        <w:t> </w:t>
      </w:r>
      <w:r w:rsidR="006A1AA1" w:rsidRPr="006A1AA1">
        <w:rPr>
          <w:iCs/>
        </w:rPr>
        <w:t>homoscedasticity</w:t>
      </w:r>
      <w:r w:rsidR="006A1AA1">
        <w:rPr>
          <w:iCs/>
        </w:rPr>
        <w:t>, then p-values were adjusted for multiple c</w:t>
      </w:r>
      <w:r w:rsidR="00DA575B">
        <w:rPr>
          <w:iCs/>
        </w:rPr>
        <w:t>omparison</w:t>
      </w:r>
      <w:r w:rsidR="006A1AA1">
        <w:rPr>
          <w:iCs/>
        </w:rPr>
        <w:t>s based on the number of genes tested for each tissue</w:t>
      </w:r>
      <w:r w:rsidR="00167765">
        <w:rPr>
          <w:iCs/>
        </w:rPr>
        <w:t xml:space="preserve"> ac</w:t>
      </w:r>
      <w:r w:rsidR="000936EA">
        <w:rPr>
          <w:iCs/>
        </w:rPr>
        <w:t>ross this manuscript</w:t>
      </w:r>
      <w:r w:rsidR="006A1AA1">
        <w:rPr>
          <w:iCs/>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r>
        <w:t xml:space="preserve">Ceramide </w:t>
      </w:r>
      <w:r w:rsidR="00091F82">
        <w:t>D</w:t>
      </w:r>
      <w:r>
        <w:t>etermination</w:t>
      </w:r>
    </w:p>
    <w:p w14:paraId="5D41471C" w14:textId="222916D7"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w:t>
      </w:r>
      <w:r>
        <w:lastRenderedPageBreak/>
        <w:t>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t>Transcriptomic Analysis</w:t>
      </w:r>
    </w:p>
    <w:p w14:paraId="5D27E370" w14:textId="1856AE37" w:rsidR="002025A3" w:rsidRDefault="002025A3" w:rsidP="0015200A">
      <w:pPr>
        <w:spacing w:line="480" w:lineRule="auto"/>
      </w:pPr>
      <w:r>
        <w:t>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w:t>
      </w:r>
      <w:r w:rsidR="007A7F32">
        <w:t>,</w:t>
      </w:r>
      <w:r>
        <w:t>612</w:t>
      </w:r>
      <w:r w:rsidR="007A7F32">
        <w:t>,</w:t>
      </w:r>
      <w:r>
        <w:t>682 to 16</w:t>
      </w:r>
      <w:r w:rsidR="007A7F32">
        <w:t>,</w:t>
      </w:r>
      <w:r>
        <w:t>469</w:t>
      </w:r>
      <w:r w:rsidR="007A7F32">
        <w:t>,</w:t>
      </w:r>
      <w:r>
        <w:t xml:space="preserve">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 xml:space="preserve">All statistical tests were performed using the R package </w:t>
      </w:r>
      <w:r w:rsidR="003F29E8">
        <w:lastRenderedPageBreak/>
        <w:t>(version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Shapiro-Wi</w:t>
      </w:r>
      <w:r w:rsidR="007908AD">
        <w:t>lk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77A24CF5"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 xml:space="preserve">after </w:t>
      </w:r>
      <w:r w:rsidR="00F35DD3">
        <w:t xml:space="preserve">12 </w:t>
      </w:r>
      <w:r w:rsidR="00C27D9A">
        <w:t>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r>
        <w:t>Transcriptomic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A3F691E"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w:t>
      </w:r>
      <w:r w:rsidR="007A7F32">
        <w:t>padj=</w:t>
      </w:r>
      <w:r w:rsidR="006263FB">
        <w:t>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resistin (</w:t>
      </w:r>
      <w:r w:rsidR="001B369A">
        <w:rPr>
          <w:i/>
        </w:rPr>
        <w:t>RETN)</w:t>
      </w:r>
      <w:r w:rsidR="001B369A">
        <w:t xml:space="preserve"> expression</w:t>
      </w:r>
      <w:r w:rsidR="006263FB">
        <w:t xml:space="preserve"> </w:t>
      </w:r>
      <w:r w:rsidR="007D60C1">
        <w:t xml:space="preserve">but no significant changes in </w:t>
      </w:r>
      <w:r w:rsidR="001265D3">
        <w:t>adiponectin mRNA levels (</w:t>
      </w:r>
      <w:r w:rsidR="001265D3" w:rsidRPr="00521A96">
        <w:rPr>
          <w:i/>
        </w:rPr>
        <w:t>ADIPOQ</w:t>
      </w:r>
      <w:r w:rsidR="001265D3">
        <w:t xml:space="preserve">, </w:t>
      </w:r>
      <w:r w:rsidR="007A7F32">
        <w:t>padj=</w:t>
      </w:r>
      <w:r w:rsidR="001265D3">
        <w:t xml:space="preserve">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2B96C302" w:rsidR="00270104" w:rsidRDefault="004276D8" w:rsidP="0015200A">
      <w:pPr>
        <w:spacing w:line="480" w:lineRule="auto"/>
      </w:pPr>
      <w:r>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as induced 1.45 fold (</w:t>
      </w:r>
      <w:r w:rsidR="007A7F32">
        <w:t>padj=</w:t>
      </w:r>
      <w:r>
        <w:t xml:space="preserve">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7A7F32">
        <w:t>padj=</w:t>
      </w:r>
      <w:r w:rsidR="00270104">
        <w:t>0.05</w:t>
      </w:r>
      <w:r w:rsidR="00F25628">
        <w:t>6</w:t>
      </w:r>
      <w:r w:rsidR="00FF1F68">
        <w:t xml:space="preserve">, </w:t>
      </w:r>
      <w:r w:rsidR="00F67C82">
        <w:t>Supplementary Table 1</w:t>
      </w:r>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 Aldo-keto reductase family 1 member C1 (</w:t>
      </w:r>
      <w:r w:rsidR="001E43B2" w:rsidRPr="001E43B2">
        <w:rPr>
          <w:i/>
        </w:rPr>
        <w:t>AKR1C1</w:t>
      </w:r>
      <w:r w:rsidR="00583D7D">
        <w:t xml:space="preserve">), </w:t>
      </w:r>
      <w:r w:rsidR="001E43B2">
        <w:t>7-dehydrocholesterol reductase (</w:t>
      </w:r>
      <w:r w:rsidR="001E43B2" w:rsidRPr="00091F82">
        <w:rPr>
          <w:i/>
        </w:rPr>
        <w:t>DHCR7</w:t>
      </w:r>
      <w:r w:rsidR="001E43B2">
        <w:t>)</w:t>
      </w:r>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r w:rsidR="00091F82">
        <w:t>D</w:t>
      </w:r>
      <w:r w:rsidR="00C9498B">
        <w:t xml:space="preserve">isease </w:t>
      </w:r>
      <w:r w:rsidR="00091F82">
        <w:t>P</w:t>
      </w:r>
      <w:r w:rsidR="002B3E82">
        <w:t>atients</w:t>
      </w:r>
    </w:p>
    <w:p w14:paraId="6AAB2DDB" w14:textId="7E1D805C"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 xml:space="preserve">HK3, FBP1, ALDOC, ENO1, IDH1, ME1 </w:t>
      </w:r>
      <w:r w:rsidR="00F67C82" w:rsidRPr="009B74FA">
        <w:t>and</w:t>
      </w:r>
      <w:r w:rsidR="00F67C82">
        <w:rPr>
          <w:i/>
        </w:rPr>
        <w:t xml:space="preserve"> </w:t>
      </w:r>
      <w:r w:rsidR="00E4429E">
        <w:rPr>
          <w:i/>
        </w:rPr>
        <w:t>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2F3468">
        <w:t xml:space="preserve">  (Figure 5C</w:t>
      </w:r>
      <w:r w:rsidR="00A631D1">
        <w:t>).</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are </w:t>
      </w:r>
      <w:r>
        <w:t>Upregulated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C3F1801"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bookmarkStart w:id="0" w:name="_GoBack"/>
      <w:r w:rsidR="00810CC7">
        <w:t>padj=</w:t>
      </w:r>
      <w:bookmarkEnd w:id="0"/>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w:t>
      </w:r>
      <w:r w:rsidR="001D595C">
        <w:t xml:space="preserve">Among the amino acid catabolism genes, </w:t>
      </w:r>
      <w:r w:rsidR="001D595C" w:rsidRPr="001D595C">
        <w:rPr>
          <w:i/>
        </w:rPr>
        <w:t>AOX</w:t>
      </w:r>
      <w:r w:rsidR="00C441EB">
        <w:rPr>
          <w:i/>
        </w:rPr>
        <w:t xml:space="preserve">1 </w:t>
      </w:r>
      <w:r w:rsidR="00C441EB">
        <w:t xml:space="preserve">(96% increase, </w:t>
      </w:r>
      <w:r w:rsidR="007A7F32">
        <w:t>padj=</w:t>
      </w:r>
      <w:r w:rsidR="00C441EB">
        <w:t>0.03)</w:t>
      </w:r>
      <w:r w:rsidR="001D595C">
        <w:t xml:space="preserve">, </w:t>
      </w:r>
      <w:r w:rsidR="008C1031">
        <w:rPr>
          <w:i/>
        </w:rPr>
        <w:t>OXCT1</w:t>
      </w:r>
      <w:r w:rsidR="001D595C">
        <w:t xml:space="preserve"> </w:t>
      </w:r>
      <w:r w:rsidR="00C441EB">
        <w:t>(</w:t>
      </w:r>
      <w:r w:rsidR="008C1031">
        <w:t xml:space="preserve">40% increase, </w:t>
      </w:r>
      <w:r w:rsidR="007A7F32">
        <w:t>padj=</w:t>
      </w:r>
      <w:r w:rsidR="008C1031">
        <w:t>0.04</w:t>
      </w:r>
      <w:r w:rsidR="00C441EB">
        <w:t>)</w:t>
      </w:r>
      <w:r w:rsidR="008C1031">
        <w:t xml:space="preserve"> </w:t>
      </w:r>
      <w:r w:rsidR="001D595C">
        <w:t xml:space="preserve">and </w:t>
      </w:r>
      <w:r w:rsidR="001D595C" w:rsidRPr="001D595C">
        <w:rPr>
          <w:i/>
        </w:rPr>
        <w:t>BCAT1</w:t>
      </w:r>
      <w:r w:rsidR="001D595C">
        <w:t xml:space="preserve"> </w:t>
      </w:r>
      <w:r w:rsidR="008C1031">
        <w:t xml:space="preserve">(80% increase, p=0.048) </w:t>
      </w:r>
      <w:r w:rsidR="001D595C">
        <w:t xml:space="preserve">were all significantly upregulated.  </w:t>
      </w:r>
      <w:r>
        <w:t xml:space="preserve">Together these </w:t>
      </w:r>
      <w:r>
        <w:lastRenderedPageBreak/>
        <w:t xml:space="preserve">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r w:rsidR="00091F82">
        <w:t>D</w:t>
      </w:r>
      <w:r w:rsidR="00C9498B">
        <w:t xml:space="preserve">isease </w:t>
      </w:r>
      <w:r w:rsidR="00091F82">
        <w:t>P</w:t>
      </w:r>
      <w:r>
        <w:t>atients.</w:t>
      </w:r>
    </w:p>
    <w:p w14:paraId="3FD45D0B" w14:textId="0C0D735B"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810CC7">
        <w:t>padj=</w:t>
      </w:r>
      <w:r w:rsidR="00547DEE" w:rsidRPr="00547DEE">
        <w:t>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0649DE8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ceramides may play a role in the Cushing's disease </w:t>
      </w:r>
      <w:r>
        <w:lastRenderedPageBreak/>
        <w:t>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xml:space="preserve">, </w:t>
      </w:r>
      <w:r w:rsidR="00F226CE">
        <w:t>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5CBDC0A"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w:t>
      </w:r>
      <w:r w:rsidR="00000A0F">
        <w:lastRenderedPageBreak/>
        <w:t xml:space="preserve">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14B3CC37"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lipogenic pathways in adipose tissue.</w:t>
      </w:r>
      <w:r w:rsidR="007D60C1">
        <w:t xml:space="preserve">  </w:t>
      </w:r>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r w:rsidR="006229FE">
        <w:t>proteolytic (</w:t>
      </w:r>
      <w:r w:rsidR="00631625" w:rsidRPr="00997D8F">
        <w:rPr>
          <w:i/>
        </w:rPr>
        <w:t>PSMD1</w:t>
      </w:r>
      <w:r w:rsidR="006229FE" w:rsidRPr="00F4118B">
        <w:rPr>
          <w:i/>
        </w:rPr>
        <w:t>/14</w:t>
      </w:r>
      <w:r w:rsidR="006229FE">
        <w:t xml:space="preserve">) </w:t>
      </w:r>
      <w:r w:rsidR="00C3729C">
        <w:t>and lipogenic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 with similar transcript expression changes seen in mouse adipose and muscle tissue</w:t>
      </w:r>
      <w:r w:rsidR="004B0F86">
        <w:t xml:space="preserve"> when treated with dexamethasone</w:t>
      </w:r>
      <w:r w:rsidR="00C3729C">
        <w:t xml:space="preserve">.  </w:t>
      </w:r>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w:t>
      </w:r>
      <w:r w:rsidR="00D7101A">
        <w:t>e</w:t>
      </w:r>
      <w:r w:rsidR="00D84C77">
        <w:t>in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r w:rsidR="00827E06" w:rsidRPr="00F4118B">
        <w:rPr>
          <w:i/>
        </w:rPr>
        <w:t>Dgat</w:t>
      </w:r>
      <w:r w:rsidR="00827E06" w:rsidRPr="00F4118B">
        <w:t xml:space="preserve"> mRNA, though we observed no effects of Cushing’s disease on lipolytic genes (Figure 4D) as that study did.  In our study we did observe induction of fatty acid synthesis genes in both humans and mice (Figure 4A/F) which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-HSD1, wher</w:t>
      </w:r>
      <w:r w:rsidR="00D7101A">
        <w:t>e</w:t>
      </w:r>
      <w:r w:rsidR="00827E06" w:rsidRPr="00F4118B">
        <w:t>as in their study corticosterone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These findings are consistent with our observed elevations of lipogenesi</w:t>
      </w:r>
      <w:r w:rsidR="00161E96">
        <w:t>c</w:t>
      </w:r>
      <w:r w:rsidR="001D6336">
        <w:t xml:space="preserve"> mRNA transcripts in human and mouse subcutaneous adipose tissue.  </w:t>
      </w:r>
      <w:r w:rsidR="00161E96">
        <w:t>Key</w:t>
      </w:r>
      <w:r w:rsidR="001D6336">
        <w:t xml:space="preserve"> tran</w:t>
      </w:r>
      <w:r w:rsidR="00161E96">
        <w:t>s</w:t>
      </w:r>
      <w:r w:rsidR="001D6336">
        <w:t>cripts in this category found to be significantly upregulated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lipogenesis (the irreversible conversion of acetyl-CoA to malonyl-CoA) and </w:t>
      </w:r>
      <w:r w:rsidR="001D6336" w:rsidRPr="00161E96">
        <w:t xml:space="preserve">Glycerol-3-phospahte acyltransferase </w:t>
      </w:r>
      <w:r w:rsidR="001D6336">
        <w:t>(</w:t>
      </w:r>
      <w:r w:rsidR="001D6336" w:rsidRPr="00C607CF">
        <w:rPr>
          <w:i/>
        </w:rPr>
        <w:t>GPAM</w:t>
      </w:r>
      <w:r w:rsidR="001D6336">
        <w:t xml:space="preserve">) is responsible for the </w:t>
      </w:r>
      <w:r w:rsidR="00161E96">
        <w:t>first</w:t>
      </w:r>
      <w:r w:rsidR="001D6336">
        <w:t xml:space="preserve"> step in the synthesis of glycerolipids.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UDP-glucose pyrophosphorylase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617C7BF4"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ubiquitin-prote</w:t>
      </w:r>
      <w:r w:rsidR="00D7101A">
        <w:t>a</w:t>
      </w:r>
      <w:r w:rsidR="00730E37">
        <w:t xml:space="preserve">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255F2173" w:rsidR="0001045F" w:rsidRPr="00BB540E" w:rsidRDefault="00D23E9E" w:rsidP="0015200A">
      <w:pPr>
        <w:spacing w:line="480" w:lineRule="auto"/>
      </w:pPr>
      <w:r w:rsidRPr="00F4118B">
        <w:rPr>
          <w:rFonts w:eastAsia="Times New Roman" w:cs="Times New Roman"/>
          <w:shd w:val="clear" w:color="auto" w:fill="FFFFFF"/>
        </w:rPr>
        <w:lastRenderedPageBreak/>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RNAseq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maximum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w:t>
      </w:r>
      <w:r w:rsidR="00181132">
        <w:rPr>
          <w:rFonts w:eastAsia="Times New Roman" w:cs="Times New Roman"/>
          <w:shd w:val="clear" w:color="auto" w:fill="FFFFFF"/>
        </w:rPr>
        <w:t>s</w:t>
      </w:r>
      <w:r w:rsidRPr="00F4118B">
        <w:rPr>
          <w:rFonts w:eastAsia="Times New Roman" w:cs="Times New Roman"/>
          <w:shd w:val="clear" w:color="auto" w:fill="FFFFFF"/>
        </w:rPr>
        <w:t xml:space="preserve">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Gunden, Elizabeth Walkowiak and Eric Vasbinder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the RS</w:t>
      </w:r>
      <w:r w:rsidR="00906B15" w:rsidRPr="00906B15">
        <w:t xml:space="preserve">tudio server used in this analysis.  </w:t>
      </w:r>
      <w:r w:rsidR="00D716D6">
        <w:t xml:space="preserve">We would also like to thank the University of Tennessee Health Science Center Neuroscience Institute for use of the grip strength monitor.  </w:t>
      </w:r>
      <w:r w:rsidR="00793E93">
        <w:t>We would also like to thank the Molecular Resource Center at the University of Tennessee Health Science Center for qPCR facilities.</w:t>
      </w:r>
    </w:p>
    <w:p w14:paraId="51DA0DBA" w14:textId="354D72A3" w:rsidR="00F72E09" w:rsidRDefault="00F72E09" w:rsidP="0015200A">
      <w:pPr>
        <w:spacing w:line="480" w:lineRule="auto"/>
      </w:pPr>
      <w:r>
        <w:lastRenderedPageBreak/>
        <w:br w:type="page"/>
      </w:r>
    </w:p>
    <w:p w14:paraId="7733976D" w14:textId="24827043" w:rsidR="00F72E09" w:rsidRDefault="00F72E09" w:rsidP="0015200A">
      <w:pPr>
        <w:pStyle w:val="Heading1"/>
        <w:spacing w:line="480" w:lineRule="auto"/>
      </w:pPr>
      <w:r>
        <w:lastRenderedPageBreak/>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w:t>
      </w:r>
      <w:r w:rsidRPr="00D17887">
        <w:rPr>
          <w:rFonts w:ascii="Cambria" w:hAnsi="Cambria"/>
          <w:noProof/>
          <w:sz w:val="24"/>
        </w:rPr>
        <w:lastRenderedPageBreak/>
        <w:t xml:space="preserve">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epididymal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90816">
        <w:t>F</w:t>
      </w:r>
      <w:r w:rsidR="00B52B45">
        <w:t>)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  C</w:t>
      </w:r>
      <w:r>
        <w:t>)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226CE" w:rsidRDefault="00F226CE" w:rsidP="002025A3">
      <w:r>
        <w:separator/>
      </w:r>
    </w:p>
  </w:endnote>
  <w:endnote w:type="continuationSeparator" w:id="0">
    <w:p w14:paraId="4862A113" w14:textId="77777777" w:rsidR="00F226CE" w:rsidRDefault="00F226CE" w:rsidP="002025A3">
      <w:r>
        <w:continuationSeparator/>
      </w:r>
    </w:p>
  </w:endnote>
  <w:endnote w:type="continuationNotice" w:id="1">
    <w:p w14:paraId="0803EFCE" w14:textId="77777777" w:rsidR="00F226CE" w:rsidRDefault="00F2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226CE" w:rsidRDefault="00F226C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226CE" w:rsidRDefault="00F226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226CE" w:rsidRDefault="00F226C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0CC7">
      <w:rPr>
        <w:rStyle w:val="PageNumber"/>
        <w:noProof/>
      </w:rPr>
      <w:t>5</w:t>
    </w:r>
    <w:r>
      <w:rPr>
        <w:rStyle w:val="PageNumber"/>
      </w:rPr>
      <w:fldChar w:fldCharType="end"/>
    </w:r>
  </w:p>
  <w:p w14:paraId="498801B7" w14:textId="77777777" w:rsidR="00F226CE" w:rsidRDefault="00F226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226CE" w:rsidRDefault="00F226CE" w:rsidP="002025A3">
      <w:r>
        <w:separator/>
      </w:r>
    </w:p>
  </w:footnote>
  <w:footnote w:type="continuationSeparator" w:id="0">
    <w:p w14:paraId="26E7F533" w14:textId="77777777" w:rsidR="00F226CE" w:rsidRDefault="00F226CE" w:rsidP="002025A3">
      <w:r>
        <w:continuationSeparator/>
      </w:r>
    </w:p>
  </w:footnote>
  <w:footnote w:type="continuationNotice" w:id="1">
    <w:p w14:paraId="12BCD0C6" w14:textId="77777777" w:rsidR="00F226CE" w:rsidRDefault="00F226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1E05"/>
    <w:rsid w:val="00122DD7"/>
    <w:rsid w:val="001265D3"/>
    <w:rsid w:val="001267C8"/>
    <w:rsid w:val="00127C57"/>
    <w:rsid w:val="0015033F"/>
    <w:rsid w:val="0015200A"/>
    <w:rsid w:val="00154286"/>
    <w:rsid w:val="00155D0E"/>
    <w:rsid w:val="00161D64"/>
    <w:rsid w:val="00161E96"/>
    <w:rsid w:val="00167765"/>
    <w:rsid w:val="00177EF6"/>
    <w:rsid w:val="00181132"/>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5560"/>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4D74"/>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A7F32"/>
    <w:rsid w:val="007B0D78"/>
    <w:rsid w:val="007B5760"/>
    <w:rsid w:val="007C2C1C"/>
    <w:rsid w:val="007D5F8A"/>
    <w:rsid w:val="007D60C1"/>
    <w:rsid w:val="00810CC7"/>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B74F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01A"/>
    <w:rsid w:val="00D716D6"/>
    <w:rsid w:val="00D7626E"/>
    <w:rsid w:val="00D83BEB"/>
    <w:rsid w:val="00D84C77"/>
    <w:rsid w:val="00D91A97"/>
    <w:rsid w:val="00D92207"/>
    <w:rsid w:val="00D9724C"/>
    <w:rsid w:val="00DA575B"/>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6CE"/>
    <w:rsid w:val="00F22BAB"/>
    <w:rsid w:val="00F25628"/>
    <w:rsid w:val="00F3066B"/>
    <w:rsid w:val="00F35DD3"/>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67C82"/>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19329-AA4E-5D44-9056-D402939C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33</Pages>
  <Words>28098</Words>
  <Characters>160159</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90</cp:revision>
  <cp:lastPrinted>2015-02-27T17:07:00Z</cp:lastPrinted>
  <dcterms:created xsi:type="dcterms:W3CDTF">2015-02-28T22:47:00Z</dcterms:created>
  <dcterms:modified xsi:type="dcterms:W3CDTF">2015-06-23T22:09:00Z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