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r>
        <w:rPr>
          <w:lang w:bidi="he-IL"/>
        </w:rPr>
        <w:softHyphen/>
      </w:r>
      <w:commentRangeStart w:id="0"/>
      <w:r w:rsidR="002025A3">
        <w:t xml:space="preserve">The  Cushing's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Quynh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 RNA sequencing, transcriptome</w:t>
      </w:r>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t>
      </w:r>
    </w:p>
    <w:p w14:paraId="67E71981" w14:textId="77777777" w:rsidR="002025A3" w:rsidRDefault="002025A3" w:rsidP="002025A3">
      <w:r>
        <w:t xml:space="preserve"> (n=11).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 xml:space="preserve">Cushing’s Disease, </w:t>
      </w:r>
      <w:r w:rsidR="00F37C5B">
        <w:t xml:space="preserve"> 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 xml:space="preserve">Exclusion criteria were age &lt;18, current hormone treatment including glucocorticoids, malignancy, </w:t>
      </w:r>
      <w:r>
        <w:lastRenderedPageBreak/>
        <w:t>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anasthesia, before glucocorticoid treatment. ~500 mg of this fat graft was used for the study.  ~100 mg were utilized for ex vivo lipolysis assay, ~200 mg was snap frozen in liquid nitrogen and stored at -80 degrees for RNA preparation and ceramide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p w14:paraId="75A12748" w14:textId="77777777" w:rsidR="000D7EE2" w:rsidRPr="000D7EE2" w:rsidRDefault="000D7EE2" w:rsidP="000D7EE2"/>
    <w:p w14:paraId="14E2D63B" w14:textId="77777777" w:rsidR="002025A3" w:rsidRDefault="002025A3" w:rsidP="00F0643F">
      <w:pPr>
        <w:pStyle w:val="Heading2"/>
      </w:pPr>
      <w:r>
        <w:t>Ceramide determination</w:t>
      </w:r>
    </w:p>
    <w:p w14:paraId="5D41471C" w14:textId="58CD0FB3" w:rsidR="002025A3" w:rsidRDefault="002025A3" w:rsidP="00AB465A">
      <w:pPr>
        <w:shd w:val="clear" w:color="auto" w:fill="FFFFFF"/>
        <w:spacing w:line="336" w:lineRule="atLeast"/>
        <w:ind w:right="225"/>
      </w:pPr>
      <w:r>
        <w:t>Ceramide analysis of tissue samples was performed by liquid chromatography-triple q</w:t>
      </w:r>
      <w:r w:rsidR="006146F4">
        <w:t>uadrupole mass spectrometry</w:t>
      </w:r>
      <w:r>
        <w:t xml:space="preserve"> according to a modified version of the protocol reported in.  Briefly, frozen tissue samples were pulverized under liquid nitrogen, then 20 mg portions were extracted using 1.6 mL of a 2:1:0.8 mixture of chloroform:methanol:water containing internal standards (50 ng each of C17 and C25 ceramide and C12 glucosylceramide per sample)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lastRenderedPageBreak/>
        <w:t>Transcriptomic Analysis</w:t>
      </w:r>
    </w:p>
    <w:p w14:paraId="5D27E370" w14:textId="49384575"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These subjects corresponded to the patients described in Table 1,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208703D9"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7"/>
      <w:r>
        <w:t xml:space="preserve">microRNA target gene sets. </w:t>
      </w:r>
      <w:commentRangeEnd w:id="7"/>
      <w:r w:rsidR="003218D6">
        <w:rPr>
          <w:rStyle w:val="CommentReference"/>
        </w:rPr>
        <w:commentReference w:id="7"/>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8"/>
      <w:r w:rsidR="007908AD">
        <w:t>GSEXXXXX</w:t>
      </w:r>
      <w:commentRangeEnd w:id="8"/>
      <w:r w:rsidR="007908AD">
        <w:rPr>
          <w:rStyle w:val="CommentReference"/>
        </w:rPr>
        <w:commentReference w:id="8"/>
      </w:r>
      <w:r w:rsidR="007908AD">
        <w:t xml:space="preserve">) and at </w:t>
      </w:r>
      <w:commentRangeStart w:id="9"/>
      <w:r w:rsidR="008D20DD" w:rsidRPr="008D20DD">
        <w:t>http://bridgeslab.github.io/CushingAcromegalyStudy/</w:t>
      </w:r>
      <w:commentRangeEnd w:id="9"/>
      <w:r w:rsidR="008D20DD">
        <w:rPr>
          <w:rStyle w:val="CommentReference"/>
        </w:rPr>
        <w:commentReference w:id="9"/>
      </w:r>
    </w:p>
    <w:p w14:paraId="68B72C1A" w14:textId="77777777" w:rsidR="007908AD" w:rsidRDefault="007908AD" w:rsidP="002025A3"/>
    <w:p w14:paraId="11073828" w14:textId="77777777" w:rsidR="002025A3" w:rsidRDefault="002025A3" w:rsidP="00F0643F">
      <w:pPr>
        <w:pStyle w:val="Heading1"/>
      </w:pPr>
      <w:r>
        <w:lastRenderedPageBreak/>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Clinical and metabolic measurements were obtained for 5 Cushing's  disease patients and 11 controls</w:t>
      </w:r>
      <w:r w:rsidR="0092656E">
        <w:t>, who were admitted with non-secreting adenomas</w:t>
      </w:r>
      <w:r>
        <w:t xml:space="preserve">. Patient characteristics are shown in Table 1. </w:t>
      </w:r>
      <w:commentRangeStart w:id="10"/>
      <w:r w:rsidR="00DC3261">
        <w:t xml:space="preserve">Our Cushing’s patients were in general younger and had smaller tumors than the patients with non-secreting </w:t>
      </w:r>
      <w:commentRangeStart w:id="11"/>
      <w:r w:rsidR="00DC3261">
        <w:t>adenomas</w:t>
      </w:r>
      <w:commentRangeEnd w:id="10"/>
      <w:r w:rsidR="00DC3261">
        <w:rPr>
          <w:rStyle w:val="CommentReference"/>
        </w:rPr>
        <w:commentReference w:id="10"/>
      </w:r>
      <w:commentRangeEnd w:id="11"/>
      <w:r w:rsidR="00154286">
        <w:rPr>
          <w:rStyle w:val="CommentReference"/>
        </w:rPr>
        <w:commentReference w:id="11"/>
      </w:r>
      <w:r w:rsidR="00DC3261">
        <w:t>.  In our cohort there</w:t>
      </w:r>
      <w:r>
        <w:t xml:space="preserve"> was a trend </w:t>
      </w:r>
      <w:r w:rsidR="00DC3261">
        <w:t>towards elevated</w:t>
      </w:r>
      <w:r>
        <w:t xml:space="preserve"> </w:t>
      </w:r>
      <w:r w:rsidR="00F0643F">
        <w:t xml:space="preserve"> body</w:t>
      </w:r>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2"/>
      <w:r w:rsidR="006259A6">
        <w:t>elevated fat mass</w:t>
      </w:r>
      <w:commentRangeEnd w:id="12"/>
      <w:r w:rsidR="006259A6">
        <w:rPr>
          <w:rStyle w:val="CommentReference"/>
        </w:rPr>
        <w:commentReference w:id="12"/>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13"/>
      <w:r w:rsidR="006259A6">
        <w:t>p</w:t>
      </w:r>
      <w:r>
        <w:t>=0.03</w:t>
      </w:r>
      <w:commentRangeEnd w:id="13"/>
      <w:r w:rsidR="00E83CAE">
        <w:rPr>
          <w:rStyle w:val="CommentReference"/>
        </w:rPr>
        <w:commentReference w:id="13"/>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4"/>
      <w:r w:rsidR="00646C8E">
        <w:t xml:space="preserve">support </w:t>
      </w:r>
      <w:r w:rsidR="000F1BFF">
        <w:t xml:space="preserve">previous studies </w:t>
      </w:r>
      <w:commentRangeEnd w:id="14"/>
      <w:r w:rsidR="000F1BFF">
        <w:rPr>
          <w:rStyle w:val="CommentReference"/>
        </w:rPr>
        <w:commentReference w:id="14"/>
      </w:r>
      <w:r w:rsidR="000F1BFF">
        <w:t xml:space="preserve">which implicate elevated lipolysis and higher rates of non-alcoholic fatty liver disease in Cushing’s </w:t>
      </w:r>
      <w:commentRangeStart w:id="15"/>
      <w:r w:rsidR="000F1BFF">
        <w:t>patients</w:t>
      </w:r>
      <w:commentRangeEnd w:id="15"/>
      <w:r w:rsidR="00154286">
        <w:rPr>
          <w:rStyle w:val="CommentReference"/>
        </w:rPr>
        <w:commentReference w:id="15"/>
      </w:r>
      <w:r w:rsidR="000F1BFF">
        <w:t>.</w:t>
      </w:r>
    </w:p>
    <w:p w14:paraId="182B4FCC" w14:textId="77777777" w:rsidR="00F0643F" w:rsidRDefault="00F0643F" w:rsidP="002025A3"/>
    <w:p w14:paraId="50A0F8CF" w14:textId="77777777" w:rsidR="00F0643F" w:rsidRDefault="00F0643F" w:rsidP="00F0643F">
      <w:pPr>
        <w:pStyle w:val="Heading2"/>
      </w:pPr>
      <w:r>
        <w:t>Dexamethasone Treatment of Mice As a Model of Cushing’s Syndrome</w:t>
      </w:r>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glucococorticoids on muscle atrophy that has been previously </w:t>
      </w:r>
      <w:commentRangeStart w:id="16"/>
      <w:r>
        <w:t>reported</w:t>
      </w:r>
      <w:commentRangeEnd w:id="16"/>
      <w:r>
        <w:rPr>
          <w:rStyle w:val="CommentReference"/>
        </w:rPr>
        <w:commentReference w:id="16"/>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17"/>
      <w:r w:rsidR="00931FFA">
        <w:t xml:space="preserve">XXX </w:t>
      </w:r>
      <w:commentRangeEnd w:id="17"/>
      <w:r w:rsidR="00931FFA">
        <w:rPr>
          <w:rStyle w:val="CommentReference"/>
        </w:rPr>
        <w:commentReference w:id="17"/>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92656E">
        <w:t xml:space="preserve">ous adipose tissue mRNA from  the </w:t>
      </w:r>
      <w:r>
        <w:t xml:space="preserve">5 Cushing's disease patients </w:t>
      </w:r>
      <w:r w:rsidR="00521A96">
        <w:t xml:space="preserve">and 11 controls.  We identified </w:t>
      </w:r>
      <w:commentRangeStart w:id="18"/>
      <w:r w:rsidR="00521A96">
        <w:t xml:space="preserve">473 </w:t>
      </w:r>
      <w:r>
        <w:t xml:space="preserve">genes </w:t>
      </w:r>
      <w:commentRangeEnd w:id="18"/>
      <w:r w:rsidR="00270104">
        <w:rPr>
          <w:rStyle w:val="CommentReference"/>
        </w:rPr>
        <w:commentReference w:id="18"/>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 xml:space="preserve">at a higher level in the </w:t>
      </w:r>
      <w:r>
        <w:lastRenderedPageBreak/>
        <w:t>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 .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and the mineralcorticoid receptor (</w:t>
      </w:r>
      <w:commentRangeStart w:id="19"/>
      <w:r w:rsidRPr="00CD160B">
        <w:rPr>
          <w:i/>
        </w:rPr>
        <w:t>NR3C2</w:t>
      </w:r>
      <w:commentRangeEnd w:id="19"/>
      <w:r>
        <w:rPr>
          <w:rStyle w:val="CommentReference"/>
        </w:rPr>
        <w:commentReference w:id="19"/>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reduction in </w:t>
      </w:r>
      <w:commentRangeStart w:id="20"/>
      <w:r w:rsidR="00F445F4" w:rsidRPr="00F445F4">
        <w:rPr>
          <w:i/>
        </w:rPr>
        <w:t>HSD11B1</w:t>
      </w:r>
      <w:r w:rsidR="00F445F4">
        <w:t xml:space="preserve"> </w:t>
      </w:r>
      <w:commentRangeEnd w:id="20"/>
      <w:r w:rsidR="001265D3">
        <w:rPr>
          <w:rStyle w:val="CommentReference"/>
        </w:rPr>
        <w:commentReference w:id="20"/>
      </w:r>
      <w:r w:rsidR="00F445F4">
        <w:t>mRNA levels,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21"/>
      <w:r w:rsidR="001265D3">
        <w:t>Leptin (</w:t>
      </w:r>
      <w:r w:rsidR="001265D3" w:rsidRPr="00521A96">
        <w:rPr>
          <w:i/>
        </w:rPr>
        <w:t>LEP</w:t>
      </w:r>
      <w:r w:rsidR="001265D3">
        <w:t>)</w:t>
      </w:r>
      <w:commentRangeEnd w:id="21"/>
      <w:r w:rsidR="001265D3">
        <w:rPr>
          <w:rStyle w:val="CommentReference"/>
        </w:rPr>
        <w:commentReference w:id="21"/>
      </w:r>
      <w:r w:rsidR="001265D3">
        <w:t xml:space="preserve"> but no  significant changes in  adiponectin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r>
        <w:t>Lipogeneic Genes are Upregulated in Response to Elevated Glucocorticoids</w:t>
      </w:r>
    </w:p>
    <w:p w14:paraId="3FD9872F" w14:textId="49BA64B5" w:rsidR="002025A3" w:rsidRDefault="003B269B" w:rsidP="002025A3">
      <w:r>
        <w:t>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2"/>
      <w:r>
        <w:t>Mitochondrial glycerol-3-phosphate acyltransferasel (</w:t>
      </w:r>
      <w:r w:rsidRPr="00B8003A">
        <w:rPr>
          <w:i/>
        </w:rPr>
        <w:t>GPAM</w:t>
      </w:r>
      <w:r>
        <w:t>), Diacylglycerol O-acyltransfe</w:t>
      </w:r>
      <w:r w:rsidR="005A3933">
        <w:t>rase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upregulated in adipose tissue from Cus</w:t>
      </w:r>
      <w:r w:rsidR="004276D8">
        <w:t>hing’</w:t>
      </w:r>
      <w:r w:rsidR="005A3933">
        <w:t>s patients</w:t>
      </w:r>
      <w:r w:rsidR="004276D8">
        <w:t xml:space="preserve"> (Figure 3C)</w:t>
      </w:r>
      <w:r w:rsidR="005A3933">
        <w:t xml:space="preserve">.  </w:t>
      </w:r>
      <w:commentRangeEnd w:id="22"/>
      <w:r w:rsidR="005A3933">
        <w:rPr>
          <w:rStyle w:val="CommentReference"/>
        </w:rPr>
        <w:commentReference w:id="22"/>
      </w:r>
    </w:p>
    <w:p w14:paraId="57A4DEDB" w14:textId="77777777" w:rsidR="002025A3" w:rsidRDefault="002025A3" w:rsidP="002025A3"/>
    <w:p w14:paraId="3C5E583D" w14:textId="5D1CA48D" w:rsidR="00270104" w:rsidRDefault="004276D8" w:rsidP="00154286">
      <w:r>
        <w:t xml:space="preserve">In spite of increased lipid deposition and elevations of lipogenic genes in Cushing’s patients adipose tissue, there have been several studies linking elevated </w:t>
      </w:r>
      <w:r>
        <w:lastRenderedPageBreak/>
        <w:t xml:space="preserve">glucocorticoids to increased lipolysis.  </w:t>
      </w:r>
      <w:r w:rsidR="00F21FA7">
        <w:t xml:space="preserve">In our patients, this was observed in </w:t>
      </w:r>
      <w:r w:rsidR="00F21FA7">
        <w:rPr>
          <w:i/>
        </w:rPr>
        <w:t>ex vivo</w:t>
      </w:r>
      <w:r w:rsidR="00F21FA7">
        <w:t xml:space="preserve"> 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upregulation, but our data supports an insulin-independent activation as well, since in our explants insulin was not present.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 Induction of per</w:t>
      </w:r>
      <w:ins w:id="23" w:author="Irit Hochberg" w:date="2015-02-25T14:58:00Z">
        <w:r w:rsidR="00154286">
          <w:t>i</w:t>
        </w:r>
      </w:ins>
      <w:r w:rsidR="00270104">
        <w:t>lipin 4 by glu</w:t>
      </w:r>
      <w:r w:rsidR="00AA7698">
        <w:t xml:space="preserve">cocorticoids has been reported previously </w:t>
      </w:r>
      <w:r w:rsidR="00270104">
        <w:t>in CRF</w:t>
      </w:r>
      <w:r w:rsidR="00AA7698">
        <w:t xml:space="preserve"> trangenic</w:t>
      </w:r>
      <w:r w:rsidR="00270104">
        <w:t xml:space="preserve"> mice (</w:t>
      </w:r>
      <w:del w:id="24" w:author="Irit Hochberg" w:date="2015-02-25T15:04:00Z">
        <w:r w:rsidR="00270104" w:rsidDel="00154286">
          <w:delText xml:space="preserve">PMID </w:delText>
        </w:r>
        <w:commentRangeStart w:id="25"/>
        <w:commentRangeStart w:id="26"/>
        <w:r w:rsidR="00270104" w:rsidDel="00154286">
          <w:delText>21187916</w:delText>
        </w:r>
        <w:commentRangeEnd w:id="25"/>
        <w:r w:rsidR="00E318EB" w:rsidDel="00154286">
          <w:rPr>
            <w:rStyle w:val="CommentReference"/>
          </w:rPr>
          <w:commentReference w:id="25"/>
        </w:r>
      </w:del>
      <w:commentRangeEnd w:id="26"/>
      <w:r w:rsidR="00154286">
        <w:rPr>
          <w:rStyle w:val="CommentReference"/>
        </w:rPr>
        <w:commentReference w:id="26"/>
      </w:r>
      <w:r w:rsidR="00270104">
        <w:t>)</w:t>
      </w:r>
    </w:p>
    <w:p w14:paraId="34F82564" w14:textId="77777777" w:rsidR="00E318EB" w:rsidRDefault="00E318EB" w:rsidP="00270104"/>
    <w:p w14:paraId="336D6AB1" w14:textId="4711BF9C" w:rsidR="00F1025D" w:rsidRDefault="00F1025D" w:rsidP="00F1025D">
      <w:commentRangeStart w:id="27"/>
      <w:r w:rsidRPr="00F1025D">
        <w:t xml:space="preserve"> </w:t>
      </w:r>
      <w:r>
        <w:t xml:space="preserve">We also observed elevations in several genes that </w:t>
      </w:r>
      <w:r w:rsidR="00725D79">
        <w:t xml:space="preserve">regulate steroid biogenesis, </w:t>
      </w:r>
      <w:r w:rsidR="001E43B2">
        <w:t>including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w:t>
      </w:r>
      <w:commentRangeStart w:id="28"/>
      <w:r w:rsidR="00DC1A40">
        <w:t>HMGCS1</w:t>
      </w:r>
      <w:commentRangeEnd w:id="28"/>
      <w:r w:rsidR="009A7741">
        <w:rPr>
          <w:rStyle w:val="CommentReference"/>
        </w:rPr>
        <w:commentReference w:id="28"/>
      </w:r>
      <w:r w:rsidR="00DC1A40">
        <w:t>).</w:t>
      </w:r>
      <w:commentRangeEnd w:id="27"/>
      <w:r w:rsidR="00DC1A40">
        <w:rPr>
          <w:rStyle w:val="CommentReference"/>
        </w:rPr>
        <w:commentReference w:id="27"/>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whether lipogenic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Acs1, Dgat,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29"/>
      <w:r w:rsidR="00F637BB">
        <w:t xml:space="preserve">genes included, </w:t>
      </w:r>
      <w:commentRangeEnd w:id="29"/>
      <w:r w:rsidR="00F637BB">
        <w:rPr>
          <w:rStyle w:val="CommentReference"/>
        </w:rPr>
        <w:commentReference w:id="29"/>
      </w:r>
    </w:p>
    <w:p w14:paraId="465F032B" w14:textId="77777777" w:rsidR="002025A3" w:rsidRDefault="002025A3" w:rsidP="002025A3"/>
    <w:p w14:paraId="46095C04" w14:textId="29FB498F" w:rsidR="002025A3" w:rsidRDefault="002025A3" w:rsidP="002025A3">
      <w:r>
        <w:t>Glycogen synthase 2 (liver) (</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All three glycogen phosphorylase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upregulated in adipose tissue.</w:t>
      </w:r>
    </w:p>
    <w:p w14:paraId="7D6AFCC9" w14:textId="076EB152"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In skeletal muscle, mRNA levels of the E3 ligases (Atrogin-1 and MuRF1 were induced) as were the proteosomal genes </w:t>
      </w:r>
      <w:r w:rsidR="00E914B3">
        <w:rPr>
          <w:i/>
        </w:rPr>
        <w:t xml:space="preserve">Psmd1 </w:t>
      </w:r>
      <w:r w:rsidR="00E914B3" w:rsidRPr="00E914B3">
        <w:t>and</w:t>
      </w:r>
      <w:r w:rsidR="00E914B3">
        <w:rPr>
          <w:i/>
        </w:rPr>
        <w:t xml:space="preserve"> 8</w:t>
      </w:r>
      <w:r w:rsidR="00E914B3">
        <w:t xml:space="preserve"> (Figure 6B).  Similar inductions of the proteosomal genes were observed in subcutaneous adipose tissue from dexamethasone treated mice (Figure 6C).</w:t>
      </w:r>
    </w:p>
    <w:p w14:paraId="77CAB67E" w14:textId="77777777" w:rsidR="00E914B3" w:rsidRDefault="00E914B3" w:rsidP="002025A3"/>
    <w:p w14:paraId="6A7214BA" w14:textId="32C7A022" w:rsidR="002025A3" w:rsidRDefault="00E914B3" w:rsidP="002025A3">
      <w:r>
        <w:lastRenderedPageBreak/>
        <w:t xml:space="preserve">In adipose tissue from Cushing’s patients, we observed inductions of both the proteosomal pathways (KEGG ID </w:t>
      </w:r>
      <w:commentRangeStart w:id="30"/>
      <w:r>
        <w:t>XXXX</w:t>
      </w:r>
      <w:commentRangeEnd w:id="30"/>
      <w:r w:rsidR="00E61546">
        <w:rPr>
          <w:rStyle w:val="CommentReference"/>
        </w:rPr>
        <w:commentReference w:id="30"/>
      </w:r>
      <w:r>
        <w:t>, q=</w:t>
      </w:r>
      <w:r w:rsidR="007019BD">
        <w:t>; Figure 6D</w:t>
      </w:r>
      <w:r>
        <w:t xml:space="preserve">), but also an induction of genes involved </w:t>
      </w:r>
      <w:r w:rsidR="007019BD">
        <w:t xml:space="preserve">in </w:t>
      </w:r>
      <w:r w:rsidR="00A12B51">
        <w:t>amino acid</w:t>
      </w:r>
      <w:r w:rsidR="007019BD">
        <w:t xml:space="preserve"> catabolism (Figure 6E</w:t>
      </w:r>
      <w:r>
        <w:t>) and a global downregulati</w:t>
      </w:r>
      <w:r w:rsidR="007019BD">
        <w:t>on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67D49C69"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31"/>
      <w:r w:rsidR="00547DEE" w:rsidRPr="00547DEE">
        <w:t>q=0.006</w:t>
      </w:r>
      <w:commentRangeEnd w:id="31"/>
      <w:r w:rsidR="00C103F7">
        <w:rPr>
          <w:rStyle w:val="CommentReference"/>
        </w:rPr>
        <w:commentReference w:id="31"/>
      </w:r>
      <w:r w:rsidR="00547DEE" w:rsidRPr="00547DEE">
        <w:t>).</w:t>
      </w:r>
      <w:r w:rsidR="00324E99">
        <w:t xml:space="preserve">  These data do not support transcriptional downregulation of proximal insulin signaling genes as mediating insulin resistance.</w:t>
      </w:r>
    </w:p>
    <w:p w14:paraId="65E21C59" w14:textId="77777777" w:rsidR="00261C5D" w:rsidRDefault="00261C5D" w:rsidP="002025A3"/>
    <w:p w14:paraId="40344E78" w14:textId="2453307B" w:rsidR="002025A3" w:rsidRDefault="00261C5D" w:rsidP="00447DB4">
      <w:pPr>
        <w:shd w:val="clear" w:color="auto" w:fill="FFFFFF"/>
      </w:pPr>
      <w:r>
        <w:t xml:space="preserve">Changes in cell ceramide and glucosylceramide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447DB4">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Several pathways involved in immune function were downregulated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lastRenderedPageBreak/>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We were surprised to note that many genes which 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lipogensis,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lipogenic genes in human and mouse subcutaneous adipose tissue.</w:t>
      </w:r>
    </w:p>
    <w:p w14:paraId="5975BD19" w14:textId="77777777" w:rsidR="00711A42" w:rsidRDefault="00711A42" w:rsidP="002025A3"/>
    <w:p w14:paraId="4E64CC62" w14:textId="158C26D7"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commentRangeStart w:id="32"/>
      <w:r>
        <w:t xml:space="preserve">cathepsins B and </w:t>
      </w:r>
      <w:commentRangeStart w:id="33"/>
      <w:r>
        <w:t>D</w:t>
      </w:r>
      <w:commentRangeEnd w:id="33"/>
      <w:r w:rsidR="00044176">
        <w:rPr>
          <w:rStyle w:val="CommentReference"/>
        </w:rPr>
        <w:commentReference w:id="33"/>
      </w:r>
      <w:r>
        <w:t xml:space="preserve">, </w:t>
      </w:r>
      <w:commentRangeStart w:id="34"/>
      <w:r>
        <w:t>calpain</w:t>
      </w:r>
      <w:commentRangeEnd w:id="32"/>
      <w:r w:rsidR="00030F99">
        <w:rPr>
          <w:rStyle w:val="CommentReference"/>
        </w:rPr>
        <w:commentReference w:id="32"/>
      </w:r>
      <w:commentRangeEnd w:id="34"/>
      <w:r w:rsidR="00900C37">
        <w:rPr>
          <w:rStyle w:val="CommentReference"/>
        </w:rPr>
        <w:commentReference w:id="34"/>
      </w:r>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a significant higher expression of both the prote</w:t>
      </w:r>
      <w:r w:rsidR="005D7786">
        <w:t>o</w:t>
      </w:r>
      <w:r>
        <w:t xml:space="preserve">some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77777777" w:rsidR="00030F99" w:rsidRDefault="002025A3" w:rsidP="002025A3">
      <w:commentRangeStart w:id="35"/>
      <w:r>
        <w:lastRenderedPageBreak/>
        <w:t xml:space="preserve">Several studies have characterized the effect of glucocorticoids on triglyceride lipogenesis and have found increased expression of transcripts involved in triglyceride synthesis (reviewed in 18434349). Our results recapitulate the full effect of glucocorticoids on induction of expression of the key triglyceride synthesis </w:t>
      </w:r>
      <w:commentRangeStart w:id="36"/>
      <w:r>
        <w:t>enzymes</w:t>
      </w:r>
      <w:commentRangeEnd w:id="36"/>
      <w:r w:rsidR="00044176">
        <w:rPr>
          <w:rStyle w:val="CommentReference"/>
        </w:rPr>
        <w:commentReference w:id="36"/>
      </w:r>
      <w:r>
        <w:t xml:space="preserve">. </w:t>
      </w:r>
      <w:commentRangeEnd w:id="35"/>
      <w:r w:rsidR="00AA2407">
        <w:rPr>
          <w:rStyle w:val="CommentReference"/>
        </w:rPr>
        <w:commentReference w:id="35"/>
      </w:r>
    </w:p>
    <w:p w14:paraId="28CC599B" w14:textId="77777777" w:rsidR="00F94399" w:rsidRDefault="00F94399" w:rsidP="002025A3">
      <w:pPr>
        <w:rPr>
          <w:ins w:id="37" w:author="Dave Bridges" w:date="2015-02-25T10:04:00Z"/>
        </w:rPr>
      </w:pPr>
    </w:p>
    <w:p w14:paraId="34FB5FD2" w14:textId="1E891415" w:rsidR="002025A3" w:rsidRDefault="00F94399" w:rsidP="002025A3">
      <w:ins w:id="38" w:author="Dave Bridges" w:date="2015-02-25T10:04:00Z">
        <w:r>
          <w:t xml:space="preserve">There are several limitations to our evaluation of insulin sensitivity in this study.  One aspect is that patients with Cushing’s syndrome may be on </w:t>
        </w:r>
        <w:commentRangeStart w:id="39"/>
        <w:r>
          <w:t xml:space="preserve">insulin sensitizing medication.   </w:t>
        </w:r>
      </w:ins>
      <w:commentRangeEnd w:id="39"/>
      <w:ins w:id="40" w:author="Dave Bridges" w:date="2015-02-25T10:05:00Z">
        <w:r>
          <w:rPr>
            <w:rStyle w:val="CommentReference"/>
          </w:rPr>
          <w:commentReference w:id="39"/>
        </w:r>
      </w:ins>
      <w:ins w:id="42" w:author="Dave Bridges" w:date="2015-02-25T10:04:00Z">
        <w:r>
          <w:t xml:space="preserve">Secondly, it is possible that  </w:t>
        </w:r>
        <w:r>
          <w:t xml:space="preserve">insulin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subcutanous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elevated and not decreased proximal insulin signalin</w:t>
      </w:r>
      <w:r w:rsidR="005E4873">
        <w:t>g transcripts in adipose tissues (Figure 7A) and a lack of elevated ceramides in our subcutaneous adipose tissue lysates (Figure 7B).</w:t>
      </w:r>
      <w:r w:rsidR="005D7786">
        <w:t xml:space="preserve"> </w:t>
      </w:r>
    </w:p>
    <w:p w14:paraId="2A97C984" w14:textId="01510404" w:rsidR="002025A3" w:rsidDel="00F94399" w:rsidRDefault="002025A3" w:rsidP="002025A3">
      <w:pPr>
        <w:rPr>
          <w:del w:id="43" w:author="Dave Bridges" w:date="2015-02-25T10:06:00Z"/>
        </w:rPr>
      </w:pPr>
    </w:p>
    <w:p w14:paraId="1C1A98B5" w14:textId="40674743" w:rsidR="002025A3" w:rsidDel="00F94399" w:rsidRDefault="002025A3" w:rsidP="002025A3">
      <w:pPr>
        <w:rPr>
          <w:del w:id="44" w:author="Dave Bridges" w:date="2015-02-25T10:06:00Z"/>
        </w:rPr>
      </w:pPr>
      <w:del w:id="45" w:author="Dave Bridges" w:date="2015-02-25T10:06:00Z">
        <w:r w:rsidDel="00F94399">
          <w:delText xml:space="preserve">Althought </w:delText>
        </w:r>
      </w:del>
      <w:ins w:id="46" w:author="Irit Hochberg" w:date="2015-02-25T10:13:00Z">
        <w:del w:id="47" w:author="Dave Bridges" w:date="2015-02-25T10:06:00Z">
          <w:r w:rsidR="00996FC9" w:rsidDel="00F94399">
            <w:delText xml:space="preserve">the </w:delText>
          </w:r>
        </w:del>
      </w:ins>
      <w:del w:id="48"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49"/>
      <w:r>
        <w:t>This work was supported by Motor City Golf Classic (MCGC) Grant # G010640 and Le Bonheur Grant #</w:t>
      </w:r>
      <w:r w:rsidRPr="002C5C94">
        <w:t>650700</w:t>
      </w:r>
      <w:r>
        <w:t>.</w:t>
      </w:r>
      <w:commentRangeEnd w:id="49"/>
      <w:r>
        <w:rPr>
          <w:rStyle w:val="CommentReference"/>
        </w:rPr>
        <w:commentReference w:id="49"/>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16AC115E" w:rsidR="00B940A5" w:rsidRPr="00B940A5" w:rsidRDefault="00B940A5" w:rsidP="00B940A5">
      <w:commentRangeStart w:id="50"/>
      <w:r>
        <w:t xml:space="preserve">IH conceived of the study, and DB and IHo. provided funding.  QT, DB, IHa and IHo analysed the RNAseq data.  IHa generated the mouse data with assistance from EJS.  </w:t>
      </w:r>
      <w:r w:rsidR="00B60B15">
        <w:t xml:space="preserve">  This was analysed by IHa, DB and QT.  IH and DB wrote the manuscript.</w:t>
      </w:r>
      <w:commentRangeEnd w:id="50"/>
      <w:r w:rsidR="00B60B15">
        <w:rPr>
          <w:rStyle w:val="CommentReference"/>
        </w:rPr>
        <w:commentReference w:id="50"/>
      </w:r>
      <w:ins w:id="51" w:author="Dave Bridges" w:date="2015-02-25T10:13:00Z">
        <w:r w:rsidR="00BA1FD0">
          <w:t xml:space="preserve"> </w:t>
        </w:r>
      </w:ins>
      <w:bookmarkStart w:id="52" w:name="_GoBack"/>
      <w:bookmarkEnd w:id="52"/>
    </w:p>
    <w:p w14:paraId="4B643633" w14:textId="77777777" w:rsidR="00B940A5" w:rsidRDefault="00B940A5" w:rsidP="00F0643F">
      <w:pPr>
        <w:pStyle w:val="Heading1"/>
      </w:pPr>
    </w:p>
    <w:p w14:paraId="00A49DD2" w14:textId="77777777" w:rsidR="002025A3" w:rsidRDefault="002025A3" w:rsidP="00F0643F">
      <w:pPr>
        <w:pStyle w:val="Heading1"/>
      </w:pPr>
      <w:commentRangeStart w:id="53"/>
      <w:r>
        <w:t>Acknowledgements</w:t>
      </w:r>
    </w:p>
    <w:p w14:paraId="46472F72" w14:textId="77777777" w:rsidR="00F0643F" w:rsidRDefault="002025A3" w:rsidP="002025A3">
      <w:r>
        <w:t xml:space="preserve">We thank Charlotte Gunden, Elizabeth Walkowiak and Eric Vasbinder for their valuable help in the study.  </w:t>
      </w:r>
    </w:p>
    <w:commentRangeEnd w:id="53"/>
    <w:p w14:paraId="51DA0DBA" w14:textId="354D72A3" w:rsidR="00F72E09" w:rsidRDefault="008D20DD">
      <w:r>
        <w:rPr>
          <w:rStyle w:val="CommentReference"/>
        </w:rPr>
        <w:commentReference w:id="53"/>
      </w:r>
      <w:r w:rsidR="00F72E09">
        <w:br w:type="page"/>
      </w:r>
    </w:p>
    <w:p w14:paraId="7733976D" w14:textId="24827043" w:rsidR="00F72E09" w:rsidRDefault="00F72E09" w:rsidP="00F72E09">
      <w:pPr>
        <w:pStyle w:val="Heading1"/>
      </w:pPr>
      <w:r>
        <w:t>References</w:t>
      </w:r>
    </w:p>
    <w:p w14:paraId="763704DE" w14:textId="7CF99F3D" w:rsidR="00447DB4" w:rsidRPr="00447DB4" w:rsidRDefault="00F72E09">
      <w:pPr>
        <w:pStyle w:val="NormalWeb"/>
        <w:ind w:left="480" w:hanging="480"/>
        <w:divId w:val="715355524"/>
        <w:rPr>
          <w:rFonts w:ascii="Cambria" w:hAnsi="Cambria"/>
          <w:noProof/>
          <w:sz w:val="24"/>
        </w:rPr>
      </w:pPr>
      <w:r>
        <w:fldChar w:fldCharType="begin" w:fldLock="1"/>
      </w:r>
      <w:r>
        <w:instrText xml:space="preserve">ADDIN Mendeley Bibliography CSL_BIBLIOGRAPHY </w:instrText>
      </w:r>
      <w:r>
        <w:fldChar w:fldCharType="separate"/>
      </w:r>
      <w:r w:rsidR="00447DB4" w:rsidRPr="00447DB4">
        <w:rPr>
          <w:rFonts w:ascii="Cambria" w:hAnsi="Cambria"/>
          <w:noProof/>
          <w:sz w:val="24"/>
        </w:rPr>
        <w:t xml:space="preserve">Adams JM, Pratipanawatr T, Berria R, Wang E, DeFronzo RA, Sullards MC &amp; Mandarino LJ 2004 Ceramide content is increased in skeletal muscle from obese insulin-resistant humans. </w:t>
      </w:r>
      <w:r w:rsidR="00447DB4" w:rsidRPr="00447DB4">
        <w:rPr>
          <w:rFonts w:ascii="Cambria" w:hAnsi="Cambria"/>
          <w:i/>
          <w:iCs/>
          <w:noProof/>
          <w:sz w:val="24"/>
        </w:rPr>
        <w:t>Diabetes</w:t>
      </w:r>
      <w:r w:rsidR="00447DB4" w:rsidRPr="00447DB4">
        <w:rPr>
          <w:rFonts w:ascii="Cambria" w:hAnsi="Cambria"/>
          <w:noProof/>
          <w:sz w:val="24"/>
        </w:rPr>
        <w:t xml:space="preserve"> </w:t>
      </w:r>
      <w:r w:rsidR="00447DB4" w:rsidRPr="00447DB4">
        <w:rPr>
          <w:rFonts w:ascii="Cambria" w:hAnsi="Cambria"/>
          <w:b/>
          <w:bCs/>
          <w:noProof/>
          <w:sz w:val="24"/>
        </w:rPr>
        <w:t>53</w:t>
      </w:r>
      <w:r w:rsidR="00447DB4" w:rsidRPr="00447DB4">
        <w:rPr>
          <w:rFonts w:ascii="Cambria" w:hAnsi="Cambria"/>
          <w:noProof/>
          <w:sz w:val="24"/>
        </w:rPr>
        <w:t xml:space="preserve"> 25–31.</w:t>
      </w:r>
    </w:p>
    <w:p w14:paraId="37C2AD8A"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Aerts JM, Ottenhoff R, Powlson AS, Grefhorst A, van Eijk M, Dubbelhuis PF, Aten J, Kuipers F, Serlie MJ, Wennekes T </w:t>
      </w:r>
      <w:r w:rsidRPr="00447DB4">
        <w:rPr>
          <w:rFonts w:ascii="Cambria" w:hAnsi="Cambria"/>
          <w:i/>
          <w:iCs/>
          <w:noProof/>
          <w:sz w:val="24"/>
        </w:rPr>
        <w:t>et al.</w:t>
      </w:r>
      <w:r w:rsidRPr="00447DB4">
        <w:rPr>
          <w:rFonts w:ascii="Cambria" w:hAnsi="Cambria"/>
          <w:noProof/>
          <w:sz w:val="24"/>
        </w:rPr>
        <w:t xml:space="preserve"> 2007 Pharmacological inhibition of glucosylceramide synthase enhances insulin sensitivity. </w:t>
      </w:r>
      <w:r w:rsidRPr="00447DB4">
        <w:rPr>
          <w:rFonts w:ascii="Cambria" w:hAnsi="Cambria"/>
          <w:i/>
          <w:iCs/>
          <w:noProof/>
          <w:sz w:val="24"/>
        </w:rPr>
        <w:t>Diabetes</w:t>
      </w:r>
      <w:r w:rsidRPr="00447DB4">
        <w:rPr>
          <w:rFonts w:ascii="Cambria" w:hAnsi="Cambria"/>
          <w:noProof/>
          <w:sz w:val="24"/>
        </w:rPr>
        <w:t xml:space="preserve"> </w:t>
      </w:r>
      <w:r w:rsidRPr="00447DB4">
        <w:rPr>
          <w:rFonts w:ascii="Cambria" w:hAnsi="Cambria"/>
          <w:b/>
          <w:bCs/>
          <w:noProof/>
          <w:sz w:val="24"/>
        </w:rPr>
        <w:t>56</w:t>
      </w:r>
      <w:r w:rsidRPr="00447DB4">
        <w:rPr>
          <w:rFonts w:ascii="Cambria" w:hAnsi="Cambria"/>
          <w:noProof/>
          <w:sz w:val="24"/>
        </w:rPr>
        <w:t xml:space="preserve"> 1341–1349. (doi:10.2337/db06-1619)</w:t>
      </w:r>
    </w:p>
    <w:p w14:paraId="42884865"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Anders S, Pyl PT &amp; Huber W 2014 HTSeq - A Python framework to work with high-throughput sequencing data. </w:t>
      </w:r>
      <w:r w:rsidRPr="00447DB4">
        <w:rPr>
          <w:rFonts w:ascii="Cambria" w:hAnsi="Cambria"/>
          <w:i/>
          <w:iCs/>
          <w:noProof/>
          <w:sz w:val="24"/>
        </w:rPr>
        <w:t>Bioinformatics</w:t>
      </w:r>
      <w:r w:rsidRPr="00447DB4">
        <w:rPr>
          <w:rFonts w:ascii="Cambria" w:hAnsi="Cambria"/>
          <w:noProof/>
          <w:sz w:val="24"/>
        </w:rPr>
        <w:t xml:space="preserve"> 1–4. (doi:10.1093/bioinformatics/btu638)</w:t>
      </w:r>
    </w:p>
    <w:p w14:paraId="014E2C8D"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Beaufrere B, Horber FF, Schwenk WF, Marsh HM, Matthews D, Gerich JE &amp; Haymond MW 1989 </w:t>
      </w:r>
      <w:r w:rsidRPr="00447DB4">
        <w:rPr>
          <w:rFonts w:ascii="Cambria" w:hAnsi="Cambria"/>
          <w:i/>
          <w:iCs/>
          <w:noProof/>
          <w:sz w:val="24"/>
        </w:rPr>
        <w:t>Glucocorticosteroids Increase Leucine Oxidation and Impair Leucine Balance in Humans.</w:t>
      </w:r>
      <w:r w:rsidRPr="00447DB4">
        <w:rPr>
          <w:rFonts w:ascii="Cambria" w:hAnsi="Cambria"/>
          <w:noProof/>
          <w:sz w:val="24"/>
        </w:rPr>
        <w:t xml:space="preserve"> In </w:t>
      </w:r>
      <w:r w:rsidRPr="00447DB4">
        <w:rPr>
          <w:rFonts w:ascii="Cambria" w:hAnsi="Cambria"/>
          <w:i/>
          <w:iCs/>
          <w:noProof/>
          <w:sz w:val="24"/>
        </w:rPr>
        <w:t>The American Journal of Physiology</w:t>
      </w:r>
      <w:r w:rsidRPr="00447DB4">
        <w:rPr>
          <w:rFonts w:ascii="Cambria" w:hAnsi="Cambria"/>
          <w:noProof/>
          <w:sz w:val="24"/>
        </w:rPr>
        <w:t>, pp E712–E721.</w:t>
      </w:r>
    </w:p>
    <w:p w14:paraId="2F0FD93E"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Benjamini Y &amp; Hochberg Y 1995 Controlling the False Discovery Rate: A Practical and Powerful Approach to Multiple Testing. </w:t>
      </w:r>
      <w:r w:rsidRPr="00447DB4">
        <w:rPr>
          <w:rFonts w:ascii="Cambria" w:hAnsi="Cambria"/>
          <w:i/>
          <w:iCs/>
          <w:noProof/>
          <w:sz w:val="24"/>
        </w:rPr>
        <w:t>Journal of the Royal Statistical Society. Series B</w:t>
      </w:r>
      <w:r w:rsidRPr="00447DB4">
        <w:rPr>
          <w:rFonts w:ascii="Cambria" w:hAnsi="Cambria"/>
          <w:noProof/>
          <w:sz w:val="24"/>
        </w:rPr>
        <w:t xml:space="preserve"> </w:t>
      </w:r>
      <w:r w:rsidRPr="00447DB4">
        <w:rPr>
          <w:rFonts w:ascii="Cambria" w:hAnsi="Cambria"/>
          <w:b/>
          <w:bCs/>
          <w:noProof/>
          <w:sz w:val="24"/>
        </w:rPr>
        <w:t>57</w:t>
      </w:r>
      <w:r w:rsidRPr="00447DB4">
        <w:rPr>
          <w:rFonts w:ascii="Cambria" w:hAnsi="Cambria"/>
          <w:noProof/>
          <w:sz w:val="24"/>
        </w:rPr>
        <w:t xml:space="preserve"> 289–300.</w:t>
      </w:r>
    </w:p>
    <w:p w14:paraId="0E0DE5F6"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Bligh EG &amp; Dyer WJ 1959 A rapid method of total lipid extraction and purification. </w:t>
      </w:r>
      <w:r w:rsidRPr="00447DB4">
        <w:rPr>
          <w:rFonts w:ascii="Cambria" w:hAnsi="Cambria"/>
          <w:i/>
          <w:iCs/>
          <w:noProof/>
          <w:sz w:val="24"/>
        </w:rPr>
        <w:t>Canadian Journal of Biochemistry and Physiology</w:t>
      </w:r>
      <w:r w:rsidRPr="00447DB4">
        <w:rPr>
          <w:rFonts w:ascii="Cambria" w:hAnsi="Cambria"/>
          <w:noProof/>
          <w:sz w:val="24"/>
        </w:rPr>
        <w:t xml:space="preserve"> </w:t>
      </w:r>
      <w:r w:rsidRPr="00447DB4">
        <w:rPr>
          <w:rFonts w:ascii="Cambria" w:hAnsi="Cambria"/>
          <w:b/>
          <w:bCs/>
          <w:noProof/>
          <w:sz w:val="24"/>
        </w:rPr>
        <w:t>37</w:t>
      </w:r>
      <w:r w:rsidRPr="00447DB4">
        <w:rPr>
          <w:rFonts w:ascii="Cambria" w:hAnsi="Cambria"/>
          <w:noProof/>
          <w:sz w:val="24"/>
        </w:rPr>
        <w:t xml:space="preserve"> 911–917.</w:t>
      </w:r>
    </w:p>
    <w:p w14:paraId="463BC374"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Clark NR &amp; Ma’ayan A 2011 Introduction to statistical methods for analyzing large data sets: gene-set enrichment analysis. </w:t>
      </w:r>
      <w:r w:rsidRPr="00447DB4">
        <w:rPr>
          <w:rFonts w:ascii="Cambria" w:hAnsi="Cambria"/>
          <w:i/>
          <w:iCs/>
          <w:noProof/>
          <w:sz w:val="24"/>
        </w:rPr>
        <w:t>Science Signaling</w:t>
      </w:r>
      <w:r w:rsidRPr="00447DB4">
        <w:rPr>
          <w:rFonts w:ascii="Cambria" w:hAnsi="Cambria"/>
          <w:noProof/>
          <w:sz w:val="24"/>
        </w:rPr>
        <w:t xml:space="preserve"> </w:t>
      </w:r>
      <w:r w:rsidRPr="00447DB4">
        <w:rPr>
          <w:rFonts w:ascii="Cambria" w:hAnsi="Cambria"/>
          <w:b/>
          <w:bCs/>
          <w:noProof/>
          <w:sz w:val="24"/>
        </w:rPr>
        <w:t>4</w:t>
      </w:r>
      <w:r w:rsidRPr="00447DB4">
        <w:rPr>
          <w:rFonts w:ascii="Cambria" w:hAnsi="Cambria"/>
          <w:noProof/>
          <w:sz w:val="24"/>
        </w:rPr>
        <w:t xml:space="preserve"> tr4. (doi:10.1126/scisignal.2001966)</w:t>
      </w:r>
    </w:p>
    <w:p w14:paraId="7DC61A5B"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Cushing H 1932 The basophil adenomas of the pituitary body and their clinical manifestations. </w:t>
      </w:r>
      <w:r w:rsidRPr="00447DB4">
        <w:rPr>
          <w:rFonts w:ascii="Cambria" w:hAnsi="Cambria"/>
          <w:i/>
          <w:iCs/>
          <w:noProof/>
          <w:sz w:val="24"/>
        </w:rPr>
        <w:t>Bulletin of the Johns Hopkins Hospital</w:t>
      </w:r>
      <w:r w:rsidRPr="00447DB4">
        <w:rPr>
          <w:rFonts w:ascii="Cambria" w:hAnsi="Cambria"/>
          <w:noProof/>
          <w:sz w:val="24"/>
        </w:rPr>
        <w:t xml:space="preserve"> </w:t>
      </w:r>
      <w:r w:rsidRPr="00447DB4">
        <w:rPr>
          <w:rFonts w:ascii="Cambria" w:hAnsi="Cambria"/>
          <w:b/>
          <w:bCs/>
          <w:noProof/>
          <w:sz w:val="24"/>
        </w:rPr>
        <w:t>50</w:t>
      </w:r>
      <w:r w:rsidRPr="00447DB4">
        <w:rPr>
          <w:rFonts w:ascii="Cambria" w:hAnsi="Cambria"/>
          <w:noProof/>
          <w:sz w:val="24"/>
        </w:rPr>
        <w:t xml:space="preserve"> 157–158.</w:t>
      </w:r>
    </w:p>
    <w:p w14:paraId="33EE1C15"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447DB4">
        <w:rPr>
          <w:rFonts w:ascii="Cambria" w:hAnsi="Cambria"/>
          <w:i/>
          <w:iCs/>
          <w:noProof/>
          <w:sz w:val="24"/>
        </w:rPr>
        <w:t>Journal of Clinical Investigation</w:t>
      </w:r>
      <w:r w:rsidRPr="00447DB4">
        <w:rPr>
          <w:rFonts w:ascii="Cambria" w:hAnsi="Cambria"/>
          <w:noProof/>
          <w:sz w:val="24"/>
        </w:rPr>
        <w:t xml:space="preserve"> </w:t>
      </w:r>
      <w:r w:rsidRPr="00447DB4">
        <w:rPr>
          <w:rFonts w:ascii="Cambria" w:hAnsi="Cambria"/>
          <w:b/>
          <w:bCs/>
          <w:noProof/>
          <w:sz w:val="24"/>
        </w:rPr>
        <w:t>96</w:t>
      </w:r>
      <w:r w:rsidRPr="00447DB4">
        <w:rPr>
          <w:rFonts w:ascii="Cambria" w:hAnsi="Cambria"/>
          <w:noProof/>
          <w:sz w:val="24"/>
        </w:rPr>
        <w:t xml:space="preserve"> 2113–2119. (doi:10.1172/JCI118264)</w:t>
      </w:r>
    </w:p>
    <w:p w14:paraId="50B81164"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447DB4">
        <w:rPr>
          <w:rFonts w:ascii="Cambria" w:hAnsi="Cambria"/>
          <w:i/>
          <w:iCs/>
          <w:noProof/>
          <w:sz w:val="24"/>
        </w:rPr>
        <w:t>Endocrinology</w:t>
      </w:r>
      <w:r w:rsidRPr="00447DB4">
        <w:rPr>
          <w:rFonts w:ascii="Cambria" w:hAnsi="Cambria"/>
          <w:noProof/>
          <w:sz w:val="24"/>
        </w:rPr>
        <w:t xml:space="preserve"> </w:t>
      </w:r>
      <w:r w:rsidRPr="00447DB4">
        <w:rPr>
          <w:rFonts w:ascii="Cambria" w:hAnsi="Cambria"/>
          <w:b/>
          <w:bCs/>
          <w:noProof/>
          <w:sz w:val="24"/>
        </w:rPr>
        <w:t>145</w:t>
      </w:r>
      <w:r w:rsidRPr="00447DB4">
        <w:rPr>
          <w:rFonts w:ascii="Cambria" w:hAnsi="Cambria"/>
          <w:noProof/>
          <w:sz w:val="24"/>
        </w:rPr>
        <w:t xml:space="preserve"> 5847–5861. (doi:10.1210/en.2004-0371)</w:t>
      </w:r>
    </w:p>
    <w:p w14:paraId="40801945"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Dinarello C a &amp; Kim S-H 2006 IL-32, a novel cytokine with a possible role in disease. </w:t>
      </w:r>
      <w:r w:rsidRPr="00447DB4">
        <w:rPr>
          <w:rFonts w:ascii="Cambria" w:hAnsi="Cambria"/>
          <w:i/>
          <w:iCs/>
          <w:noProof/>
          <w:sz w:val="24"/>
        </w:rPr>
        <w:t>Annals of the Rheumatic Diseases</w:t>
      </w:r>
      <w:r w:rsidRPr="00447DB4">
        <w:rPr>
          <w:rFonts w:ascii="Cambria" w:hAnsi="Cambria"/>
          <w:noProof/>
          <w:sz w:val="24"/>
        </w:rPr>
        <w:t xml:space="preserve"> </w:t>
      </w:r>
      <w:r w:rsidRPr="00447DB4">
        <w:rPr>
          <w:rFonts w:ascii="Cambria" w:hAnsi="Cambria"/>
          <w:b/>
          <w:bCs/>
          <w:noProof/>
          <w:sz w:val="24"/>
        </w:rPr>
        <w:t>65 Suppl 3</w:t>
      </w:r>
      <w:r w:rsidRPr="00447DB4">
        <w:rPr>
          <w:rFonts w:ascii="Cambria" w:hAnsi="Cambria"/>
          <w:noProof/>
          <w:sz w:val="24"/>
        </w:rPr>
        <w:t xml:space="preserve"> iii61–i64. (doi:10.1136/ard.2006.058511)</w:t>
      </w:r>
    </w:p>
    <w:p w14:paraId="0D565425"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Galton DJ &amp; Wilson JP 1972 Lipogenesis in adipose tissue of patients with obesity and Cushing’s disease. </w:t>
      </w:r>
      <w:r w:rsidRPr="00447DB4">
        <w:rPr>
          <w:rFonts w:ascii="Cambria" w:hAnsi="Cambria"/>
          <w:i/>
          <w:iCs/>
          <w:noProof/>
          <w:sz w:val="24"/>
        </w:rPr>
        <w:t>Clinical Science</w:t>
      </w:r>
      <w:r w:rsidRPr="00447DB4">
        <w:rPr>
          <w:rFonts w:ascii="Cambria" w:hAnsi="Cambria"/>
          <w:noProof/>
          <w:sz w:val="24"/>
        </w:rPr>
        <w:t xml:space="preserve"> </w:t>
      </w:r>
      <w:r w:rsidRPr="00447DB4">
        <w:rPr>
          <w:rFonts w:ascii="Cambria" w:hAnsi="Cambria"/>
          <w:b/>
          <w:bCs/>
          <w:noProof/>
          <w:sz w:val="24"/>
        </w:rPr>
        <w:t>43</w:t>
      </w:r>
      <w:r w:rsidRPr="00447DB4">
        <w:rPr>
          <w:rFonts w:ascii="Cambria" w:hAnsi="Cambria"/>
          <w:noProof/>
          <w:sz w:val="24"/>
        </w:rPr>
        <w:t xml:space="preserve"> 17P.</w:t>
      </w:r>
    </w:p>
    <w:p w14:paraId="43E6CE62"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Gathercole LL, Bujalska IJ, Stewart PM &amp; Tomlinson JW 2007 Glucocorticoid modulation of insulin signaling in human subcutaneous adipose tissue. </w:t>
      </w:r>
      <w:r w:rsidRPr="00447DB4">
        <w:rPr>
          <w:rFonts w:ascii="Cambria" w:hAnsi="Cambria"/>
          <w:i/>
          <w:iCs/>
          <w:noProof/>
          <w:sz w:val="24"/>
        </w:rPr>
        <w:t>The Journal of Clinical Endocrinology and Metabolism</w:t>
      </w:r>
      <w:r w:rsidRPr="00447DB4">
        <w:rPr>
          <w:rFonts w:ascii="Cambria" w:hAnsi="Cambria"/>
          <w:noProof/>
          <w:sz w:val="24"/>
        </w:rPr>
        <w:t xml:space="preserve"> </w:t>
      </w:r>
      <w:r w:rsidRPr="00447DB4">
        <w:rPr>
          <w:rFonts w:ascii="Cambria" w:hAnsi="Cambria"/>
          <w:b/>
          <w:bCs/>
          <w:noProof/>
          <w:sz w:val="24"/>
        </w:rPr>
        <w:t>92</w:t>
      </w:r>
      <w:r w:rsidRPr="00447DB4">
        <w:rPr>
          <w:rFonts w:ascii="Cambria" w:hAnsi="Cambria"/>
          <w:noProof/>
          <w:sz w:val="24"/>
        </w:rPr>
        <w:t xml:space="preserve"> 4332–4339. (doi:10.1210/jc.2007-1399)</w:t>
      </w:r>
    </w:p>
    <w:p w14:paraId="08884F43"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Geer EB, Islam J &amp; Buettner C 2014 Mechanisms of glucocorticoid-induced insulin resistance: Focus on adipose tissue function and lipid metabolism. </w:t>
      </w:r>
      <w:r w:rsidRPr="00447DB4">
        <w:rPr>
          <w:rFonts w:ascii="Cambria" w:hAnsi="Cambria"/>
          <w:i/>
          <w:iCs/>
          <w:noProof/>
          <w:sz w:val="24"/>
        </w:rPr>
        <w:t>Endocrinology and Metabolism Clinics of North America</w:t>
      </w:r>
      <w:r w:rsidRPr="00447DB4">
        <w:rPr>
          <w:rFonts w:ascii="Cambria" w:hAnsi="Cambria"/>
          <w:noProof/>
          <w:sz w:val="24"/>
        </w:rPr>
        <w:t xml:space="preserve"> </w:t>
      </w:r>
      <w:r w:rsidRPr="00447DB4">
        <w:rPr>
          <w:rFonts w:ascii="Cambria" w:hAnsi="Cambria"/>
          <w:b/>
          <w:bCs/>
          <w:noProof/>
          <w:sz w:val="24"/>
        </w:rPr>
        <w:t>43</w:t>
      </w:r>
      <w:r w:rsidRPr="00447DB4">
        <w:rPr>
          <w:rFonts w:ascii="Cambria" w:hAnsi="Cambria"/>
          <w:noProof/>
          <w:sz w:val="24"/>
        </w:rPr>
        <w:t xml:space="preserve"> 75–102. (doi:10.1016/j.ecl.2013.10.005)</w:t>
      </w:r>
    </w:p>
    <w:p w14:paraId="70555FA8"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447DB4">
        <w:rPr>
          <w:rFonts w:ascii="Cambria" w:hAnsi="Cambria"/>
          <w:i/>
          <w:iCs/>
          <w:noProof/>
          <w:sz w:val="24"/>
        </w:rPr>
        <w:t>Journal of Clinical Endocrinology and Metabolism</w:t>
      </w:r>
      <w:r w:rsidRPr="00447DB4">
        <w:rPr>
          <w:rFonts w:ascii="Cambria" w:hAnsi="Cambria"/>
          <w:noProof/>
          <w:sz w:val="24"/>
        </w:rPr>
        <w:t xml:space="preserve"> </w:t>
      </w:r>
      <w:r w:rsidRPr="00447DB4">
        <w:rPr>
          <w:rFonts w:ascii="Cambria" w:hAnsi="Cambria"/>
          <w:b/>
          <w:bCs/>
          <w:noProof/>
          <w:sz w:val="24"/>
        </w:rPr>
        <w:t>83</w:t>
      </w:r>
      <w:r w:rsidRPr="00447DB4">
        <w:rPr>
          <w:rFonts w:ascii="Cambria" w:hAnsi="Cambria"/>
          <w:noProof/>
          <w:sz w:val="24"/>
        </w:rPr>
        <w:t xml:space="preserve"> 902–910. (doi:10.1210/jc.83.3.902)</w:t>
      </w:r>
    </w:p>
    <w:p w14:paraId="16439137"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447DB4">
        <w:rPr>
          <w:rFonts w:ascii="Cambria" w:hAnsi="Cambria"/>
          <w:i/>
          <w:iCs/>
          <w:noProof/>
          <w:sz w:val="24"/>
        </w:rPr>
        <w:t>American Journal of Physiology. Endocrinology and Metabolism</w:t>
      </w:r>
      <w:r w:rsidRPr="00447DB4">
        <w:rPr>
          <w:rFonts w:ascii="Cambria" w:hAnsi="Cambria"/>
          <w:noProof/>
          <w:sz w:val="24"/>
        </w:rPr>
        <w:t xml:space="preserve"> </w:t>
      </w:r>
      <w:r w:rsidRPr="00447DB4">
        <w:rPr>
          <w:rFonts w:ascii="Cambria" w:hAnsi="Cambria"/>
          <w:b/>
          <w:bCs/>
          <w:noProof/>
          <w:sz w:val="24"/>
        </w:rPr>
        <w:t>304</w:t>
      </w:r>
      <w:r w:rsidRPr="00447DB4">
        <w:rPr>
          <w:rFonts w:ascii="Cambria" w:hAnsi="Cambria"/>
          <w:noProof/>
          <w:sz w:val="24"/>
        </w:rPr>
        <w:t xml:space="preserve"> E282–E293. (doi:10.1152/ajpendo.00154.2012)</w:t>
      </w:r>
    </w:p>
    <w:p w14:paraId="3926B516"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447DB4">
        <w:rPr>
          <w:rFonts w:ascii="Cambria" w:hAnsi="Cambria"/>
          <w:i/>
          <w:iCs/>
          <w:noProof/>
          <w:sz w:val="24"/>
        </w:rPr>
        <w:t>The Journal of Clinical Endocrinology and Metabolism</w:t>
      </w:r>
      <w:r w:rsidRPr="00447DB4">
        <w:rPr>
          <w:rFonts w:ascii="Cambria" w:hAnsi="Cambria"/>
          <w:noProof/>
          <w:sz w:val="24"/>
        </w:rPr>
        <w:t xml:space="preserve"> </w:t>
      </w:r>
      <w:r w:rsidRPr="00447DB4">
        <w:rPr>
          <w:rFonts w:ascii="Cambria" w:hAnsi="Cambria"/>
          <w:b/>
          <w:bCs/>
          <w:noProof/>
          <w:sz w:val="24"/>
        </w:rPr>
        <w:t>98</w:t>
      </w:r>
      <w:r w:rsidRPr="00447DB4">
        <w:rPr>
          <w:rFonts w:ascii="Cambria" w:hAnsi="Cambria"/>
          <w:noProof/>
          <w:sz w:val="24"/>
        </w:rPr>
        <w:t xml:space="preserve"> 1631–1640. (doi:10.1210/jc.2012-3523)</w:t>
      </w:r>
    </w:p>
    <w:p w14:paraId="1CFDD91F"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Holland WL, Brozinick JT, Wang L-P, Hawkins ED, Sargent KM, Liu Y, Narra K, Hoehn KL, Knotts TA, Siesky A </w:t>
      </w:r>
      <w:r w:rsidRPr="00447DB4">
        <w:rPr>
          <w:rFonts w:ascii="Cambria" w:hAnsi="Cambria"/>
          <w:i/>
          <w:iCs/>
          <w:noProof/>
          <w:sz w:val="24"/>
        </w:rPr>
        <w:t>et al.</w:t>
      </w:r>
      <w:r w:rsidRPr="00447DB4">
        <w:rPr>
          <w:rFonts w:ascii="Cambria" w:hAnsi="Cambria"/>
          <w:noProof/>
          <w:sz w:val="24"/>
        </w:rPr>
        <w:t xml:space="preserve"> 2007 Inhibition of ceramide synthesis ameliorates glucocorticoid-, saturated-fat-, and obesity-induced insulin resistance. </w:t>
      </w:r>
      <w:r w:rsidRPr="00447DB4">
        <w:rPr>
          <w:rFonts w:ascii="Cambria" w:hAnsi="Cambria"/>
          <w:i/>
          <w:iCs/>
          <w:noProof/>
          <w:sz w:val="24"/>
        </w:rPr>
        <w:t>Cell Metabolism</w:t>
      </w:r>
      <w:r w:rsidRPr="00447DB4">
        <w:rPr>
          <w:rFonts w:ascii="Cambria" w:hAnsi="Cambria"/>
          <w:noProof/>
          <w:sz w:val="24"/>
        </w:rPr>
        <w:t xml:space="preserve"> </w:t>
      </w:r>
      <w:r w:rsidRPr="00447DB4">
        <w:rPr>
          <w:rFonts w:ascii="Cambria" w:hAnsi="Cambria"/>
          <w:b/>
          <w:bCs/>
          <w:noProof/>
          <w:sz w:val="24"/>
        </w:rPr>
        <w:t>5</w:t>
      </w:r>
      <w:r w:rsidRPr="00447DB4">
        <w:rPr>
          <w:rFonts w:ascii="Cambria" w:hAnsi="Cambria"/>
          <w:noProof/>
          <w:sz w:val="24"/>
        </w:rPr>
        <w:t xml:space="preserve"> 167–179. (doi:10.1016/j.cmet.2007.01.002)</w:t>
      </w:r>
    </w:p>
    <w:p w14:paraId="517F42B7"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Kim D, Pertea G, Trapnell C, Pimentel H, Kelley R &amp; Salzberg SL 2013 TopHat2: accurate alignment of transcriptomes in the presence of insertions, deletions and gene fusions. </w:t>
      </w:r>
      <w:r w:rsidRPr="00447DB4">
        <w:rPr>
          <w:rFonts w:ascii="Cambria" w:hAnsi="Cambria"/>
          <w:i/>
          <w:iCs/>
          <w:noProof/>
          <w:sz w:val="24"/>
        </w:rPr>
        <w:t>Genome Biology</w:t>
      </w:r>
      <w:r w:rsidRPr="00447DB4">
        <w:rPr>
          <w:rFonts w:ascii="Cambria" w:hAnsi="Cambria"/>
          <w:noProof/>
          <w:sz w:val="24"/>
        </w:rPr>
        <w:t xml:space="preserve"> </w:t>
      </w:r>
      <w:r w:rsidRPr="00447DB4">
        <w:rPr>
          <w:rFonts w:ascii="Cambria" w:hAnsi="Cambria"/>
          <w:b/>
          <w:bCs/>
          <w:noProof/>
          <w:sz w:val="24"/>
        </w:rPr>
        <w:t>14</w:t>
      </w:r>
      <w:r w:rsidRPr="00447DB4">
        <w:rPr>
          <w:rFonts w:ascii="Cambria" w:hAnsi="Cambria"/>
          <w:noProof/>
          <w:sz w:val="24"/>
        </w:rPr>
        <w:t xml:space="preserve"> R36. (doi:10.1186/gb-2013-14-4-r36)</w:t>
      </w:r>
    </w:p>
    <w:p w14:paraId="1A2F5920"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Langmead B &amp; Salzberg S 2012 Fast gapped-read alignment with Bowtie 2. </w:t>
      </w:r>
      <w:r w:rsidRPr="00447DB4">
        <w:rPr>
          <w:rFonts w:ascii="Cambria" w:hAnsi="Cambria"/>
          <w:i/>
          <w:iCs/>
          <w:noProof/>
          <w:sz w:val="24"/>
        </w:rPr>
        <w:t>Nature Methods</w:t>
      </w:r>
      <w:r w:rsidRPr="00447DB4">
        <w:rPr>
          <w:rFonts w:ascii="Cambria" w:hAnsi="Cambria"/>
          <w:noProof/>
          <w:sz w:val="24"/>
        </w:rPr>
        <w:t xml:space="preserve"> </w:t>
      </w:r>
      <w:r w:rsidRPr="00447DB4">
        <w:rPr>
          <w:rFonts w:ascii="Cambria" w:hAnsi="Cambria"/>
          <w:b/>
          <w:bCs/>
          <w:noProof/>
          <w:sz w:val="24"/>
        </w:rPr>
        <w:t>9</w:t>
      </w:r>
      <w:r w:rsidRPr="00447DB4">
        <w:rPr>
          <w:rFonts w:ascii="Cambria" w:hAnsi="Cambria"/>
          <w:noProof/>
          <w:sz w:val="24"/>
        </w:rPr>
        <w:t xml:space="preserve"> 357–360. (doi:10.1038/nmeth.1923)</w:t>
      </w:r>
    </w:p>
    <w:p w14:paraId="257AD0A8"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Lindholm J, Juul S, Jørgensen JOL, Astrup J, Bjerre P, Feldt-Rasmussen U, Hagen C, Jørgensen J, Kosteljanetz M, Kristensen L </w:t>
      </w:r>
      <w:r w:rsidRPr="00447DB4">
        <w:rPr>
          <w:rFonts w:ascii="Cambria" w:hAnsi="Cambria"/>
          <w:i/>
          <w:iCs/>
          <w:noProof/>
          <w:sz w:val="24"/>
        </w:rPr>
        <w:t>et al.</w:t>
      </w:r>
      <w:r w:rsidRPr="00447DB4">
        <w:rPr>
          <w:rFonts w:ascii="Cambria" w:hAnsi="Cambria"/>
          <w:noProof/>
          <w:sz w:val="24"/>
        </w:rPr>
        <w:t xml:space="preserve"> 2001 Incidence and late prognosis of Cushing’s syndrome: A population-based study. </w:t>
      </w:r>
      <w:r w:rsidRPr="00447DB4">
        <w:rPr>
          <w:rFonts w:ascii="Cambria" w:hAnsi="Cambria"/>
          <w:i/>
          <w:iCs/>
          <w:noProof/>
          <w:sz w:val="24"/>
        </w:rPr>
        <w:t>Journal of Clinical Endocrinology and Metabolism</w:t>
      </w:r>
      <w:r w:rsidRPr="00447DB4">
        <w:rPr>
          <w:rFonts w:ascii="Cambria" w:hAnsi="Cambria"/>
          <w:noProof/>
          <w:sz w:val="24"/>
        </w:rPr>
        <w:t xml:space="preserve"> </w:t>
      </w:r>
      <w:r w:rsidRPr="00447DB4">
        <w:rPr>
          <w:rFonts w:ascii="Cambria" w:hAnsi="Cambria"/>
          <w:b/>
          <w:bCs/>
          <w:noProof/>
          <w:sz w:val="24"/>
        </w:rPr>
        <w:t>86</w:t>
      </w:r>
      <w:r w:rsidRPr="00447DB4">
        <w:rPr>
          <w:rFonts w:ascii="Cambria" w:hAnsi="Cambria"/>
          <w:noProof/>
          <w:sz w:val="24"/>
        </w:rPr>
        <w:t xml:space="preserve"> 117–123. (doi:10.1210/jc.86.1.117)</w:t>
      </w:r>
    </w:p>
    <w:p w14:paraId="73A38110"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Long W, Wei L &amp; Barrett EJ 2001 Dexamethasone inhibits the stimulation of muscle protein synthesis and PHAS-I and p70 S6-kinase phosphorylation. </w:t>
      </w:r>
      <w:r w:rsidRPr="00447DB4">
        <w:rPr>
          <w:rFonts w:ascii="Cambria" w:hAnsi="Cambria"/>
          <w:i/>
          <w:iCs/>
          <w:noProof/>
          <w:sz w:val="24"/>
        </w:rPr>
        <w:t>American Journal of Physiology. Endocrinology and Metabolism</w:t>
      </w:r>
      <w:r w:rsidRPr="00447DB4">
        <w:rPr>
          <w:rFonts w:ascii="Cambria" w:hAnsi="Cambria"/>
          <w:noProof/>
          <w:sz w:val="24"/>
        </w:rPr>
        <w:t xml:space="preserve"> </w:t>
      </w:r>
      <w:r w:rsidRPr="00447DB4">
        <w:rPr>
          <w:rFonts w:ascii="Cambria" w:hAnsi="Cambria"/>
          <w:b/>
          <w:bCs/>
          <w:noProof/>
          <w:sz w:val="24"/>
        </w:rPr>
        <w:t>280</w:t>
      </w:r>
      <w:r w:rsidRPr="00447DB4">
        <w:rPr>
          <w:rFonts w:ascii="Cambria" w:hAnsi="Cambria"/>
          <w:noProof/>
          <w:sz w:val="24"/>
        </w:rPr>
        <w:t xml:space="preserve"> E570–E575.</w:t>
      </w:r>
    </w:p>
    <w:p w14:paraId="629B4051"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Love MI, Huber W &amp; Anders S 2014 </w:t>
      </w:r>
      <w:r w:rsidRPr="00447DB4">
        <w:rPr>
          <w:rFonts w:ascii="Cambria" w:hAnsi="Cambria"/>
          <w:i/>
          <w:iCs/>
          <w:noProof/>
          <w:sz w:val="24"/>
        </w:rPr>
        <w:t>Moderated Estimation of Fold Change and Dispersion for RNA-Seq Data with DESeq2</w:t>
      </w:r>
      <w:r w:rsidRPr="00447DB4">
        <w:rPr>
          <w:rFonts w:ascii="Cambria" w:hAnsi="Cambria"/>
          <w:noProof/>
          <w:sz w:val="24"/>
        </w:rPr>
        <w:t>. (doi:10.1101/002832)</w:t>
      </w:r>
    </w:p>
    <w:p w14:paraId="78FF46DA"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Lumeng CN &amp; Saltiel AR 2011 Inflammatory links between obesity and metabolic disease. </w:t>
      </w:r>
      <w:r w:rsidRPr="00447DB4">
        <w:rPr>
          <w:rFonts w:ascii="Cambria" w:hAnsi="Cambria"/>
          <w:i/>
          <w:iCs/>
          <w:noProof/>
          <w:sz w:val="24"/>
        </w:rPr>
        <w:t>The Journal of Clinical Investigation</w:t>
      </w:r>
      <w:r w:rsidRPr="00447DB4">
        <w:rPr>
          <w:rFonts w:ascii="Cambria" w:hAnsi="Cambria"/>
          <w:noProof/>
          <w:sz w:val="24"/>
        </w:rPr>
        <w:t xml:space="preserve"> </w:t>
      </w:r>
      <w:r w:rsidRPr="00447DB4">
        <w:rPr>
          <w:rFonts w:ascii="Cambria" w:hAnsi="Cambria"/>
          <w:b/>
          <w:bCs/>
          <w:noProof/>
          <w:sz w:val="24"/>
        </w:rPr>
        <w:t>121</w:t>
      </w:r>
      <w:r w:rsidRPr="00447DB4">
        <w:rPr>
          <w:rFonts w:ascii="Cambria" w:hAnsi="Cambria"/>
          <w:noProof/>
          <w:sz w:val="24"/>
        </w:rPr>
        <w:t xml:space="preserve"> 2111–2117. (doi:10.1172/JCI57132)</w:t>
      </w:r>
    </w:p>
    <w:p w14:paraId="744E1AD2"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447DB4">
        <w:rPr>
          <w:rFonts w:ascii="Cambria" w:hAnsi="Cambria"/>
          <w:i/>
          <w:iCs/>
          <w:noProof/>
          <w:sz w:val="24"/>
        </w:rPr>
        <w:t>Radiology</w:t>
      </w:r>
      <w:r w:rsidRPr="00447DB4">
        <w:rPr>
          <w:rFonts w:ascii="Cambria" w:hAnsi="Cambria"/>
          <w:noProof/>
          <w:sz w:val="24"/>
        </w:rPr>
        <w:t xml:space="preserve"> </w:t>
      </w:r>
      <w:r w:rsidRPr="00447DB4">
        <w:rPr>
          <w:rFonts w:ascii="Cambria" w:hAnsi="Cambria"/>
          <w:b/>
          <w:bCs/>
          <w:noProof/>
          <w:sz w:val="24"/>
        </w:rPr>
        <w:t>170</w:t>
      </w:r>
      <w:r w:rsidRPr="00447DB4">
        <w:rPr>
          <w:rFonts w:ascii="Cambria" w:hAnsi="Cambria"/>
          <w:noProof/>
          <w:sz w:val="24"/>
        </w:rPr>
        <w:t xml:space="preserve"> 515–518.</w:t>
      </w:r>
    </w:p>
    <w:p w14:paraId="7367CD6B"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Menconi M, Fareed M, O’Neal P, Poylin V, Wei W &amp; Hasselgren P-O 2007 Role of glucocorticoids in the molecular regulation of muscle wasting. </w:t>
      </w:r>
      <w:r w:rsidRPr="00447DB4">
        <w:rPr>
          <w:rFonts w:ascii="Cambria" w:hAnsi="Cambria"/>
          <w:i/>
          <w:iCs/>
          <w:noProof/>
          <w:sz w:val="24"/>
        </w:rPr>
        <w:t>Critical Care Medicine</w:t>
      </w:r>
      <w:r w:rsidRPr="00447DB4">
        <w:rPr>
          <w:rFonts w:ascii="Cambria" w:hAnsi="Cambria"/>
          <w:noProof/>
          <w:sz w:val="24"/>
        </w:rPr>
        <w:t xml:space="preserve"> </w:t>
      </w:r>
      <w:r w:rsidRPr="00447DB4">
        <w:rPr>
          <w:rFonts w:ascii="Cambria" w:hAnsi="Cambria"/>
          <w:b/>
          <w:bCs/>
          <w:noProof/>
          <w:sz w:val="24"/>
        </w:rPr>
        <w:t>35</w:t>
      </w:r>
      <w:r w:rsidRPr="00447DB4">
        <w:rPr>
          <w:rFonts w:ascii="Cambria" w:hAnsi="Cambria"/>
          <w:noProof/>
          <w:sz w:val="24"/>
        </w:rPr>
        <w:t xml:space="preserve"> S602–S608. (doi:10.1097/01.CCM.0000279194.11328.77)</w:t>
      </w:r>
    </w:p>
    <w:p w14:paraId="704067B2"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Papaspyrou-Rao S, Schneider SH, Petersen RN &amp; Fried SK 1997 Dexamethasone increases leptin expression in humans in vivo. </w:t>
      </w:r>
      <w:r w:rsidRPr="00447DB4">
        <w:rPr>
          <w:rFonts w:ascii="Cambria" w:hAnsi="Cambria"/>
          <w:i/>
          <w:iCs/>
          <w:noProof/>
          <w:sz w:val="24"/>
        </w:rPr>
        <w:t>Journal of Clinical Endocrinology and Metabolism</w:t>
      </w:r>
      <w:r w:rsidRPr="00447DB4">
        <w:rPr>
          <w:rFonts w:ascii="Cambria" w:hAnsi="Cambria"/>
          <w:noProof/>
          <w:sz w:val="24"/>
        </w:rPr>
        <w:t xml:space="preserve"> </w:t>
      </w:r>
      <w:r w:rsidRPr="00447DB4">
        <w:rPr>
          <w:rFonts w:ascii="Cambria" w:hAnsi="Cambria"/>
          <w:b/>
          <w:bCs/>
          <w:noProof/>
          <w:sz w:val="24"/>
        </w:rPr>
        <w:t>82</w:t>
      </w:r>
      <w:r w:rsidRPr="00447DB4">
        <w:rPr>
          <w:rFonts w:ascii="Cambria" w:hAnsi="Cambria"/>
          <w:noProof/>
          <w:sz w:val="24"/>
        </w:rPr>
        <w:t xml:space="preserve"> 1635–1637.</w:t>
      </w:r>
    </w:p>
    <w:p w14:paraId="71D7122B"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Price SR, England BK, Bailey JL, Van Vreede K &amp; Mitch WE 1994 Acidosis and glucocorticoids concomitantly increase ubiquitin and proteasome subunit mRNAs in rat muscle. </w:t>
      </w:r>
      <w:r w:rsidRPr="00447DB4">
        <w:rPr>
          <w:rFonts w:ascii="Cambria" w:hAnsi="Cambria"/>
          <w:i/>
          <w:iCs/>
          <w:noProof/>
          <w:sz w:val="24"/>
        </w:rPr>
        <w:t>The American Journal of Physiology</w:t>
      </w:r>
      <w:r w:rsidRPr="00447DB4">
        <w:rPr>
          <w:rFonts w:ascii="Cambria" w:hAnsi="Cambria"/>
          <w:noProof/>
          <w:sz w:val="24"/>
        </w:rPr>
        <w:t xml:space="preserve"> </w:t>
      </w:r>
      <w:r w:rsidRPr="00447DB4">
        <w:rPr>
          <w:rFonts w:ascii="Cambria" w:hAnsi="Cambria"/>
          <w:b/>
          <w:bCs/>
          <w:noProof/>
          <w:sz w:val="24"/>
        </w:rPr>
        <w:t>267</w:t>
      </w:r>
      <w:r w:rsidRPr="00447DB4">
        <w:rPr>
          <w:rFonts w:ascii="Cambria" w:hAnsi="Cambria"/>
          <w:noProof/>
          <w:sz w:val="24"/>
        </w:rPr>
        <w:t xml:space="preserve"> C955–C960.</w:t>
      </w:r>
    </w:p>
    <w:p w14:paraId="62E0FB39"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R Core Team 2013 R: A Language and Environment for Statistical Computing.</w:t>
      </w:r>
    </w:p>
    <w:p w14:paraId="6C12A06E"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447DB4">
        <w:rPr>
          <w:rFonts w:ascii="Cambria" w:hAnsi="Cambria"/>
          <w:i/>
          <w:iCs/>
          <w:noProof/>
          <w:sz w:val="24"/>
        </w:rPr>
        <w:t>Endocrinology</w:t>
      </w:r>
      <w:r w:rsidRPr="00447DB4">
        <w:rPr>
          <w:rFonts w:ascii="Cambria" w:hAnsi="Cambria"/>
          <w:noProof/>
          <w:sz w:val="24"/>
        </w:rPr>
        <w:t xml:space="preserve"> </w:t>
      </w:r>
      <w:r w:rsidRPr="00447DB4">
        <w:rPr>
          <w:rFonts w:ascii="Cambria" w:hAnsi="Cambria"/>
          <w:b/>
          <w:bCs/>
          <w:noProof/>
          <w:sz w:val="24"/>
        </w:rPr>
        <w:t>154</w:t>
      </w:r>
      <w:r w:rsidRPr="00447DB4">
        <w:rPr>
          <w:rFonts w:ascii="Cambria" w:hAnsi="Cambria"/>
          <w:noProof/>
          <w:sz w:val="24"/>
        </w:rPr>
        <w:t xml:space="preserve"> 1528–1539. (doi:10.1210/en.2011-1047)</w:t>
      </w:r>
    </w:p>
    <w:p w14:paraId="21A19D4A"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Subramanian A, Tamayo P, Mootha VK, Mukherjee S, Ebert BL, Gillette MA, Paulovich A, Pomeroy SL, Golub TR, Lander ES </w:t>
      </w:r>
      <w:r w:rsidRPr="00447DB4">
        <w:rPr>
          <w:rFonts w:ascii="Cambria" w:hAnsi="Cambria"/>
          <w:i/>
          <w:iCs/>
          <w:noProof/>
          <w:sz w:val="24"/>
        </w:rPr>
        <w:t>et al.</w:t>
      </w:r>
      <w:r w:rsidRPr="00447DB4">
        <w:rPr>
          <w:rFonts w:ascii="Cambria" w:hAnsi="Cambria"/>
          <w:noProof/>
          <w:sz w:val="24"/>
        </w:rPr>
        <w:t xml:space="preserve"> 2005 Gene set enrichment analysis: a knowledge-based approach for interpreting genome-wide expression profiles. </w:t>
      </w:r>
      <w:r w:rsidRPr="00447DB4">
        <w:rPr>
          <w:rFonts w:ascii="Cambria" w:hAnsi="Cambria"/>
          <w:i/>
          <w:iCs/>
          <w:noProof/>
          <w:sz w:val="24"/>
        </w:rPr>
        <w:t>Proceedings of the National Academy of Sciences of the United States of America</w:t>
      </w:r>
      <w:r w:rsidRPr="00447DB4">
        <w:rPr>
          <w:rFonts w:ascii="Cambria" w:hAnsi="Cambria"/>
          <w:noProof/>
          <w:sz w:val="24"/>
        </w:rPr>
        <w:t xml:space="preserve"> </w:t>
      </w:r>
      <w:r w:rsidRPr="00447DB4">
        <w:rPr>
          <w:rFonts w:ascii="Cambria" w:hAnsi="Cambria"/>
          <w:b/>
          <w:bCs/>
          <w:noProof/>
          <w:sz w:val="24"/>
        </w:rPr>
        <w:t>102</w:t>
      </w:r>
      <w:r w:rsidRPr="00447DB4">
        <w:rPr>
          <w:rFonts w:ascii="Cambria" w:hAnsi="Cambria"/>
          <w:noProof/>
          <w:sz w:val="24"/>
        </w:rPr>
        <w:t xml:space="preserve"> 15545–15550. (doi:10.1073/pnas.0506580102)</w:t>
      </w:r>
    </w:p>
    <w:p w14:paraId="501BE724"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447DB4">
        <w:rPr>
          <w:rFonts w:ascii="Cambria" w:hAnsi="Cambria"/>
          <w:i/>
          <w:iCs/>
          <w:noProof/>
          <w:sz w:val="24"/>
        </w:rPr>
        <w:t>Molecular Endocrinology (Baltimore, Md.)</w:t>
      </w:r>
      <w:r w:rsidRPr="00447DB4">
        <w:rPr>
          <w:rFonts w:ascii="Cambria" w:hAnsi="Cambria"/>
          <w:noProof/>
          <w:sz w:val="24"/>
        </w:rPr>
        <w:t xml:space="preserve"> </w:t>
      </w:r>
      <w:r w:rsidRPr="00447DB4">
        <w:rPr>
          <w:rFonts w:ascii="Cambria" w:hAnsi="Cambria"/>
          <w:b/>
          <w:bCs/>
          <w:noProof/>
          <w:sz w:val="24"/>
        </w:rPr>
        <w:t>24</w:t>
      </w:r>
      <w:r w:rsidRPr="00447DB4">
        <w:rPr>
          <w:rFonts w:ascii="Cambria" w:hAnsi="Cambria"/>
          <w:noProof/>
          <w:sz w:val="24"/>
        </w:rPr>
        <w:t xml:space="preserve"> 104–113. (doi:10.1210/me.2009-0091)</w:t>
      </w:r>
    </w:p>
    <w:p w14:paraId="597F1FF3" w14:textId="77777777" w:rsidR="00447DB4" w:rsidRPr="00447DB4" w:rsidRDefault="00447DB4">
      <w:pPr>
        <w:pStyle w:val="NormalWeb"/>
        <w:ind w:left="480" w:hanging="480"/>
        <w:divId w:val="715355524"/>
        <w:rPr>
          <w:rFonts w:ascii="Cambria" w:hAnsi="Cambria"/>
          <w:noProof/>
          <w:sz w:val="24"/>
        </w:rPr>
      </w:pPr>
      <w:r w:rsidRPr="00447DB4">
        <w:rPr>
          <w:rFonts w:ascii="Cambria" w:hAnsi="Cambria"/>
          <w:noProof/>
          <w:sz w:val="24"/>
        </w:rPr>
        <w:t xml:space="preserve">Wing SS &amp; Goldberg AL 1993 Glucocorticoids activate the ATP-ubiquitin-dependent proteolytic system in skeletal muscle during fasting. </w:t>
      </w:r>
      <w:r w:rsidRPr="00447DB4">
        <w:rPr>
          <w:rFonts w:ascii="Cambria" w:hAnsi="Cambria"/>
          <w:i/>
          <w:iCs/>
          <w:noProof/>
          <w:sz w:val="24"/>
        </w:rPr>
        <w:t>The American Journal of Physiology</w:t>
      </w:r>
      <w:r w:rsidRPr="00447DB4">
        <w:rPr>
          <w:rFonts w:ascii="Cambria" w:hAnsi="Cambria"/>
          <w:noProof/>
          <w:sz w:val="24"/>
        </w:rPr>
        <w:t xml:space="preserve"> </w:t>
      </w:r>
      <w:r w:rsidRPr="00447DB4">
        <w:rPr>
          <w:rFonts w:ascii="Cambria" w:hAnsi="Cambria"/>
          <w:b/>
          <w:bCs/>
          <w:noProof/>
          <w:sz w:val="24"/>
        </w:rPr>
        <w:t>264</w:t>
      </w:r>
      <w:r w:rsidRPr="00447DB4">
        <w:rPr>
          <w:rFonts w:ascii="Cambria" w:hAnsi="Cambria"/>
          <w:noProof/>
          <w:sz w:val="24"/>
        </w:rPr>
        <w:t xml:space="preserve"> E668–E676.</w:t>
      </w:r>
    </w:p>
    <w:p w14:paraId="114523FE" w14:textId="67F3B713" w:rsidR="00F72E09" w:rsidRPr="00F72E09" w:rsidRDefault="00F72E09" w:rsidP="00447DB4">
      <w:pPr>
        <w:pStyle w:val="NormalWeb"/>
        <w:ind w:left="480" w:hanging="480"/>
        <w:divId w:val="1516260915"/>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54"/>
      <w:r>
        <w:t>Figure 2:</w:t>
      </w:r>
      <w:commentRangeEnd w:id="54"/>
      <w:r w:rsidR="001265D3">
        <w:rPr>
          <w:rStyle w:val="CommentReference"/>
        </w:rPr>
        <w:commentReference w:id="54"/>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2025A3"/>
    <w:p w14:paraId="30F6A869" w14:textId="04910B4A" w:rsidR="00967496" w:rsidRDefault="00967496" w:rsidP="002025A3">
      <w:r w:rsidRPr="00967496">
        <w:rPr>
          <w:b/>
        </w:rPr>
        <w:t>Figure 4: Elevated glucocorticoids result in elevated fatty acid and tryglyceride synthesis genes.</w:t>
      </w:r>
      <w:r>
        <w:t xml:space="preserve">  A) Fatty acid synthesis genes in Cushing’s and control patients. B) Fatty acid desaturases in Cushing’s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p>
    <w:p w14:paraId="079D5B77" w14:textId="77777777" w:rsidR="00A06FA4" w:rsidRDefault="00A06FA4" w:rsidP="002025A3"/>
    <w:p w14:paraId="2C0C1BDC" w14:textId="77777777" w:rsidR="002025A3" w:rsidRDefault="002025A3" w:rsidP="002025A3">
      <w:r>
        <w: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 xml:space="preserve">Figure: Expression changes of selected genes,.  mRNA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Table 2: Summarized 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Gene set enrichment analysis of gene ontology enrichment categories.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17ACBC30" w14:textId="77777777" w:rsidR="002025A3" w:rsidRDefault="002025A3" w:rsidP="002025A3">
      <w:r>
        <w:t>Supplementary Table 2: Gene set enrichment analysis of transcription factor and miRNA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r>
        <w:t>non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Table * Ceramides and glucosylceramide measurements</w:t>
      </w:r>
    </w:p>
    <w:p w14:paraId="78D61F95" w14:textId="77777777" w:rsidR="002025A3" w:rsidRDefault="002025A3" w:rsidP="002025A3">
      <w:r>
        <w:t>p value</w:t>
      </w:r>
      <w:r>
        <w:tab/>
        <w:t>non functioning adenoma</w:t>
      </w:r>
      <w:r>
        <w:tab/>
        <w:t>Cushing's disease</w:t>
      </w:r>
      <w:r>
        <w:tab/>
      </w:r>
    </w:p>
    <w:p w14:paraId="49869442" w14:textId="77777777" w:rsidR="002025A3" w:rsidRDefault="002025A3" w:rsidP="002025A3">
      <w:r>
        <w:t>0.44</w:t>
      </w:r>
      <w:r>
        <w:tab/>
        <w:t>0.30±0.009</w:t>
      </w:r>
      <w:r>
        <w:tab/>
        <w:t>0.32±0.024</w:t>
      </w:r>
      <w:r>
        <w:tab/>
        <w:t>Cer C14  (ng/mg)</w:t>
      </w:r>
    </w:p>
    <w:p w14:paraId="4AF28F01" w14:textId="77777777" w:rsidR="002025A3" w:rsidRDefault="002025A3" w:rsidP="002025A3">
      <w:r>
        <w:t>0.56</w:t>
      </w:r>
      <w:r>
        <w:tab/>
        <w:t>0.70±0.032</w:t>
      </w:r>
      <w:r>
        <w:tab/>
        <w:t>0.65±0.064</w:t>
      </w:r>
      <w:r>
        <w:tab/>
        <w:t>Cer C18:1   (ng/mg)</w:t>
      </w:r>
    </w:p>
    <w:p w14:paraId="5664E9D6" w14:textId="77777777" w:rsidR="002025A3" w:rsidRDefault="002025A3" w:rsidP="002025A3">
      <w:r>
        <w:t>0.58</w:t>
      </w:r>
      <w:r>
        <w:tab/>
        <w:t>3.4±0.355</w:t>
      </w:r>
      <w:r>
        <w:tab/>
        <w:t>3.09±0.415</w:t>
      </w:r>
      <w:r>
        <w:tab/>
        <w:t>Cer C16  (ng/mg)</w:t>
      </w:r>
    </w:p>
    <w:p w14:paraId="786B93BA" w14:textId="77777777" w:rsidR="002025A3" w:rsidRDefault="002025A3" w:rsidP="002025A3">
      <w:r>
        <w:t>0.36</w:t>
      </w:r>
      <w:r>
        <w:tab/>
        <w:t>0.43±0.012</w:t>
      </w:r>
      <w:r>
        <w:tab/>
        <w:t>0.47±0.043</w:t>
      </w:r>
      <w:r>
        <w:tab/>
        <w:t>Cer C18  (ng/mg)</w:t>
      </w:r>
    </w:p>
    <w:p w14:paraId="520F305E" w14:textId="77777777" w:rsidR="002025A3" w:rsidRDefault="002025A3" w:rsidP="002025A3">
      <w:r>
        <w:t>0.78</w:t>
      </w:r>
      <w:r>
        <w:tab/>
        <w:t>0.57±0.032</w:t>
      </w:r>
      <w:r>
        <w:tab/>
        <w:t>0.56±0.011</w:t>
      </w:r>
      <w:r>
        <w:tab/>
        <w:t>Cer C20  (ng/mg)</w:t>
      </w:r>
    </w:p>
    <w:p w14:paraId="2BBF7246" w14:textId="77777777" w:rsidR="002025A3" w:rsidRDefault="002025A3" w:rsidP="002025A3">
      <w:r>
        <w:t>0.96</w:t>
      </w:r>
      <w:r>
        <w:tab/>
        <w:t>7165±1260</w:t>
      </w:r>
      <w:r>
        <w:tab/>
        <w:t>7072±1274</w:t>
      </w:r>
      <w:r>
        <w:tab/>
        <w:t>Cer C22 (area)</w:t>
      </w:r>
    </w:p>
    <w:p w14:paraId="6A8F9F06" w14:textId="77777777" w:rsidR="002025A3" w:rsidRDefault="002025A3" w:rsidP="002025A3">
      <w:r>
        <w:t>0.30</w:t>
      </w:r>
      <w:r>
        <w:tab/>
        <w:t>7723±2073</w:t>
      </w:r>
      <w:r>
        <w:tab/>
        <w:t>5122±1277</w:t>
      </w:r>
      <w:r>
        <w:tab/>
        <w:t>Cer C24:1 (area)</w:t>
      </w:r>
    </w:p>
    <w:p w14:paraId="22D4A0D8" w14:textId="77777777" w:rsidR="002025A3" w:rsidRDefault="002025A3" w:rsidP="002025A3">
      <w:r>
        <w:t>0.56</w:t>
      </w:r>
      <w:r>
        <w:tab/>
        <w:t>4.26±0.578</w:t>
      </w:r>
      <w:r>
        <w:tab/>
        <w:t>6.77±3.79</w:t>
      </w:r>
      <w:r>
        <w:tab/>
        <w:t>Cer C24  (ng/mg)</w:t>
      </w:r>
    </w:p>
    <w:p w14:paraId="522B3504" w14:textId="77777777" w:rsidR="002025A3" w:rsidRDefault="002025A3" w:rsidP="002025A3">
      <w:r>
        <w:t>0.75</w:t>
      </w:r>
      <w:r>
        <w:tab/>
        <w:t>0.32±0.028</w:t>
      </w:r>
      <w:r>
        <w:tab/>
        <w:t>0.30±0.05</w:t>
      </w:r>
      <w:r>
        <w:tab/>
        <w:t>Glu-Cer C16  (ng/mg)</w:t>
      </w:r>
    </w:p>
    <w:p w14:paraId="5E9DBD48" w14:textId="77777777" w:rsidR="002025A3" w:rsidRDefault="002025A3" w:rsidP="002025A3">
      <w:r>
        <w:t>0.49</w:t>
      </w:r>
      <w:r>
        <w:tab/>
        <w:t>0.38±0.013</w:t>
      </w:r>
      <w:r>
        <w:tab/>
        <w:t>0.36±0.014</w:t>
      </w:r>
      <w:r>
        <w:tab/>
        <w:t>Glu-Cer C18  (ng/mg)</w:t>
      </w:r>
    </w:p>
    <w:p w14:paraId="64736366" w14:textId="77777777" w:rsidR="002025A3" w:rsidRDefault="002025A3" w:rsidP="002025A3">
      <w:r>
        <w:t>0.43</w:t>
      </w:r>
      <w:r>
        <w:tab/>
        <w:t>0.18±0.0042</w:t>
      </w:r>
      <w:r>
        <w:tab/>
        <w:t>0.19±0.0059</w:t>
      </w:r>
      <w:r>
        <w:tab/>
        <w:t>Glu-Cer C18:1  (ng/mg)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5D7786" w:rsidRDefault="005D7786">
      <w:pPr>
        <w:pStyle w:val="CommentText"/>
      </w:pPr>
      <w:r>
        <w:rPr>
          <w:rStyle w:val="CommentReference"/>
        </w:rPr>
        <w:annotationRef/>
      </w:r>
      <w:r>
        <w:t>This needs to be more direct</w:t>
      </w:r>
    </w:p>
  </w:comment>
  <w:comment w:id="1" w:author="Dave Bridges" w:date="2015-02-22T15:11:00Z" w:initials="DB">
    <w:p w14:paraId="4BAC4F36" w14:textId="77777777" w:rsidR="005D7786" w:rsidRDefault="005D7786">
      <w:pPr>
        <w:pStyle w:val="CommentText"/>
      </w:pPr>
      <w:r>
        <w:rPr>
          <w:rStyle w:val="CommentReference"/>
        </w:rPr>
        <w:annotationRef/>
      </w:r>
      <w:r>
        <w:t>Fill this in at the end</w:t>
      </w:r>
    </w:p>
  </w:comment>
  <w:comment w:id="2" w:author="Dave Bridges" w:date="2015-02-22T15:12:00Z" w:initials="DB">
    <w:p w14:paraId="2C67A61B" w14:textId="77777777" w:rsidR="005D7786" w:rsidRDefault="005D7786">
      <w:pPr>
        <w:pStyle w:val="CommentText"/>
      </w:pPr>
      <w:r>
        <w:rPr>
          <w:rStyle w:val="CommentReference"/>
        </w:rPr>
        <w:annotationRef/>
      </w:r>
      <w:r>
        <w:t>Need to rewrite</w:t>
      </w:r>
    </w:p>
  </w:comment>
  <w:comment w:id="3" w:author="Dave Bridges" w:date="2015-02-22T16:48:00Z" w:initials="DB">
    <w:p w14:paraId="2650D26A" w14:textId="21B8B224" w:rsidR="005D7786" w:rsidRDefault="005D7786">
      <w:pPr>
        <w:pStyle w:val="CommentText"/>
      </w:pPr>
      <w:r>
        <w:rPr>
          <w:rStyle w:val="CommentReference"/>
        </w:rPr>
        <w:annotationRef/>
      </w:r>
      <w:r>
        <w:t xml:space="preserve">Irit, what condition are you talking about here, </w:t>
      </w:r>
    </w:p>
  </w:comment>
  <w:comment w:id="4" w:author="Dave Bridges" w:date="2015-02-22T16:47:00Z" w:initials="DB">
    <w:p w14:paraId="68B78DB4" w14:textId="06A54E66" w:rsidR="005D7786" w:rsidRDefault="005D7786">
      <w:pPr>
        <w:pStyle w:val="CommentText"/>
      </w:pPr>
      <w:r>
        <w:rPr>
          <w:rStyle w:val="CommentReference"/>
        </w:rPr>
        <w:annotationRef/>
      </w:r>
      <w:r>
        <w:t>Irit what are these re ferences</w:t>
      </w:r>
    </w:p>
  </w:comment>
  <w:comment w:id="5" w:author="Dave Bridges" w:date="2015-02-22T16:49:00Z" w:initials="DB">
    <w:p w14:paraId="3A41E661" w14:textId="7B0BAB17" w:rsidR="005D7786" w:rsidRDefault="005D7786">
      <w:pPr>
        <w:pStyle w:val="CommentText"/>
      </w:pPr>
      <w:r>
        <w:rPr>
          <w:rStyle w:val="CommentReference"/>
        </w:rPr>
        <w:annotationRef/>
      </w:r>
      <w:r>
        <w:t>Need ref</w:t>
      </w:r>
    </w:p>
  </w:comment>
  <w:comment w:id="6" w:author="Dave Bridges" w:date="2015-02-22T16:49:00Z" w:initials="DB">
    <w:p w14:paraId="2EE3131C" w14:textId="595B2D74" w:rsidR="005D7786" w:rsidRDefault="005D7786">
      <w:pPr>
        <w:pStyle w:val="CommentText"/>
      </w:pPr>
      <w:r>
        <w:rPr>
          <w:rStyle w:val="CommentReference"/>
        </w:rPr>
        <w:annotationRef/>
      </w:r>
      <w:r>
        <w:t>Need fref</w:t>
      </w:r>
    </w:p>
  </w:comment>
  <w:comment w:id="7" w:author="Dave Bridges" w:date="2015-02-22T17:03:00Z" w:initials="DB">
    <w:p w14:paraId="76AB651C" w14:textId="0CDE832A" w:rsidR="005D7786" w:rsidRDefault="005D7786">
      <w:pPr>
        <w:pStyle w:val="CommentText"/>
      </w:pPr>
      <w:r>
        <w:rPr>
          <w:rStyle w:val="CommentReference"/>
        </w:rPr>
        <w:annotationRef/>
      </w:r>
      <w:r>
        <w:t>Quynh which version of MiSigDB was used here.</w:t>
      </w:r>
    </w:p>
  </w:comment>
  <w:comment w:id="8" w:author="Dave Bridges" w:date="2015-02-22T16:57:00Z" w:initials="DB">
    <w:p w14:paraId="7B1B1780" w14:textId="0B458A0A" w:rsidR="005D7786" w:rsidRDefault="005D7786">
      <w:pPr>
        <w:pStyle w:val="CommentText"/>
      </w:pPr>
      <w:r>
        <w:rPr>
          <w:rStyle w:val="CommentReference"/>
        </w:rPr>
        <w:annotationRef/>
      </w:r>
      <w:r>
        <w:t>Quynh can you do this</w:t>
      </w:r>
    </w:p>
  </w:comment>
  <w:comment w:id="9" w:author="Dave Bridges" w:date="2015-02-22T16:58:00Z" w:initials="DB">
    <w:p w14:paraId="0C54B57B" w14:textId="2986E505" w:rsidR="005D7786" w:rsidRDefault="005D7786">
      <w:pPr>
        <w:pStyle w:val="CommentText"/>
      </w:pPr>
      <w:r>
        <w:rPr>
          <w:rStyle w:val="CommentReference"/>
        </w:rPr>
        <w:annotationRef/>
      </w:r>
      <w:r>
        <w:t>This will become a zenodo dataset DOI once we are ready to go</w:t>
      </w:r>
    </w:p>
  </w:comment>
  <w:comment w:id="10" w:author="Dave Bridges" w:date="2015-02-24T11:37:00Z" w:initials="DB">
    <w:p w14:paraId="1E0EEFD7" w14:textId="78990731" w:rsidR="005D7786" w:rsidRDefault="005D7786">
      <w:pPr>
        <w:pStyle w:val="CommentText"/>
      </w:pPr>
      <w:r>
        <w:rPr>
          <w:rStyle w:val="CommentReference"/>
        </w:rPr>
        <w:annotationRef/>
      </w:r>
      <w:r>
        <w:t>Mention this as a drawback in the discussion</w:t>
      </w:r>
    </w:p>
  </w:comment>
  <w:comment w:id="11" w:author="Irit Hochberg" w:date="2015-02-25T15:06:00Z" w:initials="IH">
    <w:p w14:paraId="564761B7" w14:textId="2D6F1D29" w:rsidR="005D7786" w:rsidRDefault="005D7786">
      <w:pPr>
        <w:pStyle w:val="CommentText"/>
      </w:pPr>
      <w:r>
        <w:rPr>
          <w:rStyle w:val="CommentReference"/>
        </w:rPr>
        <w:annotationRef/>
      </w:r>
      <w:r>
        <w:t>See my concerns and summary in the email</w:t>
      </w:r>
    </w:p>
  </w:comment>
  <w:comment w:id="12" w:author="Dave Bridges" w:date="2015-02-25T09:46:00Z" w:initials="DB">
    <w:p w14:paraId="133E1E49" w14:textId="137FF199" w:rsidR="005D7786" w:rsidRDefault="005D7786">
      <w:pPr>
        <w:pStyle w:val="CommentText"/>
      </w:pPr>
      <w:r>
        <w:rPr>
          <w:rStyle w:val="CommentReference"/>
        </w:rPr>
        <w:annotationRef/>
      </w:r>
      <w:r>
        <w:t>Irit, need ref</w:t>
      </w:r>
    </w:p>
  </w:comment>
  <w:comment w:id="13" w:author="Dave Bridges" w:date="2015-02-25T09:45:00Z" w:initials="DB">
    <w:p w14:paraId="280826A0" w14:textId="4F2F5A72" w:rsidR="005D7786" w:rsidRDefault="005D7786">
      <w:pPr>
        <w:pStyle w:val="CommentText"/>
      </w:pPr>
      <w:r>
        <w:rPr>
          <w:rStyle w:val="CommentReference"/>
        </w:rPr>
        <w:annotationRef/>
      </w:r>
      <w:r>
        <w:t>Irit what is this p-value from, I did a Fisher test on this and got a p=0.063, and a chi-sq test on it and got 0.1195</w:t>
      </w:r>
    </w:p>
  </w:comment>
  <w:comment w:id="14" w:author="Dave Bridges" w:date="2015-02-24T12:04:00Z" w:initials="DB">
    <w:p w14:paraId="089355D8" w14:textId="18F20F2A" w:rsidR="005D7786" w:rsidRDefault="005D7786">
      <w:pPr>
        <w:pStyle w:val="CommentText"/>
      </w:pPr>
      <w:r>
        <w:rPr>
          <w:rStyle w:val="CommentReference"/>
        </w:rPr>
        <w:annotationRef/>
      </w:r>
      <w:r>
        <w:t>Irit/Innocence can you please find some supporting references for this in humans</w:t>
      </w:r>
    </w:p>
  </w:comment>
  <w:comment w:id="15" w:author="Irit Hochberg" w:date="2015-02-25T15:05:00Z" w:initials="IH">
    <w:p w14:paraId="6CBE7E6F" w14:textId="6479410C" w:rsidR="005D7786" w:rsidRDefault="005D7786">
      <w:pPr>
        <w:pStyle w:val="CommentText"/>
      </w:pPr>
      <w:r>
        <w:rPr>
          <w:rStyle w:val="CommentReference"/>
        </w:rPr>
        <w:annotationRef/>
      </w:r>
      <w:r>
        <w:t>I have these references someplace, will search</w:t>
      </w:r>
    </w:p>
  </w:comment>
  <w:comment w:id="16" w:author="Dave Bridges" w:date="2015-02-22T15:24:00Z" w:initials="DB">
    <w:p w14:paraId="786F84B0" w14:textId="0ECE11A9" w:rsidR="005D7786" w:rsidRDefault="005D7786">
      <w:pPr>
        <w:pStyle w:val="CommentText"/>
      </w:pPr>
      <w:r>
        <w:rPr>
          <w:rStyle w:val="CommentReference"/>
        </w:rPr>
        <w:annotationRef/>
      </w:r>
      <w:r>
        <w:t>Innocence we need references for this statement</w:t>
      </w:r>
    </w:p>
  </w:comment>
  <w:comment w:id="17" w:author="Dave Bridges" w:date="2015-02-22T15:28:00Z" w:initials="DB">
    <w:p w14:paraId="27CDD131" w14:textId="690CB4E5" w:rsidR="005D7786" w:rsidRDefault="005D7786">
      <w:pPr>
        <w:pStyle w:val="CommentText"/>
      </w:pPr>
      <w:r>
        <w:rPr>
          <w:rStyle w:val="CommentReference"/>
        </w:rPr>
        <w:annotationRef/>
      </w:r>
      <w:r>
        <w:t>Innocence when was this?</w:t>
      </w:r>
    </w:p>
  </w:comment>
  <w:comment w:id="18" w:author="Dave Bridges" w:date="2015-02-22T16:17:00Z" w:initials="DB">
    <w:p w14:paraId="48056147" w14:textId="0B7A5598" w:rsidR="005D7786" w:rsidRDefault="005D7786">
      <w:pPr>
        <w:pStyle w:val="CommentText"/>
      </w:pPr>
      <w:r>
        <w:rPr>
          <w:rStyle w:val="CommentReference"/>
        </w:rPr>
        <w:annotationRef/>
      </w:r>
      <w:r>
        <w:t>We should compare these genes to known GR targets from Yu et al, TRANSFAC and the lung paper.</w:t>
      </w:r>
    </w:p>
  </w:comment>
  <w:comment w:id="19" w:author="Dave Bridges" w:date="2015-02-22T15:48:00Z" w:initials="DB">
    <w:p w14:paraId="305A620B" w14:textId="7B014E51" w:rsidR="005D7786" w:rsidRDefault="005D7786">
      <w:pPr>
        <w:pStyle w:val="CommentText"/>
      </w:pPr>
      <w:r>
        <w:rPr>
          <w:rStyle w:val="CommentReference"/>
        </w:rPr>
        <w:annotationRef/>
      </w:r>
      <w:r>
        <w:t>I may have these backwards</w:t>
      </w:r>
    </w:p>
  </w:comment>
  <w:comment w:id="20" w:author="Dave Bridges" w:date="2015-02-24T15:05:00Z" w:initials="DB">
    <w:p w14:paraId="73C547CE" w14:textId="63DA97E4" w:rsidR="005D7786" w:rsidRDefault="005D7786">
      <w:pPr>
        <w:pStyle w:val="CommentText"/>
      </w:pPr>
      <w:r>
        <w:rPr>
          <w:rStyle w:val="CommentReference"/>
        </w:rPr>
        <w:annotationRef/>
      </w:r>
      <w:r>
        <w:t>Fold change?  Was this significant?</w:t>
      </w:r>
    </w:p>
  </w:comment>
  <w:comment w:id="21" w:author="Dave Bridges" w:date="2015-02-24T15:04:00Z" w:initials="DB">
    <w:p w14:paraId="6CC1C116" w14:textId="77777777" w:rsidR="005D7786" w:rsidRDefault="005D7786" w:rsidP="001265D3">
      <w:pPr>
        <w:pStyle w:val="CommentText"/>
      </w:pPr>
      <w:r>
        <w:rPr>
          <w:rStyle w:val="CommentReference"/>
        </w:rPr>
        <w:annotationRef/>
      </w:r>
      <w:r>
        <w:t>Fold change needed</w:t>
      </w:r>
    </w:p>
  </w:comment>
  <w:comment w:id="22" w:author="Dave Bridges" w:date="2015-02-22T16:02:00Z" w:initials="DB">
    <w:p w14:paraId="42FEE073" w14:textId="2BCE1B55" w:rsidR="005D7786" w:rsidRDefault="005D7786">
      <w:pPr>
        <w:pStyle w:val="CommentText"/>
      </w:pPr>
      <w:r>
        <w:rPr>
          <w:rStyle w:val="CommentReference"/>
        </w:rPr>
        <w:annotationRef/>
      </w:r>
      <w:r>
        <w:t>Innocence can you summarise this in context of the biochemical pathway</w:t>
      </w:r>
    </w:p>
  </w:comment>
  <w:comment w:id="25" w:author="Dave Bridges" w:date="2015-02-22T16:17:00Z" w:initials="DB">
    <w:p w14:paraId="7AE60278" w14:textId="6115A88B" w:rsidR="005D7786" w:rsidRDefault="005D7786">
      <w:pPr>
        <w:pStyle w:val="CommentText"/>
      </w:pPr>
      <w:r>
        <w:rPr>
          <w:rStyle w:val="CommentReference"/>
        </w:rPr>
        <w:annotationRef/>
      </w:r>
      <w:r>
        <w:t>Irit, I think this is the wrong reference, this was the adipose CHIPseq paper</w:t>
      </w:r>
    </w:p>
  </w:comment>
  <w:comment w:id="26" w:author="Irit Hochberg" w:date="2015-02-25T15:04:00Z" w:initials="IH">
    <w:p w14:paraId="2EE1ACF6" w14:textId="0D7F6E7E" w:rsidR="005D7786" w:rsidRDefault="005D7786">
      <w:pPr>
        <w:pStyle w:val="CommentText"/>
      </w:pPr>
      <w:r>
        <w:rPr>
          <w:rStyle w:val="CommentReference"/>
        </w:rPr>
        <w:annotationRef/>
      </w:r>
      <w:r>
        <w:t>Will search</w:t>
      </w:r>
    </w:p>
  </w:comment>
  <w:comment w:id="28" w:author="Irit Hochberg" w:date="2015-02-25T14:55:00Z" w:initials="IH">
    <w:p w14:paraId="1CA80F7C" w14:textId="7BC6E5D0" w:rsidR="005D7786" w:rsidRDefault="005D7786" w:rsidP="009A7741">
      <w:pPr>
        <w:pStyle w:val="CommentText"/>
      </w:pPr>
      <w:r>
        <w:rPr>
          <w:rStyle w:val="CommentReference"/>
        </w:rPr>
        <w:annotationRef/>
      </w:r>
      <w:r>
        <w:t>Most are involved in cholesterol synthesis, a few in steroid synthesis or inactivation.</w:t>
      </w:r>
    </w:p>
  </w:comment>
  <w:comment w:id="27" w:author="Dave Bridges" w:date="2015-02-24T15:54:00Z" w:initials="DB">
    <w:p w14:paraId="29FD779E" w14:textId="62601C14" w:rsidR="005D7786" w:rsidRDefault="005D7786">
      <w:pPr>
        <w:pStyle w:val="CommentText"/>
      </w:pPr>
      <w:r>
        <w:rPr>
          <w:rStyle w:val="CommentReference"/>
        </w:rPr>
        <w:annotationRef/>
      </w:r>
      <w:r>
        <w:t>Irit, is there some context for these enzymes, are they all positive mediators of cholesterol biosynthesis?</w:t>
      </w:r>
    </w:p>
  </w:comment>
  <w:comment w:id="29" w:author="Dave Bridges" w:date="2015-02-24T16:07:00Z" w:initials="DB">
    <w:p w14:paraId="731E32DE" w14:textId="113F4630" w:rsidR="005D7786" w:rsidRDefault="005D7786">
      <w:pPr>
        <w:pStyle w:val="CommentText"/>
      </w:pPr>
      <w:r>
        <w:rPr>
          <w:rStyle w:val="CommentReference"/>
        </w:rPr>
        <w:annotationRef/>
      </w:r>
      <w:r>
        <w:t>Innocence what genes were the darkest colors in your diagram.  Also I need you to put this schematic in Figure 5</w:t>
      </w:r>
    </w:p>
  </w:comment>
  <w:comment w:id="30" w:author="Dave Bridges" w:date="2015-02-25T10:08:00Z" w:initials="DB">
    <w:p w14:paraId="52BCF666" w14:textId="1DF55FA2" w:rsidR="00E61546" w:rsidRDefault="00E61546">
      <w:pPr>
        <w:pStyle w:val="CommentText"/>
      </w:pPr>
      <w:r>
        <w:rPr>
          <w:rStyle w:val="CommentReference"/>
        </w:rPr>
        <w:annotationRef/>
      </w:r>
      <w:r>
        <w:t>Need KEGG ID</w:t>
      </w:r>
    </w:p>
  </w:comment>
  <w:comment w:id="31" w:author="Dave Bridges" w:date="2015-02-24T10:58:00Z" w:initials="DB">
    <w:p w14:paraId="417C4324" w14:textId="5AC4CAE7" w:rsidR="005D7786" w:rsidRDefault="005D7786">
      <w:pPr>
        <w:pStyle w:val="CommentText"/>
      </w:pPr>
      <w:r>
        <w:rPr>
          <w:rStyle w:val="CommentReference"/>
        </w:rPr>
        <w:annotationRef/>
      </w:r>
      <w:r>
        <w:t>Need NES (KEGG)</w:t>
      </w:r>
    </w:p>
  </w:comment>
  <w:comment w:id="33" w:author="Irit Hochberg" w:date="2015-02-25T13:25:00Z" w:initials="IH">
    <w:p w14:paraId="413DA199" w14:textId="40D4DCE7" w:rsidR="005D7786" w:rsidRDefault="005D7786" w:rsidP="00900C37">
      <w:pPr>
        <w:pStyle w:val="CommentText"/>
      </w:pPr>
      <w:r>
        <w:rPr>
          <w:rStyle w:val="CommentReference"/>
        </w:rPr>
        <w:annotationRef/>
      </w:r>
      <w:r>
        <w:t>Cathepsins trended to be induced q=0.1 for CTSB and q=0.35 for CTSD. Other cathepsins trended to be induced too (even less significantly) and the pathway was signifiant.</w:t>
      </w:r>
    </w:p>
  </w:comment>
  <w:comment w:id="32" w:author="Dave Bridges" w:date="2015-02-24T10:44:00Z" w:initials="DB">
    <w:p w14:paraId="61905D47" w14:textId="06F456E2" w:rsidR="005D7786" w:rsidRDefault="005D7786">
      <w:pPr>
        <w:pStyle w:val="CommentText"/>
      </w:pPr>
      <w:r>
        <w:rPr>
          <w:rStyle w:val="CommentReference"/>
        </w:rPr>
        <w:annotationRef/>
      </w:r>
      <w:r>
        <w:t>Did we observe this?</w:t>
      </w:r>
    </w:p>
  </w:comment>
  <w:comment w:id="34" w:author="Irit Hochberg" w:date="2015-02-25T13:25:00Z" w:initials="IH">
    <w:p w14:paraId="1B6F7ECF" w14:textId="518E50B3" w:rsidR="005D7786" w:rsidRDefault="005D7786">
      <w:pPr>
        <w:pStyle w:val="CommentText"/>
      </w:pPr>
      <w:r>
        <w:rPr>
          <w:rStyle w:val="CommentReference"/>
        </w:rPr>
        <w:annotationRef/>
      </w:r>
      <w:r>
        <w:t>Calpain wasn't significantly induced</w:t>
      </w:r>
    </w:p>
  </w:comment>
  <w:comment w:id="36" w:author="Irit Hochberg" w:date="2015-02-25T13:17:00Z" w:initials="IH">
    <w:p w14:paraId="07DC636F" w14:textId="1145E3B7" w:rsidR="005D7786" w:rsidRDefault="005D7786" w:rsidP="00044176">
      <w:pPr>
        <w:pStyle w:val="CommentText"/>
      </w:pPr>
      <w:r>
        <w:rPr>
          <w:rStyle w:val="CommentReference"/>
        </w:rPr>
        <w:annotationRef/>
      </w:r>
      <w:r>
        <w:t>I meant that we see the changes that were mentioned in the review (the figure I sent you). You're welcome to rephrase if this isn't clear.</w:t>
      </w:r>
    </w:p>
  </w:comment>
  <w:comment w:id="35" w:author="Dave Bridges" w:date="2015-02-24T10:56:00Z" w:initials="DB">
    <w:p w14:paraId="11DFC2E1" w14:textId="42375CD5" w:rsidR="005D7786" w:rsidRDefault="005D7786">
      <w:pPr>
        <w:pStyle w:val="CommentText"/>
      </w:pPr>
      <w:r>
        <w:rPr>
          <w:rStyle w:val="CommentReference"/>
        </w:rPr>
        <w:annotationRef/>
      </w:r>
      <w:r>
        <w:t>Irit, im not sure what you mean here?</w:t>
      </w:r>
    </w:p>
  </w:comment>
  <w:comment w:id="39" w:author="Dave Bridges" w:date="2015-02-25T10:05:00Z" w:initials="DB">
    <w:p w14:paraId="0BD42A12" w14:textId="37CAFCCD" w:rsidR="00F94399" w:rsidRDefault="00F94399">
      <w:pPr>
        <w:pStyle w:val="CommentText"/>
      </w:pPr>
      <w:ins w:id="41" w:author="Dave Bridges" w:date="2015-02-25T10:05:00Z">
        <w:r>
          <w:rPr>
            <w:rStyle w:val="CommentReference"/>
          </w:rPr>
          <w:annotationRef/>
        </w:r>
      </w:ins>
      <w:r>
        <w:t>Do we know this?  Can we check their charts?</w:t>
      </w:r>
    </w:p>
  </w:comment>
  <w:comment w:id="49" w:author="Dave Bridges" w:date="2015-02-24T11:24:00Z" w:initials="DB">
    <w:p w14:paraId="1E6A14F2" w14:textId="384F48E4" w:rsidR="005D7786" w:rsidRDefault="005D7786">
      <w:pPr>
        <w:pStyle w:val="CommentText"/>
      </w:pPr>
      <w:r>
        <w:rPr>
          <w:rStyle w:val="CommentReference"/>
        </w:rPr>
        <w:annotationRef/>
      </w:r>
      <w:r>
        <w:t>Irit, it might be good to ask Alan what grant he would like to put down.</w:t>
      </w:r>
    </w:p>
  </w:comment>
  <w:comment w:id="50" w:author="Dave Bridges" w:date="2015-02-24T11:23:00Z" w:initials="DB">
    <w:p w14:paraId="0B712E75" w14:textId="0D6C3815" w:rsidR="005D7786" w:rsidRDefault="005D7786">
      <w:pPr>
        <w:pStyle w:val="CommentText"/>
      </w:pPr>
      <w:r>
        <w:rPr>
          <w:rStyle w:val="CommentReference"/>
        </w:rPr>
        <w:annotationRef/>
      </w:r>
      <w:r>
        <w:t>Irit, can you put alan, William and arial in here somewhere.</w:t>
      </w:r>
    </w:p>
  </w:comment>
  <w:comment w:id="53" w:author="Dave Bridges" w:date="2015-02-22T16:59:00Z" w:initials="DB">
    <w:p w14:paraId="2E0E6581" w14:textId="7B4067EA" w:rsidR="005D7786" w:rsidRDefault="005D7786">
      <w:pPr>
        <w:pStyle w:val="CommentText"/>
      </w:pPr>
      <w:r>
        <w:rPr>
          <w:rStyle w:val="CommentReference"/>
        </w:rPr>
        <w:annotationRef/>
      </w:r>
      <w:r>
        <w:t>Need a funding section, also  we need to thank the P-grant that the metabolomics core used, and the UTHSC MRC</w:t>
      </w:r>
    </w:p>
  </w:comment>
  <w:comment w:id="54" w:author="Dave Bridges" w:date="2015-02-24T15:04:00Z" w:initials="DB">
    <w:p w14:paraId="178CEAA8" w14:textId="41B21C63" w:rsidR="005D7786" w:rsidRDefault="005D7786">
      <w:pPr>
        <w:pStyle w:val="CommentText"/>
      </w:pPr>
      <w:r>
        <w:rPr>
          <w:rStyle w:val="CommentReference"/>
        </w:rPr>
        <w:annotationRef/>
      </w:r>
      <w:r>
        <w:t>Innocence please write this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5D7786" w:rsidRDefault="005D7786" w:rsidP="002025A3">
      <w:r>
        <w:separator/>
      </w:r>
    </w:p>
  </w:endnote>
  <w:endnote w:type="continuationSeparator" w:id="0">
    <w:p w14:paraId="404996A2" w14:textId="77777777" w:rsidR="005D7786" w:rsidRDefault="005D7786"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5D7786" w:rsidRDefault="005D7786" w:rsidP="002025A3">
      <w:r>
        <w:separator/>
      </w:r>
    </w:p>
  </w:footnote>
  <w:footnote w:type="continuationSeparator" w:id="0">
    <w:p w14:paraId="2DAD4D69" w14:textId="77777777" w:rsidR="005D7786" w:rsidRDefault="005D7786"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44176"/>
    <w:rsid w:val="000D7EE2"/>
    <w:rsid w:val="000F1BFF"/>
    <w:rsid w:val="00122DD7"/>
    <w:rsid w:val="001265D3"/>
    <w:rsid w:val="00154286"/>
    <w:rsid w:val="00155D0E"/>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2180"/>
    <w:rsid w:val="003741B0"/>
    <w:rsid w:val="003A7A2D"/>
    <w:rsid w:val="003B269B"/>
    <w:rsid w:val="003D4413"/>
    <w:rsid w:val="004276D8"/>
    <w:rsid w:val="00447DB4"/>
    <w:rsid w:val="00495873"/>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908AD"/>
    <w:rsid w:val="007C2C1C"/>
    <w:rsid w:val="007D5F8A"/>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7741"/>
    <w:rsid w:val="009A7B5D"/>
    <w:rsid w:val="009D5AE7"/>
    <w:rsid w:val="00A0255B"/>
    <w:rsid w:val="00A06FA4"/>
    <w:rsid w:val="00A12B51"/>
    <w:rsid w:val="00A20F23"/>
    <w:rsid w:val="00A34EF3"/>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F14C9"/>
    <w:rsid w:val="00C103F7"/>
    <w:rsid w:val="00C50DF5"/>
    <w:rsid w:val="00C54DB8"/>
    <w:rsid w:val="00C93467"/>
    <w:rsid w:val="00CA0833"/>
    <w:rsid w:val="00CD160B"/>
    <w:rsid w:val="00CF4895"/>
    <w:rsid w:val="00D07D33"/>
    <w:rsid w:val="00D12603"/>
    <w:rsid w:val="00D83BEB"/>
    <w:rsid w:val="00D92207"/>
    <w:rsid w:val="00D9724C"/>
    <w:rsid w:val="00DC1A40"/>
    <w:rsid w:val="00DC3261"/>
    <w:rsid w:val="00DD07FE"/>
    <w:rsid w:val="00E318EB"/>
    <w:rsid w:val="00E61546"/>
    <w:rsid w:val="00E83CAE"/>
    <w:rsid w:val="00E914B3"/>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18889</Words>
  <Characters>107668</Characters>
  <Application>Microsoft Macintosh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126305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8</cp:revision>
  <dcterms:created xsi:type="dcterms:W3CDTF">2015-02-25T15:36:00Z</dcterms:created>
  <dcterms:modified xsi:type="dcterms:W3CDTF">2015-02-25T16:13:00Z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