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1"/>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1"/>
    <w:p w14:paraId="16859734" w14:textId="3D9BA93E" w:rsidR="002025A3" w:rsidRDefault="002025A3" w:rsidP="002025A3">
      <w:r>
        <w:rPr>
          <w:rStyle w:val="CommentReference"/>
        </w:rPr>
        <w:commentReference w:id="1"/>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F9E4F91"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2" w:author="Innocence Harvey" w:date="2015-02-26T14:00:00Z">
        <w:r w:rsidR="00371B43" w:rsidDel="003C77EE">
          <w:delText xml:space="preserve"> </w:delText>
        </w:r>
      </w:del>
      <w:r w:rsidR="00371B43">
        <w:t>weight per mouse per week per cage.</w:t>
      </w:r>
      <w:ins w:id="3" w:author="Innocence Harvey" w:date="2015-02-26T14:00:00Z">
        <w:r w:rsidR="003C77EE">
          <w:t xml:space="preserve"> </w:t>
        </w:r>
      </w:ins>
      <w:ins w:id="4" w:author="Innocence Harvey" w:date="2015-02-26T14:01:00Z">
        <w:r w:rsidR="003C77EE">
          <w:t>All mice were on a normal chow diet.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5"/>
      <w:r>
        <w:t>Quantitative Real-Time PCR</w:t>
      </w:r>
      <w:commentRangeEnd w:id="5"/>
      <w:r w:rsidR="00224A1A">
        <w:rPr>
          <w:rStyle w:val="CommentReference"/>
          <w:rFonts w:asciiTheme="minorHAnsi" w:eastAsiaTheme="minorEastAsia" w:hAnsiTheme="minorHAnsi" w:cstheme="minorBidi"/>
          <w:b w:val="0"/>
          <w:bCs w:val="0"/>
          <w:color w:val="auto"/>
        </w:rPr>
        <w:commentReference w:id="5"/>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w:t>
      </w:r>
      <w:r>
        <w:lastRenderedPageBreak/>
        <w:t xml:space="preserve">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6"/>
      <w:r>
        <w:t xml:space="preserve">microRNA target gene sets. </w:t>
      </w:r>
      <w:commentRangeEnd w:id="6"/>
      <w:r w:rsidR="003218D6">
        <w:rPr>
          <w:rStyle w:val="CommentReference"/>
        </w:rPr>
        <w:commentReference w:id="6"/>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7"/>
      <w:r w:rsidR="007908AD">
        <w:t>GSEXXXXX</w:t>
      </w:r>
      <w:commentRangeEnd w:id="7"/>
      <w:r w:rsidR="007908AD">
        <w:rPr>
          <w:rStyle w:val="CommentReference"/>
        </w:rPr>
        <w:commentReference w:id="7"/>
      </w:r>
      <w:r w:rsidR="007908AD">
        <w:t xml:space="preserve">) and at </w:t>
      </w:r>
      <w:commentRangeStart w:id="8"/>
      <w:r w:rsidR="008D20DD" w:rsidRPr="008D20DD">
        <w:t>http://bridgeslab.github.io/CushingAcromegalyStudy/</w:t>
      </w:r>
      <w:commentRangeEnd w:id="8"/>
      <w:r w:rsidR="008D20DD">
        <w:rPr>
          <w:rStyle w:val="CommentReference"/>
        </w:rPr>
        <w:commentReference w:id="8"/>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6A1C7C88"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w:t>
      </w:r>
      <w:commentRangeStart w:id="9"/>
      <w:r>
        <w:t>reported</w:t>
      </w:r>
      <w:commentRangeEnd w:id="9"/>
      <w:r>
        <w:rPr>
          <w:rStyle w:val="CommentReference"/>
        </w:rPr>
        <w:commentReference w:id="9"/>
      </w:r>
      <w:r>
        <w:t>.</w:t>
      </w:r>
      <w:r w:rsidR="00F36835">
        <w:t xml:space="preserve">  After </w:t>
      </w:r>
      <w:r w:rsidR="00F36835">
        <w:lastRenderedPageBreak/>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10"/>
      <w:r w:rsidR="00521A96">
        <w:t xml:space="preserve">473 </w:t>
      </w:r>
      <w:r>
        <w:t xml:space="preserve">genes </w:t>
      </w:r>
      <w:commentRangeEnd w:id="10"/>
      <w:r w:rsidR="00270104">
        <w:rPr>
          <w:rStyle w:val="CommentReference"/>
        </w:rPr>
        <w:commentReference w:id="1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11"/>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11"/>
    <w:p w14:paraId="7455B13E" w14:textId="77777777" w:rsidR="002025A3" w:rsidRDefault="00260B2D" w:rsidP="002025A3">
      <w:r>
        <w:rPr>
          <w:rStyle w:val="CommentReference"/>
        </w:rPr>
        <w:commentReference w:id="11"/>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 xml:space="preserve">also been </w:t>
      </w:r>
      <w:r w:rsidR="00711A42">
        <w:lastRenderedPageBreak/>
        <w:t>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12"/>
      <w:proofErr w:type="spellStart"/>
      <w:r w:rsidR="005E4873">
        <w:t>ceramides</w:t>
      </w:r>
      <w:proofErr w:type="spellEnd"/>
      <w:r w:rsidR="005E4873">
        <w:t xml:space="preserve"> </w:t>
      </w:r>
      <w:commentRangeEnd w:id="12"/>
      <w:r w:rsidR="00DB2ED9">
        <w:rPr>
          <w:rStyle w:val="CommentReference"/>
        </w:rPr>
        <w:commentReference w:id="12"/>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lastRenderedPageBreak/>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13"/>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13"/>
      <w:r w:rsidR="00B60B15">
        <w:rPr>
          <w:rStyle w:val="CommentReference"/>
        </w:rPr>
        <w:commentReference w:id="13"/>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01C079CE" w:rsidR="00F21DE7" w:rsidRPr="00F21DE7" w:rsidRDefault="009D5AE7" w:rsidP="00F21DE7">
      <w:pPr>
        <w:rPr>
          <w:ins w:id="14" w:author="Innocence Harvey" w:date="2015-02-26T13:50:00Z"/>
        </w:rPr>
      </w:pPr>
      <w:commentRangeStart w:id="15"/>
      <w:r>
        <w:t>Figure 2:</w:t>
      </w:r>
      <w:commentRangeEnd w:id="15"/>
      <w:r w:rsidR="001265D3">
        <w:rPr>
          <w:rStyle w:val="CommentReference"/>
        </w:rPr>
        <w:commentReference w:id="15"/>
      </w:r>
      <w:proofErr w:type="gramStart"/>
      <w:r w:rsidR="00F21DE7">
        <w:t xml:space="preserve">  </w:t>
      </w:r>
      <w:ins w:id="16" w:author="Innocence Harvey" w:date="2015-02-26T13:50:00Z">
        <w:r w:rsidR="00F21DE7" w:rsidRPr="00F21DE7">
          <w:rPr>
            <w:b/>
            <w:rPrChange w:id="17" w:author="Innocence Harvey" w:date="2015-02-26T13:50:00Z">
              <w:rPr/>
            </w:rPrChange>
          </w:rPr>
          <w:t>Body</w:t>
        </w:r>
        <w:proofErr w:type="gramEnd"/>
        <w:r w:rsidR="00F21DE7" w:rsidRPr="00F21DE7">
          <w:rPr>
            <w:b/>
            <w:rPrChange w:id="18" w:author="Innocence Harvey" w:date="2015-02-26T13:50:00Z">
              <w:rPr/>
            </w:rPrChange>
          </w:rPr>
          <w:t xml:space="preserve"> weights and composition of c57BL/6 mice treated with dexamethasone</w:t>
        </w:r>
      </w:ins>
      <w:ins w:id="19" w:author="Innocence Harvey" w:date="2015-02-26T13:51:00Z">
        <w:r w:rsidR="00F21DE7">
          <w:rPr>
            <w:b/>
          </w:rPr>
          <w:t xml:space="preserve"> over the course of 12 weeks</w:t>
        </w:r>
      </w:ins>
      <w:ins w:id="20" w:author="Innocence Harvey" w:date="2015-02-26T13:50:00Z">
        <w:r w:rsidR="00F21DE7" w:rsidRPr="00F21DE7">
          <w:rPr>
            <w:b/>
            <w:rPrChange w:id="21" w:author="Innocence Harvey" w:date="2015-02-26T13:50:00Z">
              <w:rPr/>
            </w:rPrChange>
          </w:rPr>
          <w:t>.</w:t>
        </w:r>
        <w:r w:rsidR="00F21DE7">
          <w:rPr>
            <w:b/>
          </w:rPr>
          <w:t xml:space="preserve"> </w:t>
        </w:r>
      </w:ins>
      <w:ins w:id="22" w:author="Innocence Harvey" w:date="2015-02-26T13:51:00Z">
        <w:r w:rsidR="004A026A">
          <w:t xml:space="preserve">Weekly </w:t>
        </w:r>
      </w:ins>
      <w:bookmarkStart w:id="23" w:name="_GoBack"/>
      <w:bookmarkEnd w:id="23"/>
      <w:ins w:id="24" w:author="Innocence Harvey" w:date="2015-02-26T14:09:00Z">
        <w:r w:rsidR="004A026A">
          <w:t xml:space="preserve">measures of </w:t>
        </w:r>
      </w:ins>
      <w:ins w:id="25" w:author="Innocence Harvey" w:date="2015-02-26T13:51:00Z">
        <w:r w:rsidR="004A026A">
          <w:t>b</w:t>
        </w:r>
        <w:r w:rsidR="003C77EE">
          <w:t>ody weight</w:t>
        </w:r>
        <w:r w:rsidR="00F21DE7">
          <w:t xml:space="preserve"> </w:t>
        </w:r>
      </w:ins>
      <w:ins w:id="26" w:author="Innocence Harvey" w:date="2015-02-26T13:55:00Z">
        <w:r w:rsidR="00F21DE7">
          <w:t>(</w:t>
        </w:r>
        <w:r w:rsidR="003C77EE">
          <w:t>A), lean mass (B)</w:t>
        </w:r>
      </w:ins>
      <w:ins w:id="27" w:author="Innocence Harvey" w:date="2015-02-26T13:56:00Z">
        <w:r w:rsidR="003C77EE">
          <w:t>,</w:t>
        </w:r>
      </w:ins>
      <w:ins w:id="28" w:author="Innocence Harvey" w:date="2015-02-26T13:55:00Z">
        <w:r w:rsidR="003C77EE">
          <w:t xml:space="preserve"> fat mass (C) and</w:t>
        </w:r>
        <w:r w:rsidR="00F21DE7">
          <w:t xml:space="preserve"> percent</w:t>
        </w:r>
        <w:r w:rsidR="003C77EE">
          <w:t xml:space="preserve"> fat (D) </w:t>
        </w:r>
      </w:ins>
      <w:ins w:id="29" w:author="Innocence Harvey" w:date="2015-02-26T13:51:00Z">
        <w:r w:rsidR="00F21DE7">
          <w:t>from control</w:t>
        </w:r>
      </w:ins>
      <w:ins w:id="30" w:author="Innocence Harvey" w:date="2015-02-26T13:57:00Z">
        <w:r w:rsidR="003C77EE">
          <w:t xml:space="preserve"> (black)</w:t>
        </w:r>
      </w:ins>
      <w:ins w:id="31" w:author="Innocence Harvey" w:date="2015-02-26T13:51:00Z">
        <w:r w:rsidR="00F21DE7">
          <w:t xml:space="preserve"> and dexamethasone</w:t>
        </w:r>
      </w:ins>
      <w:ins w:id="32" w:author="Innocence Harvey" w:date="2015-02-26T13:58:00Z">
        <w:r w:rsidR="003C77EE">
          <w:t xml:space="preserve"> (red)</w:t>
        </w:r>
      </w:ins>
      <w:ins w:id="33" w:author="Innocence Harvey" w:date="2015-02-26T13:51:00Z">
        <w:r w:rsidR="00F21DE7">
          <w:t xml:space="preserve"> treated mice.</w:t>
        </w:r>
      </w:ins>
      <w:ins w:id="34" w:author="Innocence Harvey" w:date="2015-02-26T13:52:00Z">
        <w:r w:rsidR="00F21DE7">
          <w:t xml:space="preserve"> </w:t>
        </w:r>
      </w:ins>
      <w:ins w:id="35" w:author="Innocence Harvey" w:date="2015-02-26T13:58:00Z">
        <w:r w:rsidR="003C77EE">
          <w:t xml:space="preserve">E) Average food consumption </w:t>
        </w:r>
      </w:ins>
      <w:ins w:id="36" w:author="Innocence Harvey" w:date="2015-02-26T14:01:00Z">
        <w:r w:rsidR="003C77EE">
          <w:t>per mouse per day. F)</w:t>
        </w:r>
      </w:ins>
      <w:ins w:id="37" w:author="Innocence Harvey" w:date="2015-02-26T14:02:00Z">
        <w:r w:rsidR="003C77EE">
          <w:t xml:space="preserve"> </w:t>
        </w:r>
      </w:ins>
      <w:ins w:id="38" w:author="Innocence Harvey" w:date="2015-02-26T14:05:00Z">
        <w:r w:rsidR="003C77EE">
          <w:t xml:space="preserve">Insulin tolerance test. </w:t>
        </w:r>
      </w:ins>
      <w:ins w:id="39" w:author="Innocence Harvey" w:date="2015-02-26T14:02:00Z">
        <w:r w:rsidR="003C77EE">
          <w:t xml:space="preserve">Following a </w:t>
        </w:r>
        <w:proofErr w:type="gramStart"/>
        <w:r w:rsidR="003C77EE">
          <w:t>6 hour</w:t>
        </w:r>
        <w:proofErr w:type="gramEnd"/>
        <w:r w:rsidR="003C77EE">
          <w:t xml:space="preserve"> fast, insulin was administered via IP injection and blood glucose was measured at baseline</w:t>
        </w:r>
      </w:ins>
      <w:ins w:id="40" w:author="Innocence Harvey" w:date="2015-02-26T14:04:00Z">
        <w:r w:rsidR="003C77EE">
          <w:t>, 15, 30, 45, 60, 75, 90, 105 and 120 minutes post injection</w:t>
        </w:r>
      </w:ins>
      <w:ins w:id="41" w:author="Innocence Harvey" w:date="2015-02-26T14:06:00Z">
        <w:r w:rsidR="003C77EE">
          <w:t xml:space="preserve">. </w:t>
        </w:r>
        <w:r w:rsidR="004A026A">
          <w:t>G) Fat pad weights following 12 weeks of treatment.</w:t>
        </w:r>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34755976" w:rsidR="00BF3DF7" w:rsidRDefault="00BF3DF7" w:rsidP="002025A3">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7311CF93" w:rsidR="009A300F" w:rsidRDefault="009A300F" w:rsidP="002025A3">
      <w:commentRangeStart w:id="42"/>
      <w:r>
        <w:t>Figure 6:</w:t>
      </w:r>
    </w:p>
    <w:p w14:paraId="68B7ED27" w14:textId="77777777" w:rsidR="009A300F" w:rsidRDefault="009A300F" w:rsidP="002025A3"/>
    <w:p w14:paraId="0D553583" w14:textId="2FF7BEE1" w:rsidR="009A300F" w:rsidRDefault="009A300F" w:rsidP="002025A3">
      <w:r>
        <w:t>Figure 7:</w:t>
      </w:r>
    </w:p>
    <w:p w14:paraId="18F2A6DA" w14:textId="77777777" w:rsidR="009A300F" w:rsidRDefault="009A300F" w:rsidP="002025A3"/>
    <w:p w14:paraId="4E6294BB" w14:textId="481E1C3B" w:rsidR="009A300F" w:rsidRDefault="009A300F" w:rsidP="002025A3">
      <w:r>
        <w:t>Figure 8:</w:t>
      </w:r>
    </w:p>
    <w:commentRangeEnd w:id="42"/>
    <w:p w14:paraId="36F09F5A" w14:textId="77777777" w:rsidR="009A300F" w:rsidRPr="00BF3DF7" w:rsidRDefault="009A300F" w:rsidP="002025A3">
      <w:r>
        <w:rPr>
          <w:rStyle w:val="CommentReference"/>
        </w:rPr>
        <w:commentReference w:id="42"/>
      </w:r>
    </w:p>
    <w:p w14:paraId="45F398AC" w14:textId="4C750904" w:rsidR="00793E93" w:rsidRDefault="00793E93">
      <w:r>
        <w:br w:type="page"/>
      </w:r>
    </w:p>
    <w:p w14:paraId="5D71D411" w14:textId="0E3ABE0F" w:rsidR="00B940A5" w:rsidRDefault="00B940A5" w:rsidP="00B940A5">
      <w:pPr>
        <w:pStyle w:val="Heading1"/>
      </w:pPr>
      <w:r>
        <w:lastRenderedPageBreak/>
        <w:t>Table</w:t>
      </w:r>
      <w:r w:rsidR="00D91A97">
        <w:t>s</w:t>
      </w:r>
    </w:p>
    <w:p w14:paraId="72E16A50" w14:textId="77777777" w:rsidR="00B940A5" w:rsidRDefault="00B940A5" w:rsidP="00B940A5"/>
    <w:p w14:paraId="4CB86C9B" w14:textId="77777777" w:rsidR="00B940A5" w:rsidRPr="00793E93" w:rsidRDefault="00B940A5" w:rsidP="00B940A5">
      <w:pPr>
        <w:rPr>
          <w:b/>
        </w:rPr>
      </w:pPr>
      <w:r w:rsidRPr="00793E93">
        <w:rPr>
          <w:b/>
        </w:rPr>
        <w:t xml:space="preserve">Table 1:  Clinical characteristics.  Data represents mean +/- standard error.  </w:t>
      </w:r>
    </w:p>
    <w:p w14:paraId="5A2B65BA" w14:textId="77777777" w:rsidR="00B940A5" w:rsidRDefault="00B940A5" w:rsidP="00B940A5"/>
    <w:p w14:paraId="4DEA6E3B" w14:textId="4BC67C08" w:rsidR="00B940A5" w:rsidRDefault="00B940A5" w:rsidP="00B940A5">
      <w:r w:rsidRPr="00793E93">
        <w:rPr>
          <w:b/>
        </w:rPr>
        <w:t>Table 2: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3C77EE" w:rsidRDefault="003C77EE">
      <w:pPr>
        <w:pStyle w:val="CommentText"/>
      </w:pPr>
      <w:r>
        <w:rPr>
          <w:rStyle w:val="CommentReference"/>
        </w:rPr>
        <w:annotationRef/>
      </w:r>
      <w:r>
        <w:t>Fill this in at the end</w:t>
      </w:r>
    </w:p>
  </w:comment>
  <w:comment w:id="1" w:author="Dave Bridges" w:date="2015-02-22T15:12:00Z" w:initials="DB">
    <w:p w14:paraId="2C67A61B" w14:textId="77777777" w:rsidR="003C77EE" w:rsidRDefault="003C77EE">
      <w:pPr>
        <w:pStyle w:val="CommentText"/>
      </w:pPr>
      <w:r>
        <w:rPr>
          <w:rStyle w:val="CommentReference"/>
        </w:rPr>
        <w:annotationRef/>
      </w:r>
      <w:r>
        <w:t>Need to rewrite</w:t>
      </w:r>
    </w:p>
  </w:comment>
  <w:comment w:id="5" w:author="Dave Bridges" w:date="2015-02-26T08:31:00Z" w:initials="DB">
    <w:p w14:paraId="1AEDBF3A" w14:textId="4CF3DA6F" w:rsidR="003C77EE" w:rsidRDefault="003C77EE">
      <w:pPr>
        <w:pStyle w:val="CommentText"/>
      </w:pPr>
      <w:r>
        <w:rPr>
          <w:rStyle w:val="CommentReference"/>
        </w:rPr>
        <w:annotationRef/>
      </w:r>
      <w:r>
        <w:t>Innocence we need to write this section</w:t>
      </w:r>
    </w:p>
  </w:comment>
  <w:comment w:id="6" w:author="Dave Bridges" w:date="2015-02-22T17:03:00Z" w:initials="DB">
    <w:p w14:paraId="76AB651C" w14:textId="0CDE832A" w:rsidR="003C77EE" w:rsidRDefault="003C77EE">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7" w:author="Dave Bridges" w:date="2015-02-22T16:57:00Z" w:initials="DB">
    <w:p w14:paraId="7B1B1780" w14:textId="0B458A0A" w:rsidR="003C77EE" w:rsidRDefault="003C77EE">
      <w:pPr>
        <w:pStyle w:val="CommentText"/>
      </w:pPr>
      <w:r>
        <w:rPr>
          <w:rStyle w:val="CommentReference"/>
        </w:rPr>
        <w:annotationRef/>
      </w:r>
      <w:proofErr w:type="spellStart"/>
      <w:r>
        <w:t>Quynh</w:t>
      </w:r>
      <w:proofErr w:type="spellEnd"/>
      <w:r>
        <w:t xml:space="preserve"> can you do this</w:t>
      </w:r>
    </w:p>
  </w:comment>
  <w:comment w:id="8" w:author="Dave Bridges" w:date="2015-02-22T16:58:00Z" w:initials="DB">
    <w:p w14:paraId="0C54B57B" w14:textId="2986E505" w:rsidR="003C77EE" w:rsidRDefault="003C77EE">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9" w:author="Dave Bridges" w:date="2015-02-22T15:24:00Z" w:initials="DB">
    <w:p w14:paraId="786F84B0" w14:textId="0ECE11A9" w:rsidR="003C77EE" w:rsidRDefault="003C77EE">
      <w:pPr>
        <w:pStyle w:val="CommentText"/>
      </w:pPr>
      <w:r>
        <w:rPr>
          <w:rStyle w:val="CommentReference"/>
        </w:rPr>
        <w:annotationRef/>
      </w:r>
      <w:r>
        <w:t>Innocence we need references for this statement</w:t>
      </w:r>
    </w:p>
  </w:comment>
  <w:comment w:id="10" w:author="Dave Bridges" w:date="2015-02-25T18:18:00Z" w:initials="DB">
    <w:p w14:paraId="48056147" w14:textId="5D82CB7B" w:rsidR="003C77EE" w:rsidRDefault="003C77EE">
      <w:pPr>
        <w:pStyle w:val="CommentText"/>
      </w:pPr>
      <w:r>
        <w:rPr>
          <w:rStyle w:val="CommentReference"/>
        </w:rPr>
        <w:annotationRef/>
      </w:r>
      <w:r>
        <w:t>Dave, we should compare these genes to known GR targets from Yu et al, TRANSFAC and the lung paper.</w:t>
      </w:r>
    </w:p>
  </w:comment>
  <w:comment w:id="11" w:author="Dave Bridges" w:date="2015-02-26T12:06:00Z" w:initials="DB">
    <w:p w14:paraId="45222749" w14:textId="1BBA8E82" w:rsidR="003C77EE" w:rsidRDefault="003C77EE">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12" w:author="Dave Bridges" w:date="2015-02-26T12:38:00Z" w:initials="DB">
    <w:p w14:paraId="7F9E089B" w14:textId="71D7199F" w:rsidR="003C77EE" w:rsidRDefault="003C77EE">
      <w:pPr>
        <w:pStyle w:val="CommentText"/>
      </w:pPr>
      <w:r>
        <w:rPr>
          <w:rStyle w:val="CommentReference"/>
        </w:rPr>
        <w:annotationRef/>
      </w:r>
      <w:r>
        <w:t>Not really, its negative data, and seems like a waste of space where we can really only piss people off.</w:t>
      </w:r>
    </w:p>
  </w:comment>
  <w:comment w:id="13" w:author="Dave Bridges" w:date="2015-02-24T11:23:00Z" w:initials="DB">
    <w:p w14:paraId="0B712E75" w14:textId="0D6C3815" w:rsidR="003C77EE" w:rsidRDefault="003C77EE">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5" w:author="Dave Bridges" w:date="2015-02-24T15:04:00Z" w:initials="DB">
    <w:p w14:paraId="178CEAA8" w14:textId="41B21C63" w:rsidR="003C77EE" w:rsidRDefault="003C77EE">
      <w:pPr>
        <w:pStyle w:val="CommentText"/>
      </w:pPr>
      <w:r>
        <w:rPr>
          <w:rStyle w:val="CommentReference"/>
        </w:rPr>
        <w:annotationRef/>
      </w:r>
      <w:r>
        <w:t>Innocence please write this section.</w:t>
      </w:r>
    </w:p>
  </w:comment>
  <w:comment w:id="42" w:author="Dave Bridges" w:date="2015-02-25T18:23:00Z" w:initials="DB">
    <w:p w14:paraId="6BE8B153" w14:textId="4D4E0E38" w:rsidR="003C77EE" w:rsidRDefault="003C77EE">
      <w:pPr>
        <w:pStyle w:val="CommentText"/>
      </w:pPr>
      <w:r>
        <w:rPr>
          <w:rStyle w:val="CommentReference"/>
        </w:rPr>
        <w:annotationRef/>
      </w:r>
      <w:r>
        <w:t>Innocence please write these figure legends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3C77EE" w:rsidRDefault="003C77EE" w:rsidP="002025A3">
      <w:r>
        <w:separator/>
      </w:r>
    </w:p>
  </w:endnote>
  <w:endnote w:type="continuationSeparator" w:id="0">
    <w:p w14:paraId="4AB5C474" w14:textId="77777777" w:rsidR="003C77EE" w:rsidRDefault="003C77EE" w:rsidP="002025A3">
      <w:r>
        <w:continuationSeparator/>
      </w:r>
    </w:p>
  </w:endnote>
  <w:endnote w:type="continuationNotice" w:id="1">
    <w:p w14:paraId="1B1DC658" w14:textId="77777777" w:rsidR="003C77EE" w:rsidRDefault="003C7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3C77EE" w:rsidRDefault="003C77E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3C77EE" w:rsidRDefault="003C77EE" w:rsidP="002025A3">
      <w:r>
        <w:separator/>
      </w:r>
    </w:p>
  </w:footnote>
  <w:footnote w:type="continuationSeparator" w:id="0">
    <w:p w14:paraId="611B3DC9" w14:textId="77777777" w:rsidR="003C77EE" w:rsidRDefault="003C77EE" w:rsidP="002025A3">
      <w:r>
        <w:continuationSeparator/>
      </w:r>
    </w:p>
  </w:footnote>
  <w:footnote w:type="continuationNotice" w:id="1">
    <w:p w14:paraId="282709B9" w14:textId="77777777" w:rsidR="003C77EE" w:rsidRDefault="003C77E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3C77EE" w:rsidRDefault="003C77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94685"/>
    <w:rsid w:val="002B30A6"/>
    <w:rsid w:val="002B3E82"/>
    <w:rsid w:val="002B66C0"/>
    <w:rsid w:val="002C4EEE"/>
    <w:rsid w:val="002C5C94"/>
    <w:rsid w:val="002D0814"/>
    <w:rsid w:val="002F21DB"/>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C77EE"/>
    <w:rsid w:val="003D4413"/>
    <w:rsid w:val="003E29F9"/>
    <w:rsid w:val="004276D8"/>
    <w:rsid w:val="00447DB4"/>
    <w:rsid w:val="00495873"/>
    <w:rsid w:val="00495D82"/>
    <w:rsid w:val="00497152"/>
    <w:rsid w:val="004A026A"/>
    <w:rsid w:val="004D4287"/>
    <w:rsid w:val="004E3059"/>
    <w:rsid w:val="00521A96"/>
    <w:rsid w:val="00547DEE"/>
    <w:rsid w:val="005812FE"/>
    <w:rsid w:val="005A3933"/>
    <w:rsid w:val="005D7786"/>
    <w:rsid w:val="005E4873"/>
    <w:rsid w:val="005F06E6"/>
    <w:rsid w:val="00600CE6"/>
    <w:rsid w:val="006146F4"/>
    <w:rsid w:val="00625692"/>
    <w:rsid w:val="006259A6"/>
    <w:rsid w:val="006263FB"/>
    <w:rsid w:val="00646C8E"/>
    <w:rsid w:val="00651227"/>
    <w:rsid w:val="006647D3"/>
    <w:rsid w:val="0069268D"/>
    <w:rsid w:val="006A2D5D"/>
    <w:rsid w:val="006B39C6"/>
    <w:rsid w:val="006B66B9"/>
    <w:rsid w:val="006C087D"/>
    <w:rsid w:val="006C726C"/>
    <w:rsid w:val="006D1B50"/>
    <w:rsid w:val="006E37CB"/>
    <w:rsid w:val="007019BD"/>
    <w:rsid w:val="00704B2A"/>
    <w:rsid w:val="00711A42"/>
    <w:rsid w:val="00715ADE"/>
    <w:rsid w:val="00725D79"/>
    <w:rsid w:val="00730E37"/>
    <w:rsid w:val="007447ED"/>
    <w:rsid w:val="00754FE6"/>
    <w:rsid w:val="007574EE"/>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83BEB"/>
    <w:rsid w:val="00D91A97"/>
    <w:rsid w:val="00D92207"/>
    <w:rsid w:val="00D9724C"/>
    <w:rsid w:val="00DB2ED9"/>
    <w:rsid w:val="00DC1A40"/>
    <w:rsid w:val="00DC3261"/>
    <w:rsid w:val="00DD07FE"/>
    <w:rsid w:val="00DD6F31"/>
    <w:rsid w:val="00E05CF2"/>
    <w:rsid w:val="00E10D57"/>
    <w:rsid w:val="00E21175"/>
    <w:rsid w:val="00E318EB"/>
    <w:rsid w:val="00E4429E"/>
    <w:rsid w:val="00E61546"/>
    <w:rsid w:val="00E83CAE"/>
    <w:rsid w:val="00E914B3"/>
    <w:rsid w:val="00E914BC"/>
    <w:rsid w:val="00E93A54"/>
    <w:rsid w:val="00ED270F"/>
    <w:rsid w:val="00EE519A"/>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F7253-3898-284D-845B-FA88BC617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19</Pages>
  <Words>23573</Words>
  <Characters>134370</Characters>
  <Application>Microsoft Macintosh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10</cp:revision>
  <dcterms:created xsi:type="dcterms:W3CDTF">2015-02-25T15:36:00Z</dcterms:created>
  <dcterms:modified xsi:type="dcterms:W3CDTF">2015-02-26T20:10:00Z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