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6C235122" w:rsidR="002025A3" w:rsidRDefault="00996FC9" w:rsidP="002025A3">
      <w:r>
        <w:rPr>
          <w:lang w:bidi="he-IL"/>
        </w:rPr>
        <w:softHyphen/>
      </w:r>
      <w:r w:rsidR="002025A3">
        <w:t xml:space="preserve">The </w:t>
      </w:r>
      <w:del w:id="0" w:author="Dave Bridges" w:date="2015-02-27T16:20:00Z">
        <w:r w:rsidR="002025A3" w:rsidDel="00A75F4A">
          <w:delText xml:space="preserve"> </w:delText>
        </w:r>
      </w:del>
      <w:r w:rsidR="002025A3">
        <w:t xml:space="preserve">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2025A3"/>
    <w:p w14:paraId="2E818C98" w14:textId="0A02EC50"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bookmarkStart w:id="2" w:name="_GoBack"/>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05B5D19" w:rsidR="007448C6" w:rsidRDefault="00BC1457" w:rsidP="00BC1457">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3B6DDEA5" w:rsidR="00261C5D" w:rsidRDefault="002025A3" w:rsidP="002025A3">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w:t>
      </w:r>
      <w:ins w:id="3" w:author="Dave Bridges" w:date="2015-02-27T16:20:00Z">
        <w:r w:rsidR="00A75F4A">
          <w:t>,</w:t>
        </w:r>
      </w:ins>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c glucocorticoid treatment</w:t>
      </w:r>
      <w:ins w:id="4" w:author="Dave Bridges" w:date="2015-02-27T16:20:00Z">
        <w:r w:rsidR="00A75F4A">
          <w:t>,</w:t>
        </w:r>
      </w:ins>
      <w:r>
        <w:t xml:space="preserve">  is very common and leads to similar clinical </w:t>
      </w:r>
      <w:r w:rsidR="00F37C5B">
        <w:t>manifestations</w:t>
      </w:r>
      <w:r>
        <w:t xml:space="preserve">. </w:t>
      </w:r>
    </w:p>
    <w:p w14:paraId="4CCA5984" w14:textId="77777777" w:rsidR="00261C5D" w:rsidRDefault="00261C5D" w:rsidP="002025A3"/>
    <w:p w14:paraId="5AF9ABA5" w14:textId="50F1CDCB" w:rsidR="002025A3" w:rsidRDefault="002025A3" w:rsidP="00A75F4A">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ins w:id="5" w:author="Dave Bridges" w:date="2015-02-27T16:20:00Z">
        <w:r w:rsidR="00A75F4A">
          <w:t>G</w:t>
        </w:r>
        <w:r w:rsidR="00A75F4A" w:rsidRPr="00A75F4A">
          <w:t>lucocorticoids, through binding t</w:t>
        </w:r>
        <w:r w:rsidR="00563B3B">
          <w:t xml:space="preserve">o the glucocorticoid receptor, </w:t>
        </w:r>
        <w:r w:rsidR="00A75F4A" w:rsidRPr="00A75F4A">
          <w:t>exert transcription</w:t>
        </w:r>
      </w:ins>
      <w:ins w:id="6" w:author="Dave Bridges" w:date="2015-02-27T16:21:00Z">
        <w:r w:rsidR="00563B3B">
          <w:t>al</w:t>
        </w:r>
      </w:ins>
      <w:ins w:id="7" w:author="Dave Bridges" w:date="2015-02-27T16:20:00Z">
        <w:r w:rsidR="00A75F4A" w:rsidRPr="00A75F4A">
          <w:t xml:space="preserve"> induction and repression of numerous genes</w:t>
        </w:r>
        <w:r w:rsidR="00A75F4A">
          <w:t xml:space="preserve"> </w:t>
        </w:r>
      </w:ins>
      <w:ins w:id="8" w:author="Dave Bridges" w:date="2015-02-27T16:22:00Z">
        <w:r w:rsidR="00563B3B">
          <w:fldChar w:fldCharType="begin" w:fldLock="1"/>
        </w:r>
      </w:ins>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ins w:id="9" w:author="Dave Bridges" w:date="2015-02-27T16:22:00Z">
        <w:r w:rsidR="00563B3B">
          <w:fldChar w:fldCharType="end"/>
        </w:r>
      </w:ins>
      <w:ins w:id="10" w:author="Dave Bridges" w:date="2015-02-27T16:20:00Z">
        <w:r w:rsidR="00A75F4A">
          <w:t xml:space="preserve">.  </w:t>
        </w:r>
      </w:ins>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25F1A736"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ins w:id="11" w:author="Dave Bridges" w:date="2015-02-27T16:23:00Z">
        <w:r w:rsidR="00563B3B">
          <w:t xml:space="preserve">both </w:t>
        </w:r>
      </w:ins>
      <w:r w:rsidR="00261C5D">
        <w:t>animal models and in humans.  These include</w:t>
      </w:r>
      <w:r>
        <w:t xml:space="preserve"> enhanced </w:t>
      </w:r>
      <w:r w:rsidR="00261C5D">
        <w:t xml:space="preserve">fatty acid and </w:t>
      </w:r>
      <w:r>
        <w:t>triglyceride biosynthesis</w:t>
      </w:r>
      <w:ins w:id="12" w:author="Dave Bridges" w:date="2015-02-27T16:23:00Z">
        <w:r w:rsidR="00563B3B">
          <w:t>,</w:t>
        </w:r>
      </w:ins>
      <w:del w:id="13" w:author="Dave Bridges" w:date="2015-02-27T16:23:00Z">
        <w:r w:rsidDel="00563B3B">
          <w:delText>;</w:delText>
        </w:r>
      </w:del>
      <w:r>
        <w:t xml:space="preserve"> </w:t>
      </w:r>
      <w:bookmarkEnd w:id="2"/>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30760CB5" w14:textId="4246D29E" w:rsidR="004E303C" w:rsidRDefault="002025A3" w:rsidP="002025A3">
      <w:r>
        <w:t>During the course of pituitary surgery</w:t>
      </w:r>
      <w:ins w:id="14" w:author="Dave Bridges" w:date="2015-02-27T16:23:00Z">
        <w:r w:rsidR="00563B3B">
          <w:t>,</w:t>
        </w:r>
      </w:ins>
      <w:r>
        <w:t xml:space="preserve"> a routine subcutaneous fat graft for sealing the surgical field is taken immediately after </w:t>
      </w:r>
      <w:r w:rsidR="000220D0">
        <w:t>anesthesia</w:t>
      </w:r>
      <w:r>
        <w:t xml:space="preserve">, </w:t>
      </w:r>
      <w:ins w:id="15" w:author="Dave Bridges" w:date="2015-02-27T16:23:00Z">
        <w:r w:rsidR="00563B3B">
          <w:t xml:space="preserve">but </w:t>
        </w:r>
      </w:ins>
      <w:r>
        <w:t xml:space="preserve">before glucocorticoid treatment. </w:t>
      </w:r>
      <w:ins w:id="16" w:author="Dave Bridges" w:date="2015-02-27T16:23:00Z">
        <w:r w:rsidR="00563B3B">
          <w:t xml:space="preserve">Approximately </w:t>
        </w:r>
      </w:ins>
      <w:del w:id="17" w:author="Dave Bridges" w:date="2015-02-27T16:23:00Z">
        <w:r w:rsidDel="00563B3B">
          <w:delText>~</w:delText>
        </w:r>
      </w:del>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del w:id="18" w:author="Dave Bridges" w:date="2015-02-27T16:25:00Z">
        <w:r w:rsidR="00403DF7" w:rsidDel="00563B3B">
          <w:delText xml:space="preserve"> </w:delText>
        </w:r>
      </w:del>
      <w:r>
        <w:t xml:space="preserve">for RNA preparation and </w:t>
      </w:r>
      <w:proofErr w:type="spellStart"/>
      <w:r>
        <w:t>ceramide</w:t>
      </w:r>
      <w:proofErr w:type="spellEnd"/>
      <w:r>
        <w:t xml:space="preserve"> analysis. </w:t>
      </w:r>
    </w:p>
    <w:p w14:paraId="3BD25572" w14:textId="0F062571" w:rsidR="004E303C" w:rsidRDefault="004E303C" w:rsidP="004E303C">
      <w:pPr>
        <w:pStyle w:val="Heading2"/>
      </w:pPr>
      <w:r>
        <w:t>Lipolysis Assay</w:t>
      </w:r>
    </w:p>
    <w:p w14:paraId="01F55DA1" w14:textId="2B973AFE" w:rsidR="004E303C" w:rsidRPr="004E303C" w:rsidRDefault="004E303C" w:rsidP="004E303C">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2025A3"/>
    <w:p w14:paraId="66369C81" w14:textId="33D59043" w:rsidR="00931FFA" w:rsidRDefault="00931FFA" w:rsidP="00931FFA">
      <w:pPr>
        <w:pStyle w:val="Heading2"/>
      </w:pPr>
      <w:r>
        <w:t>Treatment of Animals with Dexamethasone</w:t>
      </w:r>
    </w:p>
    <w:p w14:paraId="581EE21E" w14:textId="2E86C149"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del w:id="19" w:author="Dave Bridges" w:date="2015-02-27T16:24:00Z">
        <w:r w:rsidR="0028386E" w:rsidDel="00563B3B">
          <w:delText xml:space="preserve">maintained </w:delText>
        </w:r>
        <w:r w:rsidR="003C77EE" w:rsidDel="00563B3B">
          <w:delText>on a</w:delText>
        </w:r>
      </w:del>
      <w:ins w:id="20" w:author="Dave Bridges" w:date="2015-02-27T16:24:00Z">
        <w:r w:rsidR="00563B3B">
          <w:t xml:space="preserve">provided with </w:t>
        </w:r>
        <w:r w:rsidR="00563B3B">
          <w:rPr>
            <w:i/>
          </w:rPr>
          <w:t xml:space="preserve">ad libitum </w:t>
        </w:r>
        <w:r w:rsidR="00563B3B">
          <w:t>access to water and a</w:t>
        </w:r>
      </w:ins>
      <w:r w:rsidR="003C77EE">
        <w:t xml:space="preserve"> </w:t>
      </w:r>
      <w:r w:rsidR="0028386E">
        <w:t>standard rodent</w:t>
      </w:r>
      <w:r w:rsidR="003C77EE">
        <w:t xml:space="preserve"> diet</w:t>
      </w:r>
      <w:r w:rsidR="0028386E">
        <w:t xml:space="preserve"> throughout the study</w:t>
      </w:r>
      <w:r w:rsidR="003C77EE">
        <w:t>.</w:t>
      </w:r>
      <w:ins w:id="21" w:author="Dave Bridges" w:date="2015-02-27T16:24:00Z">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xml:space="preserve">.  Tissues were </w:t>
        </w:r>
      </w:ins>
      <w:ins w:id="22" w:author="Dave Bridges" w:date="2015-02-27T16:25:00Z">
        <w:r w:rsidR="00563B3B">
          <w:t>dissected</w:t>
        </w:r>
      </w:ins>
      <w:ins w:id="23" w:author="Dave Bridges" w:date="2015-02-27T16:24:00Z">
        <w:r w:rsidR="00563B3B">
          <w:t xml:space="preserve"> </w:t>
        </w:r>
      </w:ins>
      <w:ins w:id="24" w:author="Dave Bridges" w:date="2015-02-27T16:25:00Z">
        <w:r w:rsidR="00563B3B">
          <w:t>and stored at -80</w:t>
        </w:r>
        <w:r w:rsidR="00563B3B" w:rsidRPr="004E303C">
          <w:t>°</w:t>
        </w:r>
        <w:proofErr w:type="gramStart"/>
        <w:r w:rsidR="00563B3B" w:rsidRPr="004E303C">
          <w:t>C</w:t>
        </w:r>
        <w:r w:rsidR="00563B3B">
          <w:t xml:space="preserve">  for</w:t>
        </w:r>
        <w:proofErr w:type="gramEnd"/>
        <w:r w:rsidR="00563B3B">
          <w:t xml:space="preserve"> further analyses.</w:t>
        </w:r>
      </w:ins>
    </w:p>
    <w:p w14:paraId="230C1B61" w14:textId="746C7D61" w:rsidR="00931FFA" w:rsidRDefault="00931FFA" w:rsidP="00931FFA">
      <w:pPr>
        <w:pStyle w:val="Heading2"/>
      </w:pPr>
      <w:r>
        <w:t>Insulin Tolerance Test</w:t>
      </w:r>
    </w:p>
    <w:p w14:paraId="75A12748" w14:textId="68C661CF" w:rsidR="000D7EE2" w:rsidRPr="000D7EE2" w:rsidRDefault="009A4167" w:rsidP="000D7EE2">
      <w:r>
        <w:t xml:space="preserve">Insulin tolerance was </w:t>
      </w:r>
      <w:del w:id="25" w:author="Dave Bridges" w:date="2015-02-27T16:25:00Z">
        <w:r w:rsidDel="00563B3B">
          <w:delText xml:space="preserve">measured </w:delText>
        </w:r>
      </w:del>
      <w:ins w:id="26" w:author="Dave Bridges" w:date="2015-02-27T16:25:00Z">
        <w:r w:rsidR="00563B3B">
          <w:t xml:space="preserve">assessed </w:t>
        </w:r>
      </w:ins>
      <w:r w:rsidR="00E914BC">
        <w:t>a</w:t>
      </w:r>
      <w:ins w:id="27" w:author="Dave Bridges" w:date="2015-02-27T16:25:00Z">
        <w:r w:rsidR="00563B3B">
          <w:t>fter</w:t>
        </w:r>
      </w:ins>
      <w:del w:id="28" w:author="Dave Bridges" w:date="2015-02-27T16:25:00Z">
        <w:r w:rsidR="00371B43" w:rsidDel="00563B3B">
          <w:delText>t</w:delText>
        </w:r>
      </w:del>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del w:id="29" w:author="Dave Bridges" w:date="2015-02-27T16:25:00Z">
        <w:r w:rsidR="00E914BC" w:rsidDel="00563B3B">
          <w:delText xml:space="preserve">with </w:delText>
        </w:r>
      </w:del>
      <w:ins w:id="30" w:author="Dave Bridges" w:date="2015-02-27T16:25:00Z">
        <w:r w:rsidR="00563B3B">
          <w:t xml:space="preserve">at 15 minute intervals post-injection using </w:t>
        </w:r>
      </w:ins>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F0643F">
      <w:pPr>
        <w:pStyle w:val="Heading2"/>
      </w:pPr>
      <w:r>
        <w:lastRenderedPageBreak/>
        <w:t>Grip Test</w:t>
      </w:r>
    </w:p>
    <w:p w14:paraId="22F90A93" w14:textId="76DCA805" w:rsidR="00371B43"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ins w:id="31" w:author="Dave Bridges" w:date="2015-02-27T16:26:00Z">
        <w:r w:rsidR="00A2199B">
          <w:t>Grip s</w:t>
        </w:r>
      </w:ins>
      <w:del w:id="32" w:author="Dave Bridges" w:date="2015-02-27T16:26:00Z">
        <w:r w:rsidR="003C6F69" w:rsidDel="00A2199B">
          <w:delText>S</w:delText>
        </w:r>
      </w:del>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371B43">
      <w:pPr>
        <w:pStyle w:val="Heading2"/>
      </w:pPr>
      <w:r>
        <w:t>Quantitative Real-Time PCR</w:t>
      </w:r>
    </w:p>
    <w:p w14:paraId="25901308" w14:textId="4E59E2C6" w:rsidR="00270A3F" w:rsidRDefault="00270A3F" w:rsidP="00270A3F">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w:t>
      </w:r>
      <w:del w:id="33" w:author="Dave Bridges" w:date="2015-02-27T16:26:00Z">
        <w:r w:rsidRPr="00270A3F" w:rsidDel="00A2199B">
          <w:delText xml:space="preserve">in accordance with the manufacturer’s guidelines </w:delText>
        </w:r>
      </w:del>
      <w:r w:rsidRPr="00270A3F">
        <w:t xml:space="preserve">(Life Technologies) </w:t>
      </w:r>
      <w:ins w:id="34" w:author="Dave Bridges" w:date="2015-02-27T16:26:00Z">
        <w:r w:rsidR="00A2199B" w:rsidRPr="00270A3F">
          <w:t xml:space="preserve">in accordance with the manufacturer’s guidelines </w:t>
        </w:r>
      </w:ins>
      <w:r w:rsidRPr="00270A3F">
        <w:t xml:space="preserve">and </w:t>
      </w:r>
      <w:r w:rsidRPr="00270A3F">
        <w:rPr>
          <w:rFonts w:cs="Helvetica"/>
        </w:rPr>
        <w:t xml:space="preserve">subjected to quantitative real-time PCR as </w:t>
      </w:r>
      <w:ins w:id="35" w:author="Dave Bridges" w:date="2015-02-27T16:26:00Z">
        <w:r w:rsidR="00A2199B">
          <w:rPr>
            <w:rFonts w:cs="Helvetica"/>
          </w:rPr>
          <w:t xml:space="preserve">previously </w:t>
        </w:r>
      </w:ins>
      <w:r w:rsidRPr="00270A3F">
        <w:rPr>
          <w:rFonts w:cs="Helvetica"/>
        </w:rPr>
        <w:t xml:space="preserve">described (Lu et al., 2014). </w:t>
      </w:r>
      <w:ins w:id="36" w:author="Dave Bridges" w:date="2015-02-27T16:26:00Z">
        <w:r w:rsidR="00A2199B">
          <w:t>The p</w:t>
        </w:r>
      </w:ins>
      <w:del w:id="37" w:author="Dave Bridges" w:date="2015-02-27T16:26:00Z">
        <w:r w:rsidRPr="00270A3F" w:rsidDel="00A2199B">
          <w:delText>P</w:delText>
        </w:r>
      </w:del>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3153FFB"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del w:id="38" w:author="Dave Bridges" w:date="2015-02-27T16:26:00Z">
        <w:r w:rsidRPr="001E5037" w:rsidDel="00A2199B">
          <w:delText>in</w:delText>
        </w:r>
        <w:r w:rsidR="00FB7900" w:rsidRPr="001E5037" w:rsidDel="00A2199B">
          <w:rPr>
            <w:rFonts w:cs="Arial"/>
          </w:rPr>
          <w:delText xml:space="preserve"> </w:delText>
        </w:r>
      </w:del>
      <w:ins w:id="39" w:author="Dave Bridges" w:date="2015-02-27T16:26:00Z">
        <w:r w:rsidR="00A2199B">
          <w:t>by</w:t>
        </w:r>
        <w:r w:rsidR="00A2199B" w:rsidRPr="001E5037">
          <w:rPr>
            <w:rFonts w:cs="Arial"/>
          </w:rPr>
          <w:t xml:space="preserve"> </w:t>
        </w:r>
      </w:ins>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del w:id="40" w:author="Dave Bridges" w:date="2015-02-27T16:26:00Z">
        <w:r w:rsidR="001E5037" w:rsidRPr="001E5037" w:rsidDel="00A2199B">
          <w:rPr>
            <w:rFonts w:cs="Arial"/>
            <w:noProof/>
          </w:rPr>
          <w:delText>(</w:delText>
        </w:r>
      </w:del>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ins w:id="41" w:author="Dave Bridges" w:date="2015-02-27T16:26:00Z">
        <w:r w:rsidR="00A2199B">
          <w:rPr>
            <w:rFonts w:cs="Arial"/>
            <w:noProof/>
          </w:rPr>
          <w:t>(</w:t>
        </w:r>
      </w:ins>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3C5BCC31"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w:t>
      </w:r>
      <w:r>
        <w:lastRenderedPageBreak/>
        <w:t xml:space="preserve">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121F4AF6" w14:textId="5BAB8051" w:rsidR="002025A3" w:rsidRDefault="002025A3" w:rsidP="002025A3">
      <w:r>
        <w:t xml:space="preserve">Descriptive statistics </w:t>
      </w:r>
      <w:del w:id="42" w:author="Dave Bridges" w:date="2015-02-27T16:27:00Z">
        <w:r w:rsidDel="00F877A5">
          <w:delText>such as</w:delText>
        </w:r>
      </w:del>
      <w:ins w:id="43" w:author="Dave Bridges" w:date="2015-02-27T16:27:00Z">
        <w:r w:rsidR="00F877A5">
          <w:t>including</w:t>
        </w:r>
      </w:ins>
      <w:r>
        <w:t xml:space="preserve"> means and standard </w:t>
      </w:r>
      <w:del w:id="44" w:author="Dave Bridges" w:date="2015-02-27T16:27:00Z">
        <w:r w:rsidDel="00F877A5">
          <w:delText xml:space="preserve">deviations </w:delText>
        </w:r>
      </w:del>
      <w:ins w:id="45" w:author="Dave Bridges" w:date="2015-02-27T16:27:00Z">
        <w:r w:rsidR="00F877A5">
          <w:t xml:space="preserve">errors </w:t>
        </w:r>
      </w:ins>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del w:id="46" w:author="Dave Bridges" w:date="2015-02-27T16:28:00Z">
        <w:r w:rsidR="003F29E8" w:rsidDel="00F877A5">
          <w:delText xml:space="preserve"> </w:delText>
        </w:r>
        <w:r w:rsidDel="00F877A5">
          <w:delText xml:space="preserve">Student’s </w:delText>
        </w:r>
        <w:r w:rsidRPr="003F29E8" w:rsidDel="00F877A5">
          <w:rPr>
            <w:i/>
          </w:rPr>
          <w:delText>t</w:delText>
        </w:r>
        <w:r w:rsidDel="00F877A5">
          <w:delText xml:space="preserve">-test was used to test the difference </w:delText>
        </w:r>
      </w:del>
      <w:del w:id="47" w:author="Dave Bridges" w:date="2015-02-27T16:27:00Z">
        <w:r w:rsidDel="00F877A5">
          <w:delText xml:space="preserve">in means of these measurements </w:delText>
        </w:r>
      </w:del>
      <w:del w:id="48" w:author="Dave Bridges" w:date="2015-02-27T16:28:00Z">
        <w:r w:rsidDel="00F877A5">
          <w:delText xml:space="preserve">between control and Cushing's disease patients. </w:delText>
        </w:r>
      </w:del>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del w:id="49" w:author="Dave Bridges" w:date="2015-02-27T16:28:00Z">
        <w:r w:rsidDel="00F877A5">
          <w:delText>performed for HOMA-IR score, insulin levels and the 14:0, 16:0, 20:0 ceramides and the C16:0 glucosylceramide species as these</w:delText>
        </w:r>
      </w:del>
      <w:ins w:id="50" w:author="Dave Bridges" w:date="2015-02-27T16:28:00Z">
        <w:r w:rsidR="00F877A5">
          <w:t>when</w:t>
        </w:r>
      </w:ins>
      <w:r>
        <w:t xml:space="preserve"> data were not normally distributed.</w:t>
      </w:r>
      <w:r w:rsidR="003F29E8">
        <w:t xml:space="preserve">   </w:t>
      </w:r>
      <w:r>
        <w:t xml:space="preserve">Welch’s </w:t>
      </w:r>
      <w:r w:rsidRPr="003F29E8">
        <w:rPr>
          <w:i/>
        </w:rPr>
        <w:t>t</w:t>
      </w:r>
      <w:r>
        <w:t xml:space="preserve">-test was used </w:t>
      </w:r>
      <w:del w:id="51" w:author="Dave Bridges" w:date="2015-02-27T16:28:00Z">
        <w:r w:rsidDel="00F877A5">
          <w:delText xml:space="preserve">for basal lipolysis since the </w:delText>
        </w:r>
      </w:del>
      <w:ins w:id="52" w:author="Dave Bridges" w:date="2015-02-27T16:28:00Z">
        <w:r w:rsidR="00F877A5">
          <w:t xml:space="preserve">if the </w:t>
        </w:r>
      </w:ins>
      <w:r>
        <w:t xml:space="preserve">equal variance assumption was rejected by </w:t>
      </w:r>
      <w:proofErr w:type="spellStart"/>
      <w:r>
        <w:t>Levene's</w:t>
      </w:r>
      <w:proofErr w:type="spellEnd"/>
      <w:r>
        <w:t xml:space="preserve"> test (car package version </w:t>
      </w:r>
      <w:r w:rsidR="007908AD">
        <w:t>2.0-19</w:t>
      </w:r>
      <w:r>
        <w:t>)</w:t>
      </w:r>
      <w:proofErr w:type="gramStart"/>
      <w:ins w:id="53" w:author="Dave Bridges" w:date="2015-02-27T16:28:00Z">
        <w:r w:rsidR="00F877A5">
          <w:t>,</w:t>
        </w:r>
        <w:proofErr w:type="gramEnd"/>
        <w:r w:rsidR="00F877A5">
          <w:t xml:space="preserve"> otherwise a Student’s </w:t>
        </w:r>
        <w:r w:rsidR="00F877A5">
          <w:rPr>
            <w:i/>
          </w:rPr>
          <w:t>t</w:t>
        </w:r>
        <w:r w:rsidR="00F877A5">
          <w:t>-test was used</w:t>
        </w:r>
      </w:ins>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5896BCCE"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1701986C" w:rsidR="00920456" w:rsidRDefault="002025A3" w:rsidP="00920456">
      <w:pPr>
        <w:shd w:val="clear" w:color="auto" w:fill="FFFFFF"/>
      </w:pPr>
      <w:r w:rsidRPr="00920456">
        <w:t>Clinical and metabolic measurements were obtained for 5 Cushing's disease patients and 11 control</w:t>
      </w:r>
      <w:ins w:id="54" w:author="Dave Bridges" w:date="2015-02-27T16:28:00Z">
        <w:r w:rsidR="00F877A5">
          <w:t xml:space="preserve"> subjects</w:t>
        </w:r>
      </w:ins>
      <w:del w:id="55" w:author="Dave Bridges" w:date="2015-02-27T16:28:00Z">
        <w:r w:rsidRPr="00920456" w:rsidDel="00F877A5">
          <w:delText>s</w:delText>
        </w:r>
      </w:del>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patients were in general younger and had smaller tumors than the patients with non-secreting adenomas.  In </w:t>
      </w:r>
      <w:del w:id="56" w:author="Dave Bridges" w:date="2015-02-27T16:29:00Z">
        <w:r w:rsidR="00DC3261" w:rsidRPr="00A97E6D" w:rsidDel="00F877A5">
          <w:delText xml:space="preserve">our </w:delText>
        </w:r>
      </w:del>
      <w:ins w:id="57" w:author="Dave Bridges" w:date="2015-02-27T16:29:00Z">
        <w:r w:rsidR="00F877A5">
          <w:t>the Cushing’s</w:t>
        </w:r>
        <w:r w:rsidR="00F877A5" w:rsidRPr="00A97E6D">
          <w:t xml:space="preserve"> </w:t>
        </w:r>
      </w:ins>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670EA2BB" w:rsidR="002025A3" w:rsidRDefault="006259A6" w:rsidP="00920456">
      <w:pPr>
        <w:shd w:val="clear" w:color="auto" w:fill="FFFFFF"/>
      </w:pPr>
      <w:r>
        <w:lastRenderedPageBreak/>
        <w:t xml:space="preserve">We </w:t>
      </w:r>
      <w:del w:id="58" w:author="Dave Bridges" w:date="2015-02-27T16:29:00Z">
        <w:r w:rsidDel="00F877A5">
          <w:delText xml:space="preserve">also </w:delText>
        </w:r>
      </w:del>
      <w:r>
        <w:t xml:space="preserve">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ins w:id="59" w:author="Dave Bridges" w:date="2015-02-27T16:29:00Z">
        <w:r w:rsidR="00F877A5">
          <w:t>,</w:t>
        </w:r>
      </w:ins>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1255F455" w:rsidR="00F0643F" w:rsidRDefault="00F0643F" w:rsidP="00F0643F">
      <w:pPr>
        <w:pStyle w:val="Heading2"/>
      </w:pPr>
      <w:r>
        <w:t xml:space="preserve">Dexamethasone Treatment of Mice </w:t>
      </w:r>
      <w:r w:rsidR="000220D0">
        <w:t>as</w:t>
      </w:r>
      <w:r>
        <w:t xml:space="preserve"> a Model of Cushing’s </w:t>
      </w:r>
      <w:proofErr w:type="gramStart"/>
      <w:r>
        <w:t>Syndrome</w:t>
      </w:r>
      <w:proofErr w:type="gramEnd"/>
    </w:p>
    <w:p w14:paraId="4A7603C7" w14:textId="69E40612"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ins w:id="60" w:author="Dave Bridges" w:date="2015-02-27T16:29:00Z">
        <w:r w:rsidR="00B76695">
          <w:t xml:space="preserve">due to a reduction in </w:t>
        </w:r>
      </w:ins>
      <w:r w:rsidR="006E37CB">
        <w:t>lean body mass (Figure 2</w:t>
      </w:r>
      <w:r>
        <w:t xml:space="preserve">B).  This is consistent with </w:t>
      </w:r>
      <w:ins w:id="61" w:author="Dave Bridges" w:date="2015-02-27T16:29:00Z">
        <w:r w:rsidR="00B76695">
          <w:t xml:space="preserve">previously reported </w:t>
        </w:r>
      </w:ins>
      <w:del w:id="62" w:author="Dave Bridges" w:date="2015-02-27T16:29:00Z">
        <w:r w:rsidDel="00B76695">
          <w:delText xml:space="preserve">the </w:delText>
        </w:r>
      </w:del>
      <w:r>
        <w:t xml:space="preserve">effects of </w:t>
      </w:r>
      <w:r w:rsidR="000220D0">
        <w:t>glucocorticoids</w:t>
      </w:r>
      <w:r>
        <w:t xml:space="preserve"> on muscle atrophy </w:t>
      </w:r>
      <w:del w:id="63" w:author="Dave Bridges" w:date="2015-02-27T16:30:00Z">
        <w:r w:rsidDel="00B76695">
          <w:delText>that ha</w:delText>
        </w:r>
        <w:r w:rsidR="004B24DB" w:rsidDel="00B76695">
          <w:delText>s</w:delText>
        </w:r>
        <w:r w:rsidDel="00B76695">
          <w:delText xml:space="preserve"> been previously </w:delText>
        </w:r>
        <w:r w:rsidRPr="004B24DB" w:rsidDel="00B76695">
          <w:delText>reported</w:delText>
        </w:r>
        <w:r w:rsidR="004B24DB" w:rsidRPr="004B24DB" w:rsidDel="00B76695">
          <w:rPr>
            <w:rFonts w:cs="Trebuchet MS"/>
            <w:color w:val="0A0A06"/>
          </w:rPr>
          <w:delText xml:space="preserve"> </w:delText>
        </w:r>
      </w:del>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del w:id="64" w:author="Dave Bridges" w:date="2015-02-27T16:30:00Z">
        <w:r w:rsidR="00D92207" w:rsidDel="00B76695">
          <w:delText>Throughout the study, we</w:delText>
        </w:r>
      </w:del>
      <w:ins w:id="65" w:author="Dave Bridges" w:date="2015-02-27T16:30:00Z">
        <w:r w:rsidR="00B76695">
          <w:t>We</w:t>
        </w:r>
      </w:ins>
      <w:r w:rsidR="00D92207">
        <w:t xml:space="preserve"> did not detect any differences in</w:t>
      </w:r>
      <w:r w:rsidR="00931FFA">
        <w:t xml:space="preserve"> food int</w:t>
      </w:r>
      <w:r w:rsidR="006E37CB">
        <w:t>ake between the groups</w:t>
      </w:r>
      <w:ins w:id="66" w:author="Dave Bridges" w:date="2015-02-27T16:30:00Z">
        <w:r w:rsidR="00B76695">
          <w:t xml:space="preserve"> throughout the study</w:t>
        </w:r>
      </w:ins>
      <w:r w:rsidR="006E37CB">
        <w:t xml:space="preserve"> (Figure 2</w:t>
      </w:r>
      <w:r w:rsidR="00C93467">
        <w:t>E</w:t>
      </w:r>
      <w:r w:rsidR="00931FFA">
        <w:t xml:space="preserve">).  To evaluate insulin sensitivity, we performed insulin tolerance tests on these mice </w:t>
      </w:r>
      <w:del w:id="67" w:author="Dave Bridges" w:date="2015-02-27T16:31:00Z">
        <w:r w:rsidR="00931FFA" w:rsidDel="00C27D9A">
          <w:delText xml:space="preserve">at </w:delText>
        </w:r>
        <w:r w:rsidR="003E29F9" w:rsidDel="00C27D9A">
          <w:delText>21</w:delText>
        </w:r>
        <w:r w:rsidR="00931FFA" w:rsidDel="00C27D9A">
          <w:delText xml:space="preserve"> weeks of age</w:delText>
        </w:r>
      </w:del>
      <w:ins w:id="68" w:author="Dave Bridges" w:date="2015-02-27T16:31:00Z">
        <w:r w:rsidR="00C27D9A">
          <w:t>after 11 weeks of dexamethasone treatment</w:t>
        </w:r>
      </w:ins>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del w:id="69" w:author="Dave Bridges" w:date="2015-02-27T16:31:00Z">
        <w:r w:rsidR="008B4941" w:rsidDel="00C27D9A">
          <w:delText xml:space="preserve">these </w:delText>
        </w:r>
      </w:del>
      <w:ins w:id="70" w:author="Dave Bridges" w:date="2015-02-27T16:31:00Z">
        <w:r w:rsidR="00C27D9A">
          <w:t xml:space="preserve">dexamethasone treated </w:t>
        </w:r>
      </w:ins>
      <w:r w:rsidR="008B4941">
        <w:t>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FA61C0F"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0851C999"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w:t>
      </w:r>
      <w:r w:rsidR="001C7894">
        <w:lastRenderedPageBreak/>
        <w:t>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del w:id="71" w:author="Dave Bridges" w:date="2015-02-27T16:31:00Z">
        <w:r w:rsidR="001C7894" w:rsidDel="004861BB">
          <w:delText>below</w:delText>
        </w:r>
      </w:del>
      <w:ins w:id="72" w:author="Dave Bridges" w:date="2015-02-27T16:31:00Z">
        <w:r w:rsidR="004861BB">
          <w:t>in subsequent sections</w:t>
        </w:r>
      </w:ins>
      <w:r w:rsidR="001C7894">
        <w:t>.</w:t>
      </w:r>
    </w:p>
    <w:p w14:paraId="1E170898" w14:textId="77777777" w:rsidR="002025A3" w:rsidRDefault="002025A3" w:rsidP="002025A3"/>
    <w:p w14:paraId="5609E27B" w14:textId="78C48EB4" w:rsidR="002025A3" w:rsidRDefault="00CD160B" w:rsidP="002025A3">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499782A7" w:rsidR="002025A3" w:rsidRDefault="00F0643F" w:rsidP="00F0643F">
      <w:pPr>
        <w:pStyle w:val="Heading2"/>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386BAA85"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2E972787" w:rsidR="00270104" w:rsidRDefault="004276D8" w:rsidP="00154286">
      <w:r>
        <w:t xml:space="preserve">In spite of increased lipid deposition and elevations of </w:t>
      </w:r>
      <w:proofErr w:type="spellStart"/>
      <w:r>
        <w:t>lipogen</w:t>
      </w:r>
      <w:r w:rsidR="000220D0">
        <w:t>esis</w:t>
      </w:r>
      <w:proofErr w:type="spellEnd"/>
      <w:r w:rsidR="000220D0">
        <w:t xml:space="preserve"> </w:t>
      </w:r>
      <w:r>
        <w:t>genes in Cushing’s 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ins w:id="73" w:author="Dave Bridges" w:date="2015-02-27T16:32:00Z">
        <w:r w:rsidR="004861BB">
          <w:t xml:space="preserve">in the Cushing’s subjects, </w:t>
        </w:r>
      </w:ins>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w:t>
      </w:r>
      <w:del w:id="74" w:author="Dave Bridges" w:date="2015-02-27T16:32:00Z">
        <w:r w:rsidR="00270104" w:rsidDel="004861BB">
          <w:delText xml:space="preserve">in subcutaneous adipose tissue from Cushing’s patients </w:delText>
        </w:r>
      </w:del>
      <w:r w:rsidR="00270104">
        <w:t xml:space="preserve">(Figure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ins w:id="75" w:author="Dave Bridges" w:date="2015-02-27T16:32:00Z">
        <w:r w:rsidR="004861BB">
          <w:t xml:space="preserve">.  However, </w:t>
        </w:r>
      </w:ins>
      <w:del w:id="76" w:author="Dave Bridges" w:date="2015-02-27T16:32:00Z">
        <w:r w:rsidR="00270104" w:rsidDel="004861BB">
          <w:delText xml:space="preserve">, but </w:delText>
        </w:r>
      </w:del>
      <w:r w:rsidR="00270104">
        <w:t>our data supports an insulin-independent activation as well, since in our explants insulin was not present</w:t>
      </w:r>
      <w:ins w:id="77" w:author="Dave Bridges" w:date="2015-02-27T16:32:00Z">
        <w:r w:rsidR="004861BB">
          <w:t xml:space="preserve"> during the lipolysis assay</w:t>
        </w:r>
      </w:ins>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62983C9B" w:rsidR="00F1025D" w:rsidRDefault="00F1025D" w:rsidP="00F1025D">
      <w:r w:rsidRPr="00F1025D">
        <w:t xml:space="preserve"> </w:t>
      </w:r>
      <w:del w:id="78" w:author="Dave Bridges" w:date="2015-02-27T16:33:00Z">
        <w:r w:rsidDel="004861BB">
          <w:delText>We also observed elevations in several</w:delText>
        </w:r>
      </w:del>
      <w:ins w:id="79" w:author="Dave Bridges" w:date="2015-02-27T16:33:00Z">
        <w:r w:rsidR="004861BB">
          <w:t>Several</w:t>
        </w:r>
      </w:ins>
      <w:r>
        <w:t xml:space="preserve"> genes that </w:t>
      </w:r>
      <w:r w:rsidR="00725D79">
        <w:t>regulate steroid biogenesis</w:t>
      </w:r>
      <w:ins w:id="80" w:author="Dave Bridges" w:date="2015-02-27T16:33:00Z">
        <w:r w:rsidR="004861BB">
          <w:t xml:space="preserve"> were elevated in adipose tissue from Cushing’s patients as</w:t>
        </w:r>
      </w:ins>
      <w:del w:id="81" w:author="Dave Bridges" w:date="2015-02-27T16:33:00Z">
        <w:r w:rsidR="00725D79" w:rsidDel="004861BB">
          <w:delText>,</w:delText>
        </w:r>
      </w:del>
      <w:r w:rsidR="00725D79">
        <w:t xml:space="preserve"> </w:t>
      </w:r>
      <w:r w:rsidR="00E10D57">
        <w:t>described in Figure 4E</w:t>
      </w:r>
      <w:ins w:id="82" w:author="Dave Bridges" w:date="2015-02-27T16:33:00Z">
        <w:r w:rsidR="004861BB">
          <w:t xml:space="preserve">.  These </w:t>
        </w:r>
      </w:ins>
      <w:del w:id="83" w:author="Dave Bridges" w:date="2015-02-27T16:33:00Z">
        <w:r w:rsidR="00E10D57" w:rsidDel="004861BB">
          <w:delText xml:space="preserve">, </w:delText>
        </w:r>
      </w:del>
      <w:r w:rsidR="001E43B2">
        <w:t>includ</w:t>
      </w:r>
      <w:del w:id="84" w:author="Dave Bridges" w:date="2015-02-27T16:33:00Z">
        <w:r w:rsidR="001E43B2" w:rsidDel="004861BB">
          <w:delText>in</w:delText>
        </w:r>
      </w:del>
      <w:ins w:id="85" w:author="Dave Bridges" w:date="2015-02-27T16:33:00Z">
        <w:r w:rsidR="004861BB">
          <w:t>e</w:t>
        </w:r>
      </w:ins>
      <w:del w:id="86" w:author="Dave Bridges" w:date="2015-02-27T16:33:00Z">
        <w:r w:rsidR="001E43B2" w:rsidDel="004861BB">
          <w:delText>g</w:delText>
        </w:r>
      </w:del>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655AB489" w:rsidR="00F1025D" w:rsidRPr="00352180" w:rsidRDefault="00352180" w:rsidP="00F1025D">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ins w:id="87" w:author="Dave Bridges" w:date="2015-02-27T16:33:00Z">
        <w:r w:rsidR="004861BB">
          <w:t xml:space="preserve">the dexamethasone treated </w:t>
        </w:r>
      </w:ins>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del w:id="88" w:author="Dave Bridges" w:date="2015-02-27T16:34:00Z">
        <w:r w:rsidDel="004861BB">
          <w:delText>Interestingly, we</w:delText>
        </w:r>
      </w:del>
      <w:ins w:id="89" w:author="Dave Bridges" w:date="2015-02-27T16:34:00Z">
        <w:r w:rsidR="004861BB">
          <w:t>In contrast to the human samples,</w:t>
        </w:r>
      </w:ins>
      <w:r>
        <w:t xml:space="preserv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012BB6EB" w:rsidR="002025A3" w:rsidDel="004861BB" w:rsidRDefault="002B3E82" w:rsidP="002025A3">
      <w:pPr>
        <w:rPr>
          <w:del w:id="90" w:author="Dave Bridges" w:date="2015-02-27T16:34:00Z"/>
        </w:rPr>
      </w:pPr>
      <w:r>
        <w:t>The major glycogen synthesis transcripts were</w:t>
      </w:r>
      <w:ins w:id="91" w:author="Dave Bridges" w:date="2015-02-27T16:34:00Z">
        <w:r w:rsidR="004861BB">
          <w:t xml:space="preserve"> also</w:t>
        </w:r>
      </w:ins>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del w:id="92" w:author="Dave Bridges" w:date="2015-02-27T16:34:00Z">
        <w:r w:rsidDel="004861BB">
          <w:delText>The major glycogen synthesis transcripts were induced, including</w:delText>
        </w:r>
        <w:r w:rsidR="00E10D57" w:rsidDel="004861BB">
          <w:delText xml:space="preserve"> </w:delText>
        </w:r>
        <w:r w:rsidR="002025A3" w:rsidRPr="0003020D" w:rsidDel="004861BB">
          <w:rPr>
            <w:i/>
          </w:rPr>
          <w:delText>GYS2</w:delText>
        </w:r>
        <w:r w:rsidR="00E10D57" w:rsidDel="004861BB">
          <w:rPr>
            <w:i/>
          </w:rPr>
          <w:delText xml:space="preserve">, </w:delText>
        </w:r>
        <w:r w:rsidR="002025A3" w:rsidRPr="0003020D" w:rsidDel="004861BB">
          <w:rPr>
            <w:i/>
          </w:rPr>
          <w:delText>UGP2</w:delText>
        </w:r>
        <w:r w:rsidR="00E10D57" w:rsidDel="004861BB">
          <w:rPr>
            <w:i/>
          </w:rPr>
          <w:delText xml:space="preserve"> </w:delText>
        </w:r>
        <w:r w:rsidDel="004861BB">
          <w:rPr>
            <w:iCs/>
          </w:rPr>
          <w:delText xml:space="preserve">and </w:delText>
        </w:r>
        <w:r w:rsidR="002025A3" w:rsidRPr="0003020D" w:rsidDel="004861BB">
          <w:rPr>
            <w:i/>
          </w:rPr>
          <w:delText>GBE1</w:delText>
        </w:r>
        <w:r w:rsidR="0003020D" w:rsidDel="004861BB">
          <w:delText xml:space="preserve">.  </w:delText>
        </w:r>
        <w:r w:rsidR="00260B2D" w:rsidDel="004861BB">
          <w:delText>This agrees with biochemical studies which implicate glucocorticoid treatment in</w:delText>
        </w:r>
        <w:r w:rsidR="0093335B" w:rsidDel="004861BB">
          <w:delText xml:space="preserve"> elevated</w:delText>
        </w:r>
        <w:r w:rsidR="00260B2D" w:rsidDel="004861BB">
          <w:delText xml:space="preserve"> hepatic glycogenesis </w:delText>
        </w:r>
        <w:r w:rsidR="0098461E" w:rsidDel="004861BB">
          <w:fldChar w:fldCharType="begin" w:fldLock="1"/>
        </w:r>
        <w:r w:rsidR="004B24DB" w:rsidDel="004861BB">
          <w:del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delInstrText>
        </w:r>
        <w:r w:rsidR="0098461E" w:rsidDel="004861BB">
          <w:fldChar w:fldCharType="separate"/>
        </w:r>
        <w:r w:rsidR="0098461E" w:rsidRPr="0098461E" w:rsidDel="004861BB">
          <w:rPr>
            <w:noProof/>
          </w:rPr>
          <w:delText xml:space="preserve">(Engel &amp; Scott 1951; Segal &amp; Gonzalez Lopez 1963; Baqué </w:delText>
        </w:r>
        <w:r w:rsidR="0098461E" w:rsidRPr="0098461E" w:rsidDel="004861BB">
          <w:rPr>
            <w:i/>
            <w:noProof/>
          </w:rPr>
          <w:delText>et al.</w:delText>
        </w:r>
        <w:r w:rsidR="0098461E" w:rsidRPr="0098461E" w:rsidDel="004861BB">
          <w:rPr>
            <w:noProof/>
          </w:rPr>
          <w:delText xml:space="preserve"> 1996)</w:delText>
        </w:r>
        <w:r w:rsidR="0098461E" w:rsidDel="004861BB">
          <w:fldChar w:fldCharType="end"/>
        </w:r>
        <w:r w:rsidR="00260B2D" w:rsidDel="004861BB">
          <w:delText>. The relevance of this effect in adipose tissue has not yet been explored.</w:delText>
        </w:r>
      </w:del>
    </w:p>
    <w:p w14:paraId="7455B13E" w14:textId="77777777" w:rsidR="002025A3" w:rsidRDefault="002025A3" w:rsidP="002025A3"/>
    <w:p w14:paraId="2D6B54FF" w14:textId="0514FF7C"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ins w:id="93" w:author="Dave Bridges" w:date="2015-02-27T16:34:00Z">
        <w:r w:rsidR="004861BB">
          <w:t xml:space="preserve"> from </w:t>
        </w:r>
        <w:proofErr w:type="gramStart"/>
        <w:r w:rsidR="004861BB">
          <w:t>glucocorticoid exposed</w:t>
        </w:r>
        <w:proofErr w:type="gramEnd"/>
        <w:r w:rsidR="004861BB">
          <w:t xml:space="preserve"> subjects</w:t>
        </w:r>
      </w:ins>
      <w:r>
        <w:t>.</w:t>
      </w:r>
    </w:p>
    <w:p w14:paraId="7D6AFCC9" w14:textId="59F62DFC" w:rsidR="00F637BB" w:rsidRDefault="00F637BB" w:rsidP="002025A3">
      <w:r>
        <w:t xml:space="preserve">We found two major pathways of protein homeostasis </w:t>
      </w:r>
      <w:ins w:id="94" w:author="Dave Bridges" w:date="2015-02-27T16:34:00Z">
        <w:r w:rsidR="004861BB">
          <w:t xml:space="preserve">are altered </w:t>
        </w:r>
      </w:ins>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ins w:id="95" w:author="Dave Bridges" w:date="2015-02-27T16:35:00Z">
        <w:r w:rsidR="004861BB">
          <w:t xml:space="preserve"> of mice</w:t>
        </w:r>
      </w:ins>
      <w:r w:rsidR="00161D64">
        <w:t xml:space="preserve">, after one week of dexamethasone treatment </w:t>
      </w:r>
      <w:r w:rsidR="00E914B3">
        <w:t>skeletal muscle, mRNA levels of the E3 ligases (Atrogin-1 and MuRF1</w:t>
      </w:r>
      <w:ins w:id="96" w:author="Dave Bridges" w:date="2015-02-27T16:35:00Z">
        <w:r w:rsidR="004861BB">
          <w:t>)</w:t>
        </w:r>
      </w:ins>
      <w:r w:rsidR="00E914B3">
        <w:t xml:space="preserve"> were induced</w:t>
      </w:r>
      <w:del w:id="97" w:author="Dave Bridges" w:date="2015-02-27T16:35:00Z">
        <w:r w:rsidR="00E914B3" w:rsidDel="004861BB">
          <w:delText>)</w:delText>
        </w:r>
      </w:del>
      <w:r w:rsidR="00E914B3">
        <w:t xml:space="preserve"> as </w:t>
      </w:r>
      <w:del w:id="98" w:author="Dave Bridges" w:date="2015-02-27T16:35:00Z">
        <w:r w:rsidR="00E914B3" w:rsidDel="004861BB">
          <w:delText xml:space="preserve">were </w:delText>
        </w:r>
      </w:del>
      <w:ins w:id="99" w:author="Dave Bridges" w:date="2015-02-27T16:35:00Z">
        <w:r w:rsidR="004861BB">
          <w:t xml:space="preserve">was </w:t>
        </w:r>
      </w:ins>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ins w:id="100" w:author="Dave Bridges" w:date="2015-02-27T16:35:00Z">
        <w:r w:rsidR="004861BB">
          <w:t xml:space="preserve"> the cohort of</w:t>
        </w:r>
      </w:ins>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664910F4"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del w:id="101" w:author="Dave Bridges" w:date="2015-02-27T16:37:00Z">
        <w:r w:rsidDel="004E786F">
          <w:delText>but also an induction of</w:delText>
        </w:r>
      </w:del>
      <w:ins w:id="102" w:author="Dave Bridges" w:date="2015-02-27T16:37:00Z">
        <w:r w:rsidR="004E786F">
          <w:t>and</w:t>
        </w:r>
      </w:ins>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ins w:id="103" w:author="Dave Bridges" w:date="2015-02-27T16:37:00Z">
        <w:r w:rsidR="004E786F">
          <w:t xml:space="preserve">a </w:t>
        </w:r>
      </w:ins>
      <w:r>
        <w:t>reduction</w:t>
      </w:r>
      <w:ins w:id="104" w:author="Dave Bridges" w:date="2015-02-27T16:37:00Z">
        <w:r w:rsidR="004E786F">
          <w:t xml:space="preserve"> in</w:t>
        </w:r>
      </w:ins>
      <w:del w:id="105" w:author="Dave Bridges" w:date="2015-02-27T16:37:00Z">
        <w:r w:rsidDel="004E786F">
          <w:delText>s of</w:delText>
        </w:r>
      </w:del>
      <w:r>
        <w:t xml:space="preserve">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06F2F033"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w:t>
      </w:r>
      <w:del w:id="106" w:author="Dave Bridges" w:date="2015-02-27T16:37:00Z">
        <w:r w:rsidDel="004E786F">
          <w:delText xml:space="preserve">to </w:delText>
        </w:r>
      </w:del>
      <w:r>
        <w:t>link</w:t>
      </w:r>
      <w:ins w:id="107" w:author="Dave Bridges" w:date="2015-02-27T16:37:00Z">
        <w:r w:rsidR="004E786F">
          <w:t>ing</w:t>
        </w:r>
      </w:ins>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30F5926B"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ins w:id="108" w:author="Dave Bridges" w:date="2015-02-27T16:38:00Z">
        <w:r w:rsidR="004E786F">
          <w:t>-</w:t>
        </w:r>
      </w:ins>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57FEEE0F"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ins w:id="109" w:author="Dave Bridges" w:date="2015-02-27T16:38:00Z">
        <w:r w:rsidR="004E786F">
          <w:t>,</w:t>
        </w:r>
      </w:ins>
      <w:r w:rsidR="00A0255B">
        <w:t xml:space="preserve">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005B568A" w:rsidR="00C54DB8" w:rsidRPr="00C54DB8" w:rsidRDefault="00C54DB8" w:rsidP="00C54DB8">
      <w:r>
        <w:t xml:space="preserve">In our small cohort of Cushing’s subjects, we examined whether some of the dramatic transcriptional changes </w:t>
      </w:r>
      <w:del w:id="110" w:author="Dave Bridges" w:date="2015-02-27T16:38:00Z">
        <w:r w:rsidDel="004E786F">
          <w:delText xml:space="preserve">we observed </w:delText>
        </w:r>
      </w:del>
      <w:r>
        <w:t>were modified by the obesity status of the patients</w:t>
      </w:r>
      <w:ins w:id="111" w:author="Dave Bridges" w:date="2015-02-27T16:38:00Z">
        <w:r w:rsidR="004E786F">
          <w:t xml:space="preserve"> (based on a BMI cutoff of </w:t>
        </w:r>
      </w:ins>
      <w:ins w:id="112" w:author="Dave Bridges" w:date="2015-02-27T16:39:00Z">
        <w:r w:rsidR="004E786F">
          <w:t>30)</w:t>
        </w:r>
      </w:ins>
      <w:r>
        <w:t xml:space="preserve">.  </w:t>
      </w:r>
      <w:r w:rsidR="00000A0F">
        <w:t xml:space="preserve">We were surprised to note that many genes </w:t>
      </w:r>
      <w:r w:rsidR="0098461E">
        <w:t xml:space="preserve">that </w:t>
      </w:r>
      <w:r w:rsidR="00000A0F">
        <w:t xml:space="preserve">had strongly elevated transcripts in non-obese Cushing’s patients had </w:t>
      </w:r>
      <w:del w:id="113" w:author="Dave Bridges" w:date="2015-02-27T16:39:00Z">
        <w:r w:rsidR="00000A0F" w:rsidDel="004E786F">
          <w:delText xml:space="preserve">largely </w:delText>
        </w:r>
      </w:del>
      <w:r w:rsidR="00000A0F">
        <w:t>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w:t>
      </w:r>
      <w:del w:id="114" w:author="Dave Bridges" w:date="2015-02-27T16:39:00Z">
        <w:r w:rsidR="009A2A7F" w:rsidDel="004E786F">
          <w:delText xml:space="preserve">genes </w:delText>
        </w:r>
      </w:del>
      <w:r w:rsidR="009A2A7F">
        <w:t xml:space="preserve">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ins w:id="115" w:author="Dave Bridges" w:date="2015-02-27T16:39:00Z">
        <w:r w:rsidR="004E786F">
          <w:t xml:space="preserve">provocative </w:t>
        </w:r>
      </w:ins>
      <w:r w:rsidR="00BC4151">
        <w:t>observations</w:t>
      </w:r>
      <w:ins w:id="116" w:author="Dave Bridges" w:date="2015-02-27T16:39:00Z">
        <w:r w:rsidR="004E786F">
          <w:t xml:space="preserve">, </w:t>
        </w:r>
      </w:ins>
      <w:del w:id="117" w:author="Dave Bridges" w:date="2015-02-27T16:39:00Z">
        <w:r w:rsidR="00BC4151" w:rsidDel="004E786F">
          <w:delText xml:space="preserve"> quite </w:delText>
        </w:r>
      </w:del>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91E898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ins w:id="118" w:author="Dave Bridges" w:date="2015-02-27T16:39:00Z">
        <w:r w:rsidR="004E786F">
          <w:t>,</w:t>
        </w:r>
      </w:ins>
      <w:r w:rsidR="00DB2ED9">
        <w:t xml:space="preserve"> these changes reflect a shift towards more rapid conversion of glucose through glycolysis and the TCA cycle</w:t>
      </w:r>
      <w:ins w:id="119" w:author="Dave Bridges" w:date="2015-02-27T16:40:00Z">
        <w:r w:rsidR="004E786F">
          <w:t>,</w:t>
        </w:r>
      </w:ins>
      <w:r w:rsidR="00DB2ED9">
        <w:t xml:space="preserv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CDD8E80"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del w:id="120" w:author="Dave Bridges" w:date="2015-02-27T16:40:00Z">
        <w:r w:rsidDel="004E786F">
          <w:delText xml:space="preserve"> in </w:delText>
        </w:r>
      </w:del>
      <w:r w:rsidRPr="00C103F7">
        <w:rPr>
          <w:i/>
        </w:rPr>
        <w:t xml:space="preserve">ex vivo </w:t>
      </w:r>
      <w:ins w:id="121" w:author="Dave Bridges" w:date="2015-02-27T16:40:00Z">
        <w:r w:rsidR="004E786F">
          <w:t xml:space="preserve">in </w:t>
        </w:r>
      </w:ins>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ins w:id="122" w:author="Dave Bridges" w:date="2015-02-27T16:40:00Z">
        <w:r w:rsidR="004E786F">
          <w:t xml:space="preserve">in </w:t>
        </w:r>
      </w:ins>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w:t>
      </w:r>
      <w:r w:rsidR="000220D0">
        <w:t>esis</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7799C65D"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ins w:id="123" w:author="Dave Bridges" w:date="2015-02-27T16:40:00Z">
        <w:r w:rsidR="004E786F">
          <w:t xml:space="preserve">, </w:t>
        </w:r>
      </w:ins>
      <w:del w:id="124" w:author="Dave Bridges" w:date="2015-02-27T16:40:00Z">
        <w:r w:rsidR="00730E37" w:rsidDel="004E786F">
          <w:delText xml:space="preserve"> </w:delText>
        </w:r>
        <w:r w:rsidDel="004E786F">
          <w:delText xml:space="preserve">and </w:delText>
        </w:r>
      </w:del>
      <w:r>
        <w:t xml:space="preserve">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ins w:id="125" w:author="Dave Bridges" w:date="2015-02-27T16:41:00Z">
        <w:r w:rsidR="00370F8A">
          <w:t xml:space="preserve">and </w:t>
        </w:r>
      </w:ins>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ins w:id="126" w:author="Dave Bridges" w:date="2015-02-27T16:41:00Z">
        <w:r w:rsidR="00370F8A">
          <w:t xml:space="preserve">with </w:t>
        </w:r>
      </w:ins>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ins w:id="127" w:author="Dave Bridges" w:date="2015-02-27T16:41:00Z">
        <w:r w:rsidR="00370F8A">
          <w:t xml:space="preserve"> (a synthetic corticosteroid)</w:t>
        </w:r>
      </w:ins>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w:t>
      </w:r>
      <w:del w:id="128" w:author="Dave Bridges" w:date="2015-02-27T16:41:00Z">
        <w:r w:rsidDel="00370F8A">
          <w:delText xml:space="preserve">a significant </w:delText>
        </w:r>
      </w:del>
      <w:r>
        <w:t xml:space="preserve">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del w:id="129" w:author="Dave Bridges" w:date="2015-02-27T16:41:00Z">
        <w:r w:rsidDel="00370F8A">
          <w:delText xml:space="preserve">in </w:delText>
        </w:r>
      </w:del>
      <w:ins w:id="130" w:author="Dave Bridges" w:date="2015-02-27T16:41:00Z">
        <w:r w:rsidR="00370F8A">
          <w:t>from our</w:t>
        </w:r>
        <w:r w:rsidR="00370F8A">
          <w:t xml:space="preserve"> </w:t>
        </w:r>
      </w:ins>
      <w:r>
        <w:t>Cushi</w:t>
      </w:r>
      <w:r w:rsidR="002D0814">
        <w:t xml:space="preserve">ng's </w:t>
      </w:r>
      <w:del w:id="131" w:author="Dave Bridges" w:date="2015-02-27T16:41:00Z">
        <w:r w:rsidR="002D0814" w:rsidDel="00370F8A">
          <w:delText>disease</w:delText>
        </w:r>
      </w:del>
      <w:ins w:id="132" w:author="Dave Bridges" w:date="2015-02-27T16:41:00Z">
        <w:r w:rsidR="00370F8A">
          <w:t>subjects</w:t>
        </w:r>
      </w:ins>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540485ED"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del w:id="133" w:author="Dave Bridges" w:date="2015-02-27T16:42:00Z">
        <w:r w:rsidDel="00370F8A">
          <w:delText xml:space="preserve">are </w:delText>
        </w:r>
      </w:del>
      <w:ins w:id="134" w:author="Dave Bridges" w:date="2015-02-27T16:42:00Z">
        <w:r w:rsidR="00370F8A">
          <w:t>is</w:t>
        </w:r>
        <w:r w:rsidR="00370F8A">
          <w:t xml:space="preserve"> </w:t>
        </w:r>
      </w:ins>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w:t>
      </w:r>
      <w:del w:id="135" w:author="Dave Bridges" w:date="2015-02-27T16:42:00Z">
        <w:r w:rsidR="005E4873" w:rsidDel="00370F8A">
          <w:delText xml:space="preserve">in adipose tissues </w:delText>
        </w:r>
      </w:del>
      <w:r w:rsidR="005E4873">
        <w:t>(Figure 7A</w:t>
      </w:r>
      <w:ins w:id="136" w:author="Dave Bridges" w:date="2015-02-27T16:42:00Z">
        <w:r w:rsidR="00370F8A">
          <w:t xml:space="preserve">) or </w:t>
        </w:r>
      </w:ins>
      <w:del w:id="137" w:author="Dave Bridges" w:date="2015-02-27T16:42:00Z">
        <w:r w:rsidR="005E4873" w:rsidDel="00370F8A">
          <w:delText xml:space="preserve">) and a lack of elevated </w:delText>
        </w:r>
      </w:del>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2025A3"/>
    <w:p w14:paraId="50CC2C57" w14:textId="77777777" w:rsidR="001A282B" w:rsidRDefault="001A282B" w:rsidP="002025A3"/>
    <w:p w14:paraId="436123BB" w14:textId="3519BEA8" w:rsidR="002025A3" w:rsidRDefault="002025A3" w:rsidP="002025A3">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ins w:id="138" w:author="Dave Bridges" w:date="2015-02-27T16:42:00Z">
        <w:r w:rsidR="00370F8A">
          <w:t xml:space="preserve">the </w:t>
        </w:r>
      </w:ins>
      <w:r>
        <w:t>metabolic effects of glucocorticoid</w:t>
      </w:r>
      <w:ins w:id="139" w:author="Dave Bridges" w:date="2015-02-27T16:42:00Z">
        <w:r w:rsidR="00370F8A">
          <w:t xml:space="preserve"> effects</w:t>
        </w:r>
      </w:ins>
      <w:del w:id="140" w:author="Dave Bridges" w:date="2015-02-27T16:42:00Z">
        <w:r w:rsidDel="00370F8A">
          <w:delText>s</w:delText>
        </w:r>
      </w:del>
      <w:r>
        <w:t xml:space="preserve">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0CFE0B0E" w:rsidR="00B60B15" w:rsidRPr="000C66BF" w:rsidRDefault="00B60B15" w:rsidP="00B60B15">
      <w:pPr>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B940A5">
      <w:pPr>
        <w:pStyle w:val="Heading1"/>
      </w:pPr>
      <w:r>
        <w:t>Author Contributions</w:t>
      </w:r>
    </w:p>
    <w:p w14:paraId="4B643633" w14:textId="533F1402" w:rsidR="00B940A5" w:rsidRDefault="00B940A5" w:rsidP="00A75F4A">
      <w:pPr>
        <w:pPrChange w:id="141" w:author="Dave Bridges" w:date="2015-02-27T16:16:00Z">
          <w:pPr>
            <w:pStyle w:val="Heading1"/>
          </w:pPr>
        </w:pPrChange>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t>References</w:t>
      </w:r>
    </w:p>
    <w:p w14:paraId="030955DC" w14:textId="18FE1AE8" w:rsidR="00563B3B" w:rsidRPr="00563B3B" w:rsidRDefault="00F72E09">
      <w:pPr>
        <w:pStyle w:val="NormalWeb"/>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pPr>
        <w:pStyle w:val="NormalWeb"/>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563B3B">
      <w:pPr>
        <w:pStyle w:val="NormalWeb"/>
        <w:ind w:left="480" w:hanging="480"/>
        <w:divId w:val="287669955"/>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65FF5542"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r w:rsidR="00E120CD">
        <w:t xml:space="preserve">A.C indicates abdominal circumference.  </w:t>
      </w:r>
      <w:r w:rsidR="003462ED">
        <w:t xml:space="preserve">B) </w:t>
      </w:r>
      <w:del w:id="142" w:author="Dave Bridges" w:date="2015-02-27T16:43:00Z">
        <w:r w:rsidR="003462ED" w:rsidDel="00E83C36">
          <w:delText xml:space="preserve"> </w:delText>
        </w:r>
      </w:del>
      <w:r w:rsidR="003462ED">
        <w:t xml:space="preserve">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3C6ECB30" w:rsidR="009D5AE7" w:rsidRDefault="009D5AE7" w:rsidP="002025A3">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54AF0DC2"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2E3CFA08"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450C99D"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5A537B87" w:rsidR="009A300F" w:rsidRPr="007838C3" w:rsidRDefault="009A300F" w:rsidP="002025A3">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control vs. Cushing’s 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2025A3"/>
    <w:p w14:paraId="4E6294BB" w14:textId="4FB6CEAC"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47090">
        <w:rPr>
          <w:b/>
        </w:rPr>
        <w:t xml:space="preserve">Table 1: </w:t>
      </w:r>
      <w:r w:rsidRPr="004B24DB">
        <w:rPr>
          <w:b/>
        </w:rPr>
        <w:t xml:space="preserve">Primer sequences used for </w:t>
      </w:r>
      <w:proofErr w:type="spellStart"/>
      <w:r w:rsidRPr="004B24DB">
        <w:rPr>
          <w:b/>
        </w:rPr>
        <w:t>qPCR</w:t>
      </w:r>
      <w:proofErr w:type="spellEnd"/>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F63602" w14:paraId="3149FF53" w14:textId="77777777" w:rsidTr="008654AE">
        <w:trPr>
          <w:trHeight w:hRule="exact" w:val="288"/>
        </w:trPr>
        <w:tc>
          <w:tcPr>
            <w:tcW w:w="1030" w:type="dxa"/>
          </w:tcPr>
          <w:p w14:paraId="0499AF11" w14:textId="77777777" w:rsidR="007075E6" w:rsidRPr="00F63602" w:rsidRDefault="007075E6" w:rsidP="008654AE">
            <w:pPr>
              <w:rPr>
                <w:i/>
              </w:rPr>
            </w:pPr>
            <w:proofErr w:type="spellStart"/>
            <w:r w:rsidRPr="00F63602">
              <w:rPr>
                <w:i/>
              </w:rPr>
              <w:t>Acaca</w:t>
            </w:r>
            <w:proofErr w:type="spellEnd"/>
          </w:p>
        </w:tc>
        <w:tc>
          <w:tcPr>
            <w:tcW w:w="3668" w:type="dxa"/>
          </w:tcPr>
          <w:p w14:paraId="16DDD26E" w14:textId="2CAD77F4" w:rsidR="007075E6" w:rsidRPr="00F63602" w:rsidRDefault="00B4059E" w:rsidP="008654AE">
            <w:r w:rsidRPr="00F63602">
              <w:t>GCTAAACCAGCACTCCCGAT</w:t>
            </w:r>
          </w:p>
        </w:tc>
        <w:tc>
          <w:tcPr>
            <w:tcW w:w="3780" w:type="dxa"/>
          </w:tcPr>
          <w:p w14:paraId="56DE82BA" w14:textId="7289D496" w:rsidR="007075E6" w:rsidRPr="00F63602" w:rsidRDefault="00B4059E" w:rsidP="008654AE">
            <w:r w:rsidRPr="00F63602">
              <w:t>GTATCTGAGCTGACGGAGGC</w:t>
            </w:r>
          </w:p>
        </w:tc>
      </w:tr>
      <w:tr w:rsidR="008654AE" w:rsidRPr="00F63602" w14:paraId="36290A17" w14:textId="77777777" w:rsidTr="008654AE">
        <w:trPr>
          <w:trHeight w:hRule="exact" w:val="288"/>
        </w:trPr>
        <w:tc>
          <w:tcPr>
            <w:tcW w:w="1030" w:type="dxa"/>
          </w:tcPr>
          <w:p w14:paraId="7ED4E040" w14:textId="77777777" w:rsidR="007075E6" w:rsidRPr="00F63602" w:rsidRDefault="007075E6" w:rsidP="008654AE">
            <w:pPr>
              <w:rPr>
                <w:i/>
              </w:rPr>
            </w:pPr>
            <w:r w:rsidRPr="00F63602">
              <w:rPr>
                <w:i/>
              </w:rPr>
              <w:t>Aco1</w:t>
            </w:r>
          </w:p>
        </w:tc>
        <w:tc>
          <w:tcPr>
            <w:tcW w:w="3668" w:type="dxa"/>
          </w:tcPr>
          <w:p w14:paraId="47ABF3EE" w14:textId="77777777" w:rsidR="007075E6" w:rsidRPr="00F63602" w:rsidRDefault="007075E6" w:rsidP="008654AE">
            <w:pPr>
              <w:rPr>
                <w:rFonts w:eastAsia="Times New Roman" w:cs="Times New Roman"/>
                <w:color w:val="000000"/>
              </w:rPr>
            </w:pPr>
            <w:r w:rsidRPr="00F63602">
              <w:rPr>
                <w:rFonts w:eastAsia="Times New Roman" w:cs="Times New Roman"/>
                <w:color w:val="000000"/>
              </w:rPr>
              <w:t>AACACCAGCAATCCATCCGT</w:t>
            </w:r>
          </w:p>
        </w:tc>
        <w:tc>
          <w:tcPr>
            <w:tcW w:w="3780" w:type="dxa"/>
          </w:tcPr>
          <w:p w14:paraId="2AB9D4E4" w14:textId="77777777" w:rsidR="007075E6" w:rsidRPr="00F63602" w:rsidRDefault="007075E6" w:rsidP="008654AE">
            <w:pPr>
              <w:rPr>
                <w:rFonts w:eastAsia="Times New Roman" w:cs="Times New Roman"/>
                <w:color w:val="000000"/>
              </w:rPr>
            </w:pPr>
            <w:r w:rsidRPr="00F63602">
              <w:rPr>
                <w:rFonts w:eastAsia="Times New Roman" w:cs="Times New Roman"/>
                <w:color w:val="000000"/>
              </w:rPr>
              <w:t>GGTGACCACTCCACTTCCAG</w:t>
            </w:r>
          </w:p>
        </w:tc>
      </w:tr>
      <w:tr w:rsidR="008654AE" w:rsidRPr="00F63602" w14:paraId="4B212B50" w14:textId="77777777" w:rsidTr="008654AE">
        <w:trPr>
          <w:trHeight w:hRule="exact" w:val="288"/>
        </w:trPr>
        <w:tc>
          <w:tcPr>
            <w:tcW w:w="1030" w:type="dxa"/>
          </w:tcPr>
          <w:p w14:paraId="5F74F756" w14:textId="77777777" w:rsidR="007075E6" w:rsidRPr="00F63602" w:rsidRDefault="007075E6" w:rsidP="008654AE">
            <w:pPr>
              <w:rPr>
                <w:i/>
              </w:rPr>
            </w:pPr>
            <w:r w:rsidRPr="00F63602">
              <w:rPr>
                <w:i/>
              </w:rPr>
              <w:t>Acsl1</w:t>
            </w:r>
          </w:p>
        </w:tc>
        <w:tc>
          <w:tcPr>
            <w:tcW w:w="3668" w:type="dxa"/>
          </w:tcPr>
          <w:p w14:paraId="2541760F" w14:textId="77777777" w:rsidR="007075E6" w:rsidRPr="00F63602" w:rsidRDefault="007075E6" w:rsidP="008654AE">
            <w:r w:rsidRPr="00F63602">
              <w:rPr>
                <w:rFonts w:cs="Helvetica Neue"/>
              </w:rPr>
              <w:t>GCCTCACTGCCCTTTTCTGA</w:t>
            </w:r>
          </w:p>
        </w:tc>
        <w:tc>
          <w:tcPr>
            <w:tcW w:w="3780" w:type="dxa"/>
          </w:tcPr>
          <w:p w14:paraId="5B5AF2CB" w14:textId="77777777" w:rsidR="007075E6" w:rsidRPr="00F63602" w:rsidRDefault="007075E6" w:rsidP="008654AE">
            <w:r w:rsidRPr="00F63602">
              <w:rPr>
                <w:rFonts w:cs="Helvetica Neue"/>
              </w:rPr>
              <w:t>GCAGAATTCATCTGTGCCATCC</w:t>
            </w:r>
          </w:p>
        </w:tc>
      </w:tr>
      <w:tr w:rsidR="008654AE" w:rsidRPr="00F63602" w14:paraId="24818E21" w14:textId="77777777" w:rsidTr="008654AE">
        <w:trPr>
          <w:trHeight w:hRule="exact" w:val="288"/>
        </w:trPr>
        <w:tc>
          <w:tcPr>
            <w:tcW w:w="1030" w:type="dxa"/>
          </w:tcPr>
          <w:p w14:paraId="52878689" w14:textId="77777777" w:rsidR="007075E6" w:rsidRPr="00F63602" w:rsidRDefault="007075E6" w:rsidP="008654AE">
            <w:pPr>
              <w:rPr>
                <w:i/>
              </w:rPr>
            </w:pPr>
            <w:r w:rsidRPr="00F63602">
              <w:rPr>
                <w:i/>
              </w:rPr>
              <w:t>Acss2</w:t>
            </w:r>
          </w:p>
        </w:tc>
        <w:tc>
          <w:tcPr>
            <w:tcW w:w="3668" w:type="dxa"/>
          </w:tcPr>
          <w:p w14:paraId="344113E1" w14:textId="77777777" w:rsidR="007075E6" w:rsidRPr="00F63602" w:rsidRDefault="007075E6" w:rsidP="008654AE">
            <w:pPr>
              <w:rPr>
                <w:rFonts w:eastAsia="Times New Roman" w:cs="Times New Roman"/>
                <w:color w:val="000000"/>
              </w:rPr>
            </w:pPr>
            <w:r w:rsidRPr="00F63602">
              <w:rPr>
                <w:rFonts w:eastAsia="Times New Roman" w:cs="Times New Roman"/>
                <w:color w:val="000000"/>
              </w:rPr>
              <w:t>CGTTCTGTGGAGGAGCCAC</w:t>
            </w:r>
          </w:p>
        </w:tc>
        <w:tc>
          <w:tcPr>
            <w:tcW w:w="3780" w:type="dxa"/>
          </w:tcPr>
          <w:p w14:paraId="3FA47DF9" w14:textId="77777777" w:rsidR="007075E6" w:rsidRPr="00F63602" w:rsidRDefault="007075E6" w:rsidP="008654AE">
            <w:pPr>
              <w:rPr>
                <w:rFonts w:eastAsia="Times New Roman" w:cs="Times New Roman"/>
                <w:color w:val="000000"/>
              </w:rPr>
            </w:pPr>
            <w:r w:rsidRPr="00F63602">
              <w:rPr>
                <w:rFonts w:eastAsia="Times New Roman" w:cs="Times New Roman"/>
                <w:color w:val="000000"/>
              </w:rPr>
              <w:t>GGCATGCGGTTTTCCAGTAA</w:t>
            </w:r>
          </w:p>
        </w:tc>
      </w:tr>
      <w:tr w:rsidR="008654AE" w:rsidRPr="00F63602" w14:paraId="76871748" w14:textId="77777777" w:rsidTr="008654AE">
        <w:trPr>
          <w:trHeight w:hRule="exact" w:val="288"/>
        </w:trPr>
        <w:tc>
          <w:tcPr>
            <w:tcW w:w="1030" w:type="dxa"/>
          </w:tcPr>
          <w:p w14:paraId="19364535" w14:textId="77777777" w:rsidR="007075E6" w:rsidRPr="00F63602" w:rsidRDefault="007075E6" w:rsidP="008654AE">
            <w:pPr>
              <w:rPr>
                <w:i/>
              </w:rPr>
            </w:pPr>
            <w:proofErr w:type="spellStart"/>
            <w:r w:rsidRPr="00F63602">
              <w:rPr>
                <w:i/>
              </w:rPr>
              <w:t>Actb</w:t>
            </w:r>
            <w:proofErr w:type="spellEnd"/>
          </w:p>
        </w:tc>
        <w:tc>
          <w:tcPr>
            <w:tcW w:w="3668" w:type="dxa"/>
          </w:tcPr>
          <w:p w14:paraId="5209C517" w14:textId="77777777" w:rsidR="007075E6" w:rsidRPr="00F63602" w:rsidRDefault="007075E6" w:rsidP="008654AE">
            <w:r w:rsidRPr="00F63602">
              <w:rPr>
                <w:rFonts w:cs="Helvetica Neue"/>
              </w:rPr>
              <w:t>ATGTGGATCAGCAAGCAGGA</w:t>
            </w:r>
          </w:p>
        </w:tc>
        <w:tc>
          <w:tcPr>
            <w:tcW w:w="3780" w:type="dxa"/>
          </w:tcPr>
          <w:p w14:paraId="5BDADE18" w14:textId="77777777" w:rsidR="007075E6" w:rsidRPr="00F63602" w:rsidRDefault="007075E6" w:rsidP="008654AE">
            <w:r w:rsidRPr="00F63602">
              <w:rPr>
                <w:rFonts w:cs="Helvetica Neue"/>
              </w:rPr>
              <w:t>AAGGGTGTAAAACGCAGCTCA</w:t>
            </w:r>
          </w:p>
        </w:tc>
      </w:tr>
      <w:tr w:rsidR="008654AE" w:rsidRPr="00F63602" w14:paraId="7E79010F" w14:textId="77777777" w:rsidTr="008654AE">
        <w:trPr>
          <w:trHeight w:hRule="exact" w:val="288"/>
        </w:trPr>
        <w:tc>
          <w:tcPr>
            <w:tcW w:w="1030" w:type="dxa"/>
          </w:tcPr>
          <w:p w14:paraId="379519D2" w14:textId="77777777" w:rsidR="007075E6" w:rsidRPr="00F63602" w:rsidRDefault="007075E6" w:rsidP="008654AE">
            <w:pPr>
              <w:rPr>
                <w:i/>
              </w:rPr>
            </w:pPr>
            <w:r w:rsidRPr="00F63602">
              <w:rPr>
                <w:i/>
              </w:rPr>
              <w:t>Agpat2</w:t>
            </w:r>
          </w:p>
        </w:tc>
        <w:tc>
          <w:tcPr>
            <w:tcW w:w="3668" w:type="dxa"/>
          </w:tcPr>
          <w:p w14:paraId="6E0C6015" w14:textId="77777777" w:rsidR="007075E6" w:rsidRPr="00F63602" w:rsidRDefault="007075E6" w:rsidP="008654AE">
            <w:r w:rsidRPr="00F63602">
              <w:rPr>
                <w:rFonts w:cs="Helvetica Neue"/>
              </w:rPr>
              <w:t>CGTGTATGGCCTTCGCTTTG</w:t>
            </w:r>
          </w:p>
        </w:tc>
        <w:tc>
          <w:tcPr>
            <w:tcW w:w="3780" w:type="dxa"/>
          </w:tcPr>
          <w:p w14:paraId="6BCEFAD0" w14:textId="77777777" w:rsidR="007075E6" w:rsidRPr="00F63602" w:rsidRDefault="007075E6" w:rsidP="008654AE">
            <w:r w:rsidRPr="00F63602">
              <w:rPr>
                <w:rFonts w:cs="Helvetica Neue"/>
              </w:rPr>
              <w:t>TCCATGAGACCCATCATGTCC</w:t>
            </w:r>
          </w:p>
        </w:tc>
      </w:tr>
      <w:tr w:rsidR="008654AE" w:rsidRPr="00F63602" w14:paraId="1EED2D0C" w14:textId="77777777" w:rsidTr="008654AE">
        <w:trPr>
          <w:trHeight w:hRule="exact" w:val="288"/>
        </w:trPr>
        <w:tc>
          <w:tcPr>
            <w:tcW w:w="1030" w:type="dxa"/>
          </w:tcPr>
          <w:p w14:paraId="032A9443" w14:textId="77777777" w:rsidR="007075E6" w:rsidRPr="00F63602" w:rsidRDefault="007075E6" w:rsidP="008654AE">
            <w:pPr>
              <w:rPr>
                <w:i/>
              </w:rPr>
            </w:pPr>
            <w:r w:rsidRPr="00F63602">
              <w:rPr>
                <w:i/>
              </w:rPr>
              <w:t>Dgat2</w:t>
            </w:r>
          </w:p>
        </w:tc>
        <w:tc>
          <w:tcPr>
            <w:tcW w:w="3668" w:type="dxa"/>
          </w:tcPr>
          <w:p w14:paraId="138692E7" w14:textId="77777777" w:rsidR="007075E6" w:rsidRPr="00F63602" w:rsidRDefault="007075E6" w:rsidP="008654AE">
            <w:r w:rsidRPr="00F63602">
              <w:rPr>
                <w:rFonts w:cs="Helvetica Neue"/>
              </w:rPr>
              <w:t>AACACGCCCAAGAAAGGTGG</w:t>
            </w:r>
          </w:p>
        </w:tc>
        <w:tc>
          <w:tcPr>
            <w:tcW w:w="3780" w:type="dxa"/>
          </w:tcPr>
          <w:p w14:paraId="2CBE631D" w14:textId="77777777" w:rsidR="007075E6" w:rsidRPr="00F63602" w:rsidRDefault="007075E6" w:rsidP="008654AE">
            <w:r w:rsidRPr="00F63602">
              <w:rPr>
                <w:rFonts w:cs="Helvetica Neue"/>
              </w:rPr>
              <w:t>GTAGTCTCGGAAGTAGCGCC</w:t>
            </w:r>
          </w:p>
        </w:tc>
      </w:tr>
      <w:tr w:rsidR="008654AE" w:rsidRPr="00F63602" w14:paraId="6C61EF27" w14:textId="77777777" w:rsidTr="008654AE">
        <w:trPr>
          <w:trHeight w:hRule="exact" w:val="288"/>
        </w:trPr>
        <w:tc>
          <w:tcPr>
            <w:tcW w:w="1030" w:type="dxa"/>
          </w:tcPr>
          <w:p w14:paraId="0BE5F337" w14:textId="77777777" w:rsidR="007075E6" w:rsidRPr="00F63602" w:rsidRDefault="007075E6" w:rsidP="008654AE">
            <w:pPr>
              <w:rPr>
                <w:i/>
              </w:rPr>
            </w:pPr>
            <w:r w:rsidRPr="00F63602">
              <w:rPr>
                <w:i/>
              </w:rPr>
              <w:t>Dhcr7</w:t>
            </w:r>
          </w:p>
        </w:tc>
        <w:tc>
          <w:tcPr>
            <w:tcW w:w="3668" w:type="dxa"/>
          </w:tcPr>
          <w:p w14:paraId="0FB02DE5" w14:textId="77777777" w:rsidR="007075E6" w:rsidRPr="00F63602" w:rsidRDefault="007075E6" w:rsidP="008654AE">
            <w:pPr>
              <w:widowControl w:val="0"/>
              <w:autoSpaceDE w:val="0"/>
              <w:autoSpaceDN w:val="0"/>
              <w:adjustRightInd w:val="0"/>
              <w:spacing w:after="240"/>
              <w:rPr>
                <w:rFonts w:cs="Times"/>
              </w:rPr>
            </w:pPr>
            <w:r w:rsidRPr="00F63602">
              <w:rPr>
                <w:rFonts w:cs="Arial"/>
              </w:rPr>
              <w:t>ATGGCTTCGAAATCCCAGCA</w:t>
            </w:r>
          </w:p>
        </w:tc>
        <w:tc>
          <w:tcPr>
            <w:tcW w:w="3780" w:type="dxa"/>
          </w:tcPr>
          <w:p w14:paraId="74DD6468" w14:textId="77777777" w:rsidR="007075E6" w:rsidRPr="00F63602" w:rsidRDefault="007075E6" w:rsidP="008654AE">
            <w:pPr>
              <w:widowControl w:val="0"/>
              <w:autoSpaceDE w:val="0"/>
              <w:autoSpaceDN w:val="0"/>
              <w:adjustRightInd w:val="0"/>
              <w:spacing w:after="240"/>
              <w:rPr>
                <w:rFonts w:cs="Times"/>
              </w:rPr>
            </w:pPr>
            <w:r w:rsidRPr="00F63602">
              <w:rPr>
                <w:rFonts w:cs="Arial"/>
              </w:rPr>
              <w:t>GAACCAGTCCACTTCCCAGG</w:t>
            </w:r>
          </w:p>
        </w:tc>
      </w:tr>
      <w:tr w:rsidR="008654AE" w:rsidRPr="00F63602" w14:paraId="16892FF0" w14:textId="77777777" w:rsidTr="008654AE">
        <w:trPr>
          <w:trHeight w:hRule="exact" w:val="288"/>
        </w:trPr>
        <w:tc>
          <w:tcPr>
            <w:tcW w:w="1030" w:type="dxa"/>
          </w:tcPr>
          <w:p w14:paraId="0420914D" w14:textId="77777777" w:rsidR="007075E6" w:rsidRPr="00F63602" w:rsidRDefault="007075E6" w:rsidP="008654AE">
            <w:pPr>
              <w:rPr>
                <w:i/>
              </w:rPr>
            </w:pPr>
            <w:r w:rsidRPr="00F63602">
              <w:rPr>
                <w:i/>
              </w:rPr>
              <w:t>Dhcr24</w:t>
            </w:r>
          </w:p>
        </w:tc>
        <w:tc>
          <w:tcPr>
            <w:tcW w:w="3668" w:type="dxa"/>
          </w:tcPr>
          <w:p w14:paraId="7072DA43" w14:textId="77777777" w:rsidR="007075E6" w:rsidRPr="00F63602" w:rsidRDefault="007075E6" w:rsidP="008654AE">
            <w:pPr>
              <w:widowControl w:val="0"/>
              <w:autoSpaceDE w:val="0"/>
              <w:autoSpaceDN w:val="0"/>
              <w:adjustRightInd w:val="0"/>
              <w:spacing w:after="240"/>
              <w:rPr>
                <w:rFonts w:cs="Times"/>
              </w:rPr>
            </w:pPr>
            <w:r w:rsidRPr="00F63602">
              <w:rPr>
                <w:rFonts w:cs="Arial"/>
              </w:rPr>
              <w:t>AGCTCCAGGACATCATCCCT</w:t>
            </w:r>
          </w:p>
        </w:tc>
        <w:tc>
          <w:tcPr>
            <w:tcW w:w="3780" w:type="dxa"/>
          </w:tcPr>
          <w:p w14:paraId="012C2B63" w14:textId="77777777" w:rsidR="007075E6" w:rsidRPr="00F63602" w:rsidRDefault="007075E6" w:rsidP="008654AE">
            <w:pPr>
              <w:widowControl w:val="0"/>
              <w:autoSpaceDE w:val="0"/>
              <w:autoSpaceDN w:val="0"/>
              <w:adjustRightInd w:val="0"/>
              <w:spacing w:after="240"/>
              <w:rPr>
                <w:rFonts w:cs="Times"/>
              </w:rPr>
            </w:pPr>
            <w:r w:rsidRPr="00F63602">
              <w:rPr>
                <w:rFonts w:cs="Arial"/>
              </w:rPr>
              <w:t>TACAGCTTGCGTAGCGTCTC</w:t>
            </w:r>
          </w:p>
        </w:tc>
      </w:tr>
      <w:tr w:rsidR="008654AE" w:rsidRPr="00F63602" w14:paraId="4A406908" w14:textId="77777777" w:rsidTr="008654AE">
        <w:trPr>
          <w:trHeight w:hRule="exact" w:val="288"/>
        </w:trPr>
        <w:tc>
          <w:tcPr>
            <w:tcW w:w="1030" w:type="dxa"/>
          </w:tcPr>
          <w:p w14:paraId="2800BBCB" w14:textId="77777777" w:rsidR="007075E6" w:rsidRPr="00F63602" w:rsidRDefault="007075E6" w:rsidP="008654AE">
            <w:pPr>
              <w:rPr>
                <w:i/>
              </w:rPr>
            </w:pPr>
            <w:proofErr w:type="spellStart"/>
            <w:r w:rsidRPr="00F63602">
              <w:rPr>
                <w:i/>
              </w:rPr>
              <w:t>Fasn</w:t>
            </w:r>
            <w:proofErr w:type="spellEnd"/>
          </w:p>
        </w:tc>
        <w:tc>
          <w:tcPr>
            <w:tcW w:w="3668" w:type="dxa"/>
          </w:tcPr>
          <w:p w14:paraId="3F31232A" w14:textId="77777777" w:rsidR="007075E6" w:rsidRPr="00F63602" w:rsidRDefault="007075E6" w:rsidP="008654AE">
            <w:r w:rsidRPr="00F63602">
              <w:rPr>
                <w:rFonts w:cs="Helvetica Neue"/>
              </w:rPr>
              <w:t>GGAGGTGGTGATAGCCGGTAT</w:t>
            </w:r>
          </w:p>
        </w:tc>
        <w:tc>
          <w:tcPr>
            <w:tcW w:w="3780" w:type="dxa"/>
          </w:tcPr>
          <w:p w14:paraId="5B1EDE3B" w14:textId="77777777" w:rsidR="007075E6" w:rsidRPr="00F63602" w:rsidRDefault="007075E6" w:rsidP="008654AE">
            <w:r w:rsidRPr="00F63602">
              <w:rPr>
                <w:rFonts w:cs="Helvetica Neue"/>
              </w:rPr>
              <w:t>TGGGTAATCCATAGAGCCCAG</w:t>
            </w:r>
          </w:p>
        </w:tc>
      </w:tr>
      <w:tr w:rsidR="008654AE" w:rsidRPr="00F63602" w14:paraId="60A01B4C" w14:textId="77777777" w:rsidTr="008654AE">
        <w:trPr>
          <w:trHeight w:hRule="exact" w:val="288"/>
        </w:trPr>
        <w:tc>
          <w:tcPr>
            <w:tcW w:w="1030" w:type="dxa"/>
          </w:tcPr>
          <w:p w14:paraId="240A2B74" w14:textId="77777777" w:rsidR="007075E6" w:rsidRPr="00F63602" w:rsidRDefault="007075E6" w:rsidP="008654AE">
            <w:pPr>
              <w:rPr>
                <w:i/>
              </w:rPr>
            </w:pPr>
            <w:r w:rsidRPr="00F63602">
              <w:rPr>
                <w:i/>
              </w:rPr>
              <w:t>Fbxo32</w:t>
            </w:r>
          </w:p>
        </w:tc>
        <w:tc>
          <w:tcPr>
            <w:tcW w:w="3668" w:type="dxa"/>
          </w:tcPr>
          <w:p w14:paraId="3531C8EC" w14:textId="77777777" w:rsidR="007075E6" w:rsidRPr="00F63602" w:rsidRDefault="007075E6" w:rsidP="008654AE">
            <w:r w:rsidRPr="00F63602">
              <w:rPr>
                <w:rFonts w:cs="Helvetica Neue"/>
              </w:rPr>
              <w:t>CTTCTCGACTGCCATCCTGG</w:t>
            </w:r>
          </w:p>
        </w:tc>
        <w:tc>
          <w:tcPr>
            <w:tcW w:w="3780" w:type="dxa"/>
          </w:tcPr>
          <w:p w14:paraId="51F5E006" w14:textId="77777777" w:rsidR="007075E6" w:rsidRPr="00F63602" w:rsidRDefault="007075E6" w:rsidP="008654AE">
            <w:r w:rsidRPr="00F63602">
              <w:rPr>
                <w:rFonts w:cs="Helvetica Neue"/>
              </w:rPr>
              <w:t>GTTCTTTTGGGCGATGCCAC</w:t>
            </w:r>
          </w:p>
        </w:tc>
      </w:tr>
      <w:tr w:rsidR="00F63602" w:rsidRPr="00F63602" w14:paraId="6F0A8758" w14:textId="77777777" w:rsidTr="008654AE">
        <w:trPr>
          <w:trHeight w:hRule="exact" w:val="288"/>
        </w:trPr>
        <w:tc>
          <w:tcPr>
            <w:tcW w:w="1030" w:type="dxa"/>
          </w:tcPr>
          <w:p w14:paraId="4741DCE0" w14:textId="01F72C7D" w:rsidR="00F63602" w:rsidRPr="00F63602" w:rsidRDefault="00F63602" w:rsidP="008654AE">
            <w:pPr>
              <w:rPr>
                <w:i/>
              </w:rPr>
            </w:pPr>
            <w:proofErr w:type="spellStart"/>
            <w:r w:rsidRPr="00F63602">
              <w:rPr>
                <w:i/>
              </w:rPr>
              <w:t>Gapdh</w:t>
            </w:r>
            <w:proofErr w:type="spellEnd"/>
          </w:p>
        </w:tc>
        <w:tc>
          <w:tcPr>
            <w:tcW w:w="3668" w:type="dxa"/>
          </w:tcPr>
          <w:p w14:paraId="6B99BD56" w14:textId="77777777" w:rsidR="00F63602" w:rsidRPr="00F63602" w:rsidRDefault="00F63602" w:rsidP="00F63602">
            <w:r w:rsidRPr="00F63602">
              <w:t>CACTTGAAGGGTGGAGCCAA</w:t>
            </w:r>
          </w:p>
          <w:p w14:paraId="44C34741" w14:textId="77777777" w:rsidR="00F63602" w:rsidRPr="00F63602" w:rsidRDefault="00F63602" w:rsidP="00AA755C"/>
        </w:tc>
        <w:tc>
          <w:tcPr>
            <w:tcW w:w="3780" w:type="dxa"/>
          </w:tcPr>
          <w:p w14:paraId="080F615B" w14:textId="77777777" w:rsidR="00F63602" w:rsidRPr="00F63602" w:rsidRDefault="00F63602" w:rsidP="00F63602">
            <w:pPr>
              <w:rPr>
                <w:rFonts w:eastAsia="Times New Roman" w:cs="Times New Roman"/>
                <w:color w:val="212121"/>
                <w:shd w:val="clear" w:color="auto" w:fill="FFFFFF"/>
              </w:rPr>
            </w:pPr>
            <w:r w:rsidRPr="00F63602">
              <w:rPr>
                <w:rFonts w:eastAsia="Times New Roman" w:cs="Times New Roman"/>
                <w:color w:val="212121"/>
                <w:shd w:val="clear" w:color="auto" w:fill="FFFFFF"/>
              </w:rPr>
              <w:t>ACCCATCACAAACATGGGGG</w:t>
            </w:r>
          </w:p>
          <w:p w14:paraId="12916634" w14:textId="51169F86" w:rsidR="00F63602" w:rsidRPr="00F63602" w:rsidRDefault="00F63602" w:rsidP="00F63602">
            <w:pPr>
              <w:rPr>
                <w:rFonts w:eastAsia="Times New Roman" w:cs="Times New Roman"/>
                <w:color w:val="212121"/>
                <w:shd w:val="clear" w:color="auto" w:fill="FFFFFF"/>
              </w:rPr>
            </w:pPr>
            <w:r w:rsidRPr="00F63602">
              <w:rPr>
                <w:rFonts w:eastAsia="Times New Roman" w:cs="Times New Roman"/>
                <w:color w:val="212121"/>
                <w:shd w:val="clear" w:color="auto" w:fill="FFFFFF"/>
              </w:rPr>
              <w:t xml:space="preserve"> </w:t>
            </w:r>
          </w:p>
        </w:tc>
      </w:tr>
      <w:tr w:rsidR="008654AE" w:rsidRPr="00F63602" w14:paraId="49813546" w14:textId="77777777" w:rsidTr="008654AE">
        <w:trPr>
          <w:trHeight w:hRule="exact" w:val="288"/>
        </w:trPr>
        <w:tc>
          <w:tcPr>
            <w:tcW w:w="1030" w:type="dxa"/>
          </w:tcPr>
          <w:p w14:paraId="794419A2" w14:textId="77777777" w:rsidR="007075E6" w:rsidRPr="00F63602" w:rsidRDefault="007075E6" w:rsidP="008654AE">
            <w:pPr>
              <w:rPr>
                <w:i/>
              </w:rPr>
            </w:pPr>
            <w:proofErr w:type="spellStart"/>
            <w:r w:rsidRPr="00F63602">
              <w:rPr>
                <w:i/>
              </w:rPr>
              <w:t>Gpam</w:t>
            </w:r>
            <w:proofErr w:type="spellEnd"/>
          </w:p>
        </w:tc>
        <w:tc>
          <w:tcPr>
            <w:tcW w:w="3668" w:type="dxa"/>
          </w:tcPr>
          <w:p w14:paraId="57C22CE7" w14:textId="77777777" w:rsidR="00AA755C" w:rsidRPr="00F63602" w:rsidRDefault="00AA755C" w:rsidP="00AA755C">
            <w:r w:rsidRPr="00F63602">
              <w:t>AGCAAGTCCTGCGCTATCAT</w:t>
            </w:r>
          </w:p>
          <w:p w14:paraId="449852B0" w14:textId="77777777" w:rsidR="007075E6" w:rsidRPr="00F63602" w:rsidRDefault="007075E6" w:rsidP="008654AE"/>
        </w:tc>
        <w:tc>
          <w:tcPr>
            <w:tcW w:w="3780" w:type="dxa"/>
          </w:tcPr>
          <w:p w14:paraId="0023A651" w14:textId="72B02FC3" w:rsidR="00AA755C" w:rsidRPr="00F63602" w:rsidRDefault="00AA755C" w:rsidP="00AA755C">
            <w:r w:rsidRPr="00F63602">
              <w:rPr>
                <w:rFonts w:eastAsia="Times New Roman" w:cs="Times New Roman"/>
                <w:color w:val="212121"/>
                <w:shd w:val="clear" w:color="auto" w:fill="FFFFFF"/>
              </w:rPr>
              <w:t xml:space="preserve"> </w:t>
            </w:r>
            <w:r w:rsidRPr="00F63602">
              <w:t>CTCGTGTGGGTGATTGTGAC</w:t>
            </w:r>
          </w:p>
          <w:p w14:paraId="22A90713" w14:textId="77777777" w:rsidR="007075E6" w:rsidRPr="00F63602" w:rsidRDefault="007075E6" w:rsidP="008654AE"/>
        </w:tc>
      </w:tr>
      <w:tr w:rsidR="008654AE" w:rsidRPr="00F63602" w14:paraId="03299E5A" w14:textId="77777777" w:rsidTr="008654AE">
        <w:trPr>
          <w:trHeight w:hRule="exact" w:val="288"/>
        </w:trPr>
        <w:tc>
          <w:tcPr>
            <w:tcW w:w="1030" w:type="dxa"/>
          </w:tcPr>
          <w:p w14:paraId="7CE5A24E" w14:textId="77777777" w:rsidR="007075E6" w:rsidRPr="00F63602" w:rsidRDefault="007075E6" w:rsidP="008654AE">
            <w:pPr>
              <w:rPr>
                <w:i/>
              </w:rPr>
            </w:pPr>
            <w:r w:rsidRPr="00F63602">
              <w:rPr>
                <w:i/>
              </w:rPr>
              <w:t>Gpd1</w:t>
            </w:r>
          </w:p>
        </w:tc>
        <w:tc>
          <w:tcPr>
            <w:tcW w:w="3668" w:type="dxa"/>
          </w:tcPr>
          <w:p w14:paraId="14DA7967" w14:textId="3E149267" w:rsidR="007075E6" w:rsidRPr="00F63602" w:rsidRDefault="007075E6" w:rsidP="008654AE">
            <w:pPr>
              <w:widowControl w:val="0"/>
              <w:autoSpaceDE w:val="0"/>
              <w:autoSpaceDN w:val="0"/>
              <w:adjustRightInd w:val="0"/>
              <w:spacing w:after="240"/>
              <w:rPr>
                <w:rFonts w:cs="Times"/>
              </w:rPr>
            </w:pPr>
            <w:r w:rsidRPr="00F63602">
              <w:rPr>
                <w:rFonts w:cs="Arial"/>
              </w:rPr>
              <w:t>GTGAGACGACCATCGGCTG</w:t>
            </w:r>
          </w:p>
        </w:tc>
        <w:tc>
          <w:tcPr>
            <w:tcW w:w="3780" w:type="dxa"/>
          </w:tcPr>
          <w:p w14:paraId="135A1D7A" w14:textId="311EB9F5" w:rsidR="007075E6" w:rsidRPr="00F63602" w:rsidRDefault="008654AE" w:rsidP="008654AE">
            <w:pPr>
              <w:widowControl w:val="0"/>
              <w:autoSpaceDE w:val="0"/>
              <w:autoSpaceDN w:val="0"/>
              <w:adjustRightInd w:val="0"/>
              <w:spacing w:after="240"/>
              <w:rPr>
                <w:rFonts w:cs="Times"/>
              </w:rPr>
            </w:pPr>
            <w:r w:rsidRPr="00F63602">
              <w:rPr>
                <w:rFonts w:cs="Arial"/>
              </w:rPr>
              <w:t>TTGGGTGTCTGCATCAGGT</w:t>
            </w:r>
          </w:p>
        </w:tc>
      </w:tr>
      <w:tr w:rsidR="008654AE" w:rsidRPr="00F63602" w14:paraId="60DC0650" w14:textId="77777777" w:rsidTr="008654AE">
        <w:trPr>
          <w:trHeight w:hRule="exact" w:val="288"/>
        </w:trPr>
        <w:tc>
          <w:tcPr>
            <w:tcW w:w="1030" w:type="dxa"/>
          </w:tcPr>
          <w:p w14:paraId="6EAC8BAE" w14:textId="77777777" w:rsidR="007075E6" w:rsidRPr="00F63602" w:rsidRDefault="007075E6" w:rsidP="008654AE">
            <w:pPr>
              <w:rPr>
                <w:i/>
              </w:rPr>
            </w:pPr>
            <w:r w:rsidRPr="00F63602">
              <w:rPr>
                <w:i/>
              </w:rPr>
              <w:t>Idh1</w:t>
            </w:r>
          </w:p>
        </w:tc>
        <w:tc>
          <w:tcPr>
            <w:tcW w:w="3668" w:type="dxa"/>
          </w:tcPr>
          <w:p w14:paraId="6C7779C3" w14:textId="77777777" w:rsidR="007075E6" w:rsidRPr="00F63602" w:rsidRDefault="007075E6" w:rsidP="008654AE">
            <w:pPr>
              <w:rPr>
                <w:rFonts w:eastAsia="Times New Roman" w:cs="Times New Roman"/>
                <w:color w:val="000000"/>
              </w:rPr>
            </w:pPr>
            <w:r w:rsidRPr="00F63602">
              <w:rPr>
                <w:rFonts w:eastAsia="Times New Roman" w:cs="Times New Roman"/>
                <w:color w:val="000000"/>
              </w:rPr>
              <w:t>CTCAGAGCTCTCTTGGACCGA</w:t>
            </w:r>
          </w:p>
        </w:tc>
        <w:tc>
          <w:tcPr>
            <w:tcW w:w="3780" w:type="dxa"/>
          </w:tcPr>
          <w:p w14:paraId="3E871FCE" w14:textId="77777777" w:rsidR="007075E6" w:rsidRPr="00F63602" w:rsidRDefault="007075E6" w:rsidP="008654AE">
            <w:pPr>
              <w:jc w:val="center"/>
              <w:rPr>
                <w:rFonts w:eastAsia="Times New Roman" w:cs="Times New Roman"/>
                <w:color w:val="000000"/>
              </w:rPr>
            </w:pPr>
            <w:r w:rsidRPr="00F63602">
              <w:rPr>
                <w:rFonts w:eastAsia="Times New Roman" w:cs="Times New Roman"/>
                <w:color w:val="000000"/>
              </w:rPr>
              <w:t>CATCTCCTTGCATCTCCACCA</w:t>
            </w:r>
          </w:p>
        </w:tc>
      </w:tr>
      <w:tr w:rsidR="008654AE" w:rsidRPr="00F63602" w14:paraId="4380D204" w14:textId="77777777" w:rsidTr="008654AE">
        <w:trPr>
          <w:trHeight w:hRule="exact" w:val="288"/>
        </w:trPr>
        <w:tc>
          <w:tcPr>
            <w:tcW w:w="1030" w:type="dxa"/>
          </w:tcPr>
          <w:p w14:paraId="73EB1B27" w14:textId="77777777" w:rsidR="007075E6" w:rsidRPr="00F63602" w:rsidRDefault="007075E6" w:rsidP="008654AE">
            <w:pPr>
              <w:rPr>
                <w:i/>
              </w:rPr>
            </w:pPr>
            <w:proofErr w:type="spellStart"/>
            <w:r w:rsidRPr="00F63602">
              <w:rPr>
                <w:i/>
              </w:rPr>
              <w:t>Ldhb</w:t>
            </w:r>
            <w:proofErr w:type="spellEnd"/>
          </w:p>
        </w:tc>
        <w:tc>
          <w:tcPr>
            <w:tcW w:w="3668" w:type="dxa"/>
          </w:tcPr>
          <w:p w14:paraId="7703CAD8" w14:textId="02D0AAB9" w:rsidR="007075E6" w:rsidRPr="00F63602" w:rsidRDefault="007075E6" w:rsidP="008654AE">
            <w:pPr>
              <w:widowControl w:val="0"/>
              <w:autoSpaceDE w:val="0"/>
              <w:autoSpaceDN w:val="0"/>
              <w:adjustRightInd w:val="0"/>
              <w:spacing w:after="240"/>
              <w:rPr>
                <w:rFonts w:cs="Times"/>
              </w:rPr>
            </w:pPr>
            <w:r w:rsidRPr="00F63602">
              <w:rPr>
                <w:rFonts w:cs="Arial"/>
              </w:rPr>
              <w:t>AAAGGCTACACCAACTGGGC</w:t>
            </w:r>
          </w:p>
        </w:tc>
        <w:tc>
          <w:tcPr>
            <w:tcW w:w="3780" w:type="dxa"/>
          </w:tcPr>
          <w:p w14:paraId="296C86EC" w14:textId="1A323B76" w:rsidR="007075E6" w:rsidRPr="00F63602" w:rsidRDefault="007075E6" w:rsidP="008654AE">
            <w:pPr>
              <w:widowControl w:val="0"/>
              <w:autoSpaceDE w:val="0"/>
              <w:autoSpaceDN w:val="0"/>
              <w:adjustRightInd w:val="0"/>
              <w:spacing w:after="240"/>
              <w:rPr>
                <w:rFonts w:cs="Times"/>
              </w:rPr>
            </w:pPr>
            <w:r w:rsidRPr="00F63602">
              <w:rPr>
                <w:rFonts w:cs="Arial"/>
              </w:rPr>
              <w:t>GCCGTACATTCCCTTCACCA</w:t>
            </w:r>
          </w:p>
        </w:tc>
      </w:tr>
      <w:tr w:rsidR="008654AE" w:rsidRPr="00F63602" w14:paraId="6B27FB49" w14:textId="77777777" w:rsidTr="008654AE">
        <w:trPr>
          <w:trHeight w:hRule="exact" w:val="288"/>
        </w:trPr>
        <w:tc>
          <w:tcPr>
            <w:tcW w:w="1030" w:type="dxa"/>
          </w:tcPr>
          <w:p w14:paraId="4005CBD4" w14:textId="77777777" w:rsidR="007075E6" w:rsidRPr="00F63602" w:rsidRDefault="007075E6" w:rsidP="008654AE">
            <w:pPr>
              <w:rPr>
                <w:i/>
              </w:rPr>
            </w:pPr>
            <w:r w:rsidRPr="00F63602">
              <w:rPr>
                <w:i/>
              </w:rPr>
              <w:t>Mdh1</w:t>
            </w:r>
          </w:p>
        </w:tc>
        <w:tc>
          <w:tcPr>
            <w:tcW w:w="3668" w:type="dxa"/>
          </w:tcPr>
          <w:p w14:paraId="1A67CA8D" w14:textId="279109F7" w:rsidR="007075E6" w:rsidRPr="00F63602" w:rsidRDefault="007075E6" w:rsidP="008654AE">
            <w:pPr>
              <w:widowControl w:val="0"/>
              <w:autoSpaceDE w:val="0"/>
              <w:autoSpaceDN w:val="0"/>
              <w:adjustRightInd w:val="0"/>
              <w:spacing w:after="240"/>
              <w:rPr>
                <w:rFonts w:cs="Times"/>
              </w:rPr>
            </w:pPr>
            <w:r w:rsidRPr="00F63602">
              <w:rPr>
                <w:rFonts w:cs="Arial"/>
              </w:rPr>
              <w:t>GGAACCCCAGAGGGAGAGTT</w:t>
            </w:r>
          </w:p>
        </w:tc>
        <w:tc>
          <w:tcPr>
            <w:tcW w:w="3780" w:type="dxa"/>
          </w:tcPr>
          <w:p w14:paraId="10F03B84" w14:textId="02381F47" w:rsidR="007075E6" w:rsidRPr="00F63602" w:rsidRDefault="007075E6" w:rsidP="008654AE">
            <w:pPr>
              <w:widowControl w:val="0"/>
              <w:autoSpaceDE w:val="0"/>
              <w:autoSpaceDN w:val="0"/>
              <w:adjustRightInd w:val="0"/>
              <w:spacing w:after="240"/>
              <w:rPr>
                <w:rFonts w:cs="Times"/>
              </w:rPr>
            </w:pPr>
            <w:r w:rsidRPr="00F63602">
              <w:rPr>
                <w:rFonts w:cs="Arial"/>
              </w:rPr>
              <w:t>TGGGGAGGCCTTCAACAAAC</w:t>
            </w:r>
          </w:p>
        </w:tc>
      </w:tr>
      <w:tr w:rsidR="008654AE" w:rsidRPr="00F63602" w14:paraId="41A3884A" w14:textId="77777777" w:rsidTr="008654AE">
        <w:trPr>
          <w:trHeight w:hRule="exact" w:val="288"/>
        </w:trPr>
        <w:tc>
          <w:tcPr>
            <w:tcW w:w="1030" w:type="dxa"/>
          </w:tcPr>
          <w:p w14:paraId="77E01288" w14:textId="77777777" w:rsidR="007075E6" w:rsidRPr="00F63602" w:rsidRDefault="007075E6" w:rsidP="008654AE">
            <w:pPr>
              <w:rPr>
                <w:i/>
              </w:rPr>
            </w:pPr>
            <w:r w:rsidRPr="00F63602">
              <w:rPr>
                <w:i/>
              </w:rPr>
              <w:t>Me1</w:t>
            </w:r>
          </w:p>
        </w:tc>
        <w:tc>
          <w:tcPr>
            <w:tcW w:w="3668" w:type="dxa"/>
          </w:tcPr>
          <w:p w14:paraId="6A33E4B7" w14:textId="04AE4996" w:rsidR="007075E6" w:rsidRPr="00F63602" w:rsidRDefault="00B375F2" w:rsidP="008654AE">
            <w:r w:rsidRPr="00F63602">
              <w:t>GGACCCGCATCTCAACAAG</w:t>
            </w:r>
          </w:p>
        </w:tc>
        <w:tc>
          <w:tcPr>
            <w:tcW w:w="3780" w:type="dxa"/>
          </w:tcPr>
          <w:p w14:paraId="63DA1D51" w14:textId="2D49BCB6" w:rsidR="007075E6" w:rsidRPr="00F63602" w:rsidRDefault="00B375F2" w:rsidP="008654AE">
            <w:r w:rsidRPr="00F63602">
              <w:t>TCGAAGTCAGAGTTCAGTCGTT</w:t>
            </w:r>
          </w:p>
        </w:tc>
      </w:tr>
      <w:tr w:rsidR="008654AE" w:rsidRPr="00F63602" w14:paraId="5E66A921" w14:textId="77777777" w:rsidTr="008654AE">
        <w:trPr>
          <w:trHeight w:hRule="exact" w:val="288"/>
        </w:trPr>
        <w:tc>
          <w:tcPr>
            <w:tcW w:w="1030" w:type="dxa"/>
          </w:tcPr>
          <w:p w14:paraId="39B04CE2" w14:textId="77777777" w:rsidR="007075E6" w:rsidRPr="00F63602" w:rsidRDefault="007075E6" w:rsidP="008654AE">
            <w:pPr>
              <w:rPr>
                <w:i/>
              </w:rPr>
            </w:pPr>
            <w:r w:rsidRPr="00F63602">
              <w:rPr>
                <w:i/>
              </w:rPr>
              <w:t>Psmd1</w:t>
            </w:r>
          </w:p>
        </w:tc>
        <w:tc>
          <w:tcPr>
            <w:tcW w:w="3668" w:type="dxa"/>
          </w:tcPr>
          <w:p w14:paraId="125C7068" w14:textId="141FDB34" w:rsidR="007075E6" w:rsidRPr="00F63602" w:rsidRDefault="007075E6" w:rsidP="008654AE">
            <w:r w:rsidRPr="00F63602">
              <w:rPr>
                <w:rFonts w:eastAsia="Times New Roman" w:cs="Times New Roman"/>
                <w:color w:val="000000"/>
              </w:rPr>
              <w:t>TGCCAATCATGGTGGTGACA</w:t>
            </w:r>
          </w:p>
        </w:tc>
        <w:tc>
          <w:tcPr>
            <w:tcW w:w="3780" w:type="dxa"/>
          </w:tcPr>
          <w:p w14:paraId="615A406E" w14:textId="252904A4" w:rsidR="007075E6" w:rsidRPr="00F63602" w:rsidRDefault="007075E6" w:rsidP="008654AE">
            <w:r w:rsidRPr="00F63602">
              <w:rPr>
                <w:rFonts w:eastAsia="Times New Roman" w:cs="Times New Roman"/>
                <w:color w:val="000000"/>
              </w:rPr>
              <w:t>ACACATCCTGACGTGCAGTT</w:t>
            </w:r>
          </w:p>
        </w:tc>
      </w:tr>
      <w:tr w:rsidR="008654AE" w:rsidRPr="00F63602" w14:paraId="77F8E11D" w14:textId="77777777" w:rsidTr="008654AE">
        <w:trPr>
          <w:trHeight w:hRule="exact" w:val="288"/>
        </w:trPr>
        <w:tc>
          <w:tcPr>
            <w:tcW w:w="1030" w:type="dxa"/>
          </w:tcPr>
          <w:p w14:paraId="237349C8" w14:textId="77777777" w:rsidR="007075E6" w:rsidRPr="00F63602" w:rsidRDefault="007075E6" w:rsidP="008654AE">
            <w:pPr>
              <w:rPr>
                <w:i/>
              </w:rPr>
            </w:pPr>
            <w:r w:rsidRPr="00F63602">
              <w:rPr>
                <w:i/>
              </w:rPr>
              <w:t>Psmd8</w:t>
            </w:r>
          </w:p>
        </w:tc>
        <w:tc>
          <w:tcPr>
            <w:tcW w:w="3668" w:type="dxa"/>
          </w:tcPr>
          <w:p w14:paraId="3A1624EB" w14:textId="7205416A" w:rsidR="007075E6" w:rsidRPr="00F63602" w:rsidRDefault="007075E6" w:rsidP="008654AE">
            <w:r w:rsidRPr="00F63602">
              <w:rPr>
                <w:rFonts w:eastAsia="Times New Roman" w:cs="Times New Roman"/>
                <w:color w:val="000000"/>
              </w:rPr>
              <w:t>ACGAGTGGAACCGGAAGAAC</w:t>
            </w:r>
          </w:p>
        </w:tc>
        <w:tc>
          <w:tcPr>
            <w:tcW w:w="3780" w:type="dxa"/>
          </w:tcPr>
          <w:p w14:paraId="6DBC9DA6" w14:textId="31A3BFE3" w:rsidR="007075E6" w:rsidRPr="00F63602" w:rsidRDefault="007075E6" w:rsidP="008654AE">
            <w:r w:rsidRPr="00F63602">
              <w:rPr>
                <w:rFonts w:eastAsia="Times New Roman" w:cs="Times New Roman"/>
                <w:color w:val="000000"/>
              </w:rPr>
              <w:t>CCGTGGTTGGCAGGAAATTG</w:t>
            </w:r>
          </w:p>
        </w:tc>
      </w:tr>
      <w:tr w:rsidR="008654AE" w:rsidRPr="00F63602" w14:paraId="64F2C098" w14:textId="77777777" w:rsidTr="008654AE">
        <w:trPr>
          <w:trHeight w:hRule="exact" w:val="288"/>
        </w:trPr>
        <w:tc>
          <w:tcPr>
            <w:tcW w:w="1030" w:type="dxa"/>
          </w:tcPr>
          <w:p w14:paraId="21E10076" w14:textId="77777777" w:rsidR="007075E6" w:rsidRPr="00F63602" w:rsidRDefault="007075E6" w:rsidP="008654AE">
            <w:pPr>
              <w:rPr>
                <w:i/>
              </w:rPr>
            </w:pPr>
            <w:r w:rsidRPr="00F63602">
              <w:rPr>
                <w:i/>
              </w:rPr>
              <w:t>Rplp0</w:t>
            </w:r>
          </w:p>
        </w:tc>
        <w:tc>
          <w:tcPr>
            <w:tcW w:w="3668" w:type="dxa"/>
          </w:tcPr>
          <w:p w14:paraId="4FDB6A23" w14:textId="77777777" w:rsidR="007075E6" w:rsidRPr="00F63602" w:rsidRDefault="007075E6" w:rsidP="008654AE">
            <w:r w:rsidRPr="00F63602">
              <w:rPr>
                <w:rFonts w:cs="Helvetica Neue"/>
              </w:rPr>
              <w:t>GAAACTGCTGCCTCACATCCG</w:t>
            </w:r>
          </w:p>
        </w:tc>
        <w:tc>
          <w:tcPr>
            <w:tcW w:w="3780" w:type="dxa"/>
          </w:tcPr>
          <w:p w14:paraId="2F838E31" w14:textId="77777777" w:rsidR="007075E6" w:rsidRPr="00F63602" w:rsidRDefault="007075E6" w:rsidP="008654AE">
            <w:r w:rsidRPr="00F63602">
              <w:rPr>
                <w:rFonts w:cs="Helvetica Neue"/>
              </w:rPr>
              <w:t>GCTGGCACAGTGACCTCACACG</w:t>
            </w:r>
          </w:p>
        </w:tc>
      </w:tr>
      <w:tr w:rsidR="008654AE" w:rsidRPr="00F63602" w14:paraId="704D330D" w14:textId="77777777" w:rsidTr="008654AE">
        <w:trPr>
          <w:trHeight w:hRule="exact" w:val="288"/>
        </w:trPr>
        <w:tc>
          <w:tcPr>
            <w:tcW w:w="1030" w:type="dxa"/>
          </w:tcPr>
          <w:p w14:paraId="4FD37C68" w14:textId="77777777" w:rsidR="007075E6" w:rsidRPr="00F63602" w:rsidRDefault="007075E6" w:rsidP="008654AE">
            <w:pPr>
              <w:rPr>
                <w:i/>
              </w:rPr>
            </w:pPr>
            <w:r w:rsidRPr="00F63602">
              <w:rPr>
                <w:i/>
              </w:rPr>
              <w:t>Rplp13a</w:t>
            </w:r>
          </w:p>
        </w:tc>
        <w:tc>
          <w:tcPr>
            <w:tcW w:w="3668" w:type="dxa"/>
          </w:tcPr>
          <w:p w14:paraId="7F587EEA" w14:textId="77777777" w:rsidR="007075E6" w:rsidRPr="00F63602" w:rsidRDefault="007075E6" w:rsidP="008654AE">
            <w:r w:rsidRPr="00F63602">
              <w:rPr>
                <w:rFonts w:cs="Helvetica Neue"/>
              </w:rPr>
              <w:t>GCGGATGAATACCAACCCCT</w:t>
            </w:r>
          </w:p>
        </w:tc>
        <w:tc>
          <w:tcPr>
            <w:tcW w:w="3780" w:type="dxa"/>
          </w:tcPr>
          <w:p w14:paraId="0109CEBF" w14:textId="77777777" w:rsidR="007075E6" w:rsidRPr="00F63602" w:rsidRDefault="007075E6" w:rsidP="008654AE">
            <w:r w:rsidRPr="00F63602">
              <w:rPr>
                <w:rFonts w:cs="Helvetica Neue"/>
              </w:rPr>
              <w:t>CCTGGCCTCTCTTGGTCTTG</w:t>
            </w:r>
          </w:p>
        </w:tc>
      </w:tr>
      <w:tr w:rsidR="008654AE" w:rsidRPr="00F63602" w14:paraId="78B1B377" w14:textId="77777777" w:rsidTr="008654AE">
        <w:trPr>
          <w:trHeight w:hRule="exact" w:val="288"/>
        </w:trPr>
        <w:tc>
          <w:tcPr>
            <w:tcW w:w="1030" w:type="dxa"/>
          </w:tcPr>
          <w:p w14:paraId="5CAC665E" w14:textId="77777777" w:rsidR="007075E6" w:rsidRPr="00F63602" w:rsidRDefault="007075E6" w:rsidP="008654AE">
            <w:pPr>
              <w:rPr>
                <w:i/>
              </w:rPr>
            </w:pPr>
            <w:r w:rsidRPr="00F63602">
              <w:rPr>
                <w:i/>
              </w:rPr>
              <w:t>Scd1</w:t>
            </w:r>
          </w:p>
        </w:tc>
        <w:tc>
          <w:tcPr>
            <w:tcW w:w="3668" w:type="dxa"/>
          </w:tcPr>
          <w:p w14:paraId="5CE01810" w14:textId="77777777" w:rsidR="007075E6" w:rsidRPr="00F63602" w:rsidRDefault="007075E6" w:rsidP="008654AE">
            <w:pPr>
              <w:widowControl w:val="0"/>
              <w:autoSpaceDE w:val="0"/>
              <w:autoSpaceDN w:val="0"/>
              <w:adjustRightInd w:val="0"/>
              <w:spacing w:after="240"/>
              <w:rPr>
                <w:rFonts w:cs="Times"/>
              </w:rPr>
            </w:pPr>
            <w:r w:rsidRPr="00F63602">
              <w:rPr>
                <w:rFonts w:cs="Arial"/>
              </w:rPr>
              <w:t>CACTCGCCTACACCAACGG</w:t>
            </w:r>
          </w:p>
        </w:tc>
        <w:tc>
          <w:tcPr>
            <w:tcW w:w="3780" w:type="dxa"/>
          </w:tcPr>
          <w:p w14:paraId="1C07F794" w14:textId="77777777" w:rsidR="007075E6" w:rsidRPr="00F63602" w:rsidRDefault="007075E6" w:rsidP="008654AE">
            <w:pPr>
              <w:widowControl w:val="0"/>
              <w:autoSpaceDE w:val="0"/>
              <w:autoSpaceDN w:val="0"/>
              <w:adjustRightInd w:val="0"/>
              <w:spacing w:after="240"/>
              <w:rPr>
                <w:rFonts w:cs="Times"/>
              </w:rPr>
            </w:pPr>
            <w:r w:rsidRPr="00F63602">
              <w:rPr>
                <w:rFonts w:cs="Arial"/>
              </w:rPr>
              <w:t>GAACTGGAGATCTCTTGGAGCA</w:t>
            </w:r>
          </w:p>
        </w:tc>
      </w:tr>
      <w:tr w:rsidR="008654AE" w:rsidRPr="00F63602" w14:paraId="1CB69BB5" w14:textId="77777777" w:rsidTr="008654AE">
        <w:trPr>
          <w:trHeight w:hRule="exact" w:val="288"/>
        </w:trPr>
        <w:tc>
          <w:tcPr>
            <w:tcW w:w="1030" w:type="dxa"/>
          </w:tcPr>
          <w:p w14:paraId="543EE01A" w14:textId="77777777" w:rsidR="007075E6" w:rsidRPr="00F63602" w:rsidRDefault="007075E6" w:rsidP="008654AE">
            <w:pPr>
              <w:rPr>
                <w:i/>
              </w:rPr>
            </w:pPr>
            <w:r w:rsidRPr="00F63602">
              <w:rPr>
                <w:i/>
              </w:rPr>
              <w:t>Trim63</w:t>
            </w:r>
          </w:p>
        </w:tc>
        <w:tc>
          <w:tcPr>
            <w:tcW w:w="3668" w:type="dxa"/>
          </w:tcPr>
          <w:p w14:paraId="0B2839AA" w14:textId="77777777" w:rsidR="007075E6" w:rsidRPr="00F63602" w:rsidRDefault="007075E6" w:rsidP="008654AE">
            <w:r w:rsidRPr="00F63602">
              <w:rPr>
                <w:rFonts w:cs="Helvetica Neue"/>
              </w:rPr>
              <w:t>GAGGGCCATTGACTTTGGGA</w:t>
            </w:r>
          </w:p>
        </w:tc>
        <w:tc>
          <w:tcPr>
            <w:tcW w:w="3780" w:type="dxa"/>
          </w:tcPr>
          <w:p w14:paraId="2138D7AC" w14:textId="77777777" w:rsidR="007075E6" w:rsidRPr="00F63602" w:rsidRDefault="007075E6" w:rsidP="008654AE">
            <w:r w:rsidRPr="00F63602">
              <w:rPr>
                <w:rFonts w:cs="Helvetica Neue"/>
              </w:rPr>
              <w:t>TTTACCCTCTGTGGTCACGC</w:t>
            </w:r>
          </w:p>
        </w:tc>
      </w:tr>
    </w:tbl>
    <w:p w14:paraId="40ECCAD6" w14:textId="77777777" w:rsidR="00EF2587" w:rsidRPr="00F63602" w:rsidRDefault="00EF2587">
      <w:pPr>
        <w:rPr>
          <w:b/>
        </w:rPr>
      </w:pPr>
      <w:r w:rsidRPr="00F63602">
        <w:rPr>
          <w:b/>
        </w:rPr>
        <w:br w:type="page"/>
      </w:r>
    </w:p>
    <w:p w14:paraId="4CB86C9B" w14:textId="13FABC37" w:rsidR="00B940A5" w:rsidRPr="00447090" w:rsidRDefault="00B940A5" w:rsidP="00B940A5">
      <w:pPr>
        <w:rPr>
          <w:b/>
        </w:rPr>
      </w:pPr>
      <w:r w:rsidRPr="00793E93">
        <w:rPr>
          <w:b/>
        </w:rPr>
        <w:t xml:space="preserve">Table </w:t>
      </w:r>
      <w:r w:rsidR="00EF2587">
        <w:rPr>
          <w:b/>
        </w:rPr>
        <w:t>2</w:t>
      </w:r>
      <w:proofErr w:type="gramStart"/>
      <w:r w:rsidRPr="00793E93">
        <w:rPr>
          <w:b/>
        </w:rPr>
        <w:t xml:space="preserve">: </w:t>
      </w:r>
      <w:r w:rsidRPr="00447090">
        <w:rPr>
          <w:b/>
        </w:rPr>
        <w:t xml:space="preserve"> Clinical characteristics</w:t>
      </w:r>
      <w:r w:rsidR="007B5760">
        <w:rPr>
          <w:b/>
        </w:rPr>
        <w:t xml:space="preserve"> of Cushing’s</w:t>
      </w:r>
      <w:proofErr w:type="gramEnd"/>
      <w:r w:rsidR="007B5760">
        <w:rPr>
          <w:b/>
        </w:rPr>
        <w:t xml:space="preserve"> and Control 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proofErr w:type="gramStart"/>
            <w:r>
              <w:rPr>
                <w:rFonts w:eastAsia="Times New Roman" w:cs="Arial"/>
                <w:color w:val="000000"/>
              </w:rPr>
              <w:t>p</w:t>
            </w:r>
            <w:proofErr w:type="gramEnd"/>
            <w:r>
              <w:rPr>
                <w:rFonts w:eastAsia="Times New Roman" w:cs="Arial"/>
                <w:color w:val="000000"/>
              </w:rPr>
              <w:t>-</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739B3990" w:rsidR="00B940A5" w:rsidRDefault="00B940A5" w:rsidP="00B940A5">
      <w:r w:rsidRPr="00447090">
        <w:rPr>
          <w:b/>
        </w:rPr>
        <w:t xml:space="preserve">Table </w:t>
      </w:r>
      <w:r w:rsidR="00EF2587">
        <w:rPr>
          <w:b/>
        </w:rPr>
        <w:t>3</w:t>
      </w:r>
      <w:r w:rsidRPr="00447090">
        <w:rPr>
          <w:b/>
        </w:rPr>
        <w:t>: Summarized gene set enrichment analysis of pathways.</w:t>
      </w:r>
      <w:r>
        <w:t xml:space="preserve">  </w:t>
      </w:r>
      <w:r w:rsidR="00636EEB">
        <w:t xml:space="preserve">Selected pathway enriched in subcutaneous adipose tissue from Cushing’s patients via GSEA analysis.  NES is the net enrichment </w:t>
      </w:r>
      <w:proofErr w:type="gramStart"/>
      <w:r w:rsidR="00636EEB">
        <w:t>score,</w:t>
      </w:r>
      <w:proofErr w:type="gramEnd"/>
      <w:r w:rsidR="00636EEB">
        <w:t xml:space="preserv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proofErr w:type="spellStart"/>
            <w:r w:rsidRPr="00636EEB">
              <w:rPr>
                <w:rFonts w:eastAsia="Times New Roman" w:cs="Times New Roman"/>
                <w:color w:val="000000"/>
              </w:rPr>
              <w:t>Reactome</w:t>
            </w:r>
            <w:proofErr w:type="spellEnd"/>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t>Supplementary Data</w:t>
      </w:r>
    </w:p>
    <w:p w14:paraId="49257D11" w14:textId="77777777" w:rsidR="002025A3" w:rsidRDefault="002025A3" w:rsidP="002025A3">
      <w:r w:rsidRPr="00447090">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447090">
        <w:rPr>
          <w:b/>
        </w:rPr>
        <w:t>Supplementary Table 3</w:t>
      </w:r>
      <w:r w:rsidR="002025A3" w:rsidRPr="00447090">
        <w:rPr>
          <w:b/>
        </w:rPr>
        <w:t xml:space="preserve">: Gene set enrichment analysis of transcription factor and </w:t>
      </w:r>
      <w:proofErr w:type="spellStart"/>
      <w:r w:rsidR="002025A3" w:rsidRPr="00447090">
        <w:rPr>
          <w:b/>
        </w:rPr>
        <w:t>miRNA</w:t>
      </w:r>
      <w:proofErr w:type="spellEnd"/>
      <w:r w:rsidR="002025A3" w:rsidRPr="00447090">
        <w:rPr>
          <w:b/>
        </w:rPr>
        <w:t xml:space="preserve">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2-22T15:11:00Z" w:initials="DB">
    <w:p w14:paraId="4BAC4F36" w14:textId="77777777" w:rsidR="004E786F" w:rsidRDefault="004E786F">
      <w:pPr>
        <w:pStyle w:val="CommentText"/>
      </w:pPr>
      <w:r>
        <w:rPr>
          <w:rStyle w:val="CommentReference"/>
        </w:rPr>
        <w:annotationRef/>
      </w:r>
      <w:r>
        <w:t>Fill this in at the 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D449C" w14:textId="77777777" w:rsidR="004E786F" w:rsidRDefault="004E786F" w:rsidP="002025A3">
      <w:r>
        <w:separator/>
      </w:r>
    </w:p>
  </w:endnote>
  <w:endnote w:type="continuationSeparator" w:id="0">
    <w:p w14:paraId="7FA85939" w14:textId="77777777" w:rsidR="004E786F" w:rsidRDefault="004E786F" w:rsidP="002025A3">
      <w:r>
        <w:continuationSeparator/>
      </w:r>
    </w:p>
  </w:endnote>
  <w:endnote w:type="continuationNotice" w:id="1">
    <w:p w14:paraId="0E791561" w14:textId="77777777" w:rsidR="004E786F" w:rsidRDefault="004E7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E786F" w:rsidRDefault="004E78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D09E" w14:textId="77777777" w:rsidR="004E786F" w:rsidRDefault="004E786F" w:rsidP="002025A3">
      <w:r>
        <w:separator/>
      </w:r>
    </w:p>
  </w:footnote>
  <w:footnote w:type="continuationSeparator" w:id="0">
    <w:p w14:paraId="5469BDA2" w14:textId="77777777" w:rsidR="004E786F" w:rsidRDefault="004E786F" w:rsidP="002025A3">
      <w:r>
        <w:continuationSeparator/>
      </w:r>
    </w:p>
  </w:footnote>
  <w:footnote w:type="continuationNotice" w:id="1">
    <w:p w14:paraId="588753B7" w14:textId="77777777" w:rsidR="004E786F" w:rsidRDefault="004E786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E786F" w:rsidRDefault="004E78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220D0"/>
    <w:rsid w:val="0002510A"/>
    <w:rsid w:val="0003020D"/>
    <w:rsid w:val="00030F99"/>
    <w:rsid w:val="000317EB"/>
    <w:rsid w:val="00035B50"/>
    <w:rsid w:val="0003601C"/>
    <w:rsid w:val="00044176"/>
    <w:rsid w:val="000C66BF"/>
    <w:rsid w:val="000D7EE2"/>
    <w:rsid w:val="000F1BFF"/>
    <w:rsid w:val="0010215F"/>
    <w:rsid w:val="00102B1C"/>
    <w:rsid w:val="00122DD7"/>
    <w:rsid w:val="001265D3"/>
    <w:rsid w:val="0015033F"/>
    <w:rsid w:val="00154286"/>
    <w:rsid w:val="00155D0E"/>
    <w:rsid w:val="00161D64"/>
    <w:rsid w:val="001A282B"/>
    <w:rsid w:val="001A4B5B"/>
    <w:rsid w:val="001A4F2F"/>
    <w:rsid w:val="001B369A"/>
    <w:rsid w:val="001C789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861BB"/>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9101A"/>
    <w:rsid w:val="008B4941"/>
    <w:rsid w:val="008B7184"/>
    <w:rsid w:val="008C0783"/>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3DD9"/>
    <w:rsid w:val="009D5AE7"/>
    <w:rsid w:val="00A0255B"/>
    <w:rsid w:val="00A06FA4"/>
    <w:rsid w:val="00A12B51"/>
    <w:rsid w:val="00A20F23"/>
    <w:rsid w:val="00A2199B"/>
    <w:rsid w:val="00A34EF3"/>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E2090"/>
    <w:rsid w:val="00B375F2"/>
    <w:rsid w:val="00B4059E"/>
    <w:rsid w:val="00B52B45"/>
    <w:rsid w:val="00B60B15"/>
    <w:rsid w:val="00B63E9D"/>
    <w:rsid w:val="00B73856"/>
    <w:rsid w:val="00B738C3"/>
    <w:rsid w:val="00B76695"/>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4DB8"/>
    <w:rsid w:val="00C72C44"/>
    <w:rsid w:val="00C81680"/>
    <w:rsid w:val="00C93467"/>
    <w:rsid w:val="00CA0833"/>
    <w:rsid w:val="00CD160B"/>
    <w:rsid w:val="00CF1A2D"/>
    <w:rsid w:val="00CF4895"/>
    <w:rsid w:val="00D07D33"/>
    <w:rsid w:val="00D12603"/>
    <w:rsid w:val="00D1301B"/>
    <w:rsid w:val="00D514E8"/>
    <w:rsid w:val="00D534A4"/>
    <w:rsid w:val="00D7626E"/>
    <w:rsid w:val="00D83BEB"/>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4175"/>
    <w:rsid w:val="00F63602"/>
    <w:rsid w:val="00F637BB"/>
    <w:rsid w:val="00F63D9D"/>
    <w:rsid w:val="00F72E09"/>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0F838-31FF-A94E-8CEF-F6652FBE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27383</Words>
  <Characters>156088</Characters>
  <Application>Microsoft Macintosh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20</cp:revision>
  <cp:lastPrinted>2015-02-27T17:07:00Z</cp:lastPrinted>
  <dcterms:created xsi:type="dcterms:W3CDTF">2015-02-27T17:22:00Z</dcterms:created>
  <dcterms:modified xsi:type="dcterms:W3CDTF">2015-02-27T22:45:00Z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