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6A9F0A1A"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661656">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(6)","plainTextFormattedCitation":"(6)","previouslyFormattedCitation":"(5)"},"properties":{"noteIndex":0},"schema":"https://github.com/citation-style-language/schema/raw/master/csl-citation.json"}</w:instrText>
      </w:r>
      <w:r w:rsidR="002A4533">
        <w:rPr>
          <w:sz w:val="24"/>
          <w:szCs w:val="24"/>
        </w:rPr>
        <w:fldChar w:fldCharType="separate"/>
      </w:r>
      <w:r w:rsidR="00661656" w:rsidRPr="00661656">
        <w:rPr>
          <w:noProof/>
          <w:sz w:val="24"/>
          <w:szCs w:val="24"/>
        </w:rPr>
        <w:t>(6)</w:t>
      </w:r>
      <w:r w:rsidR="002A4533">
        <w:rPr>
          <w:sz w:val="24"/>
          <w:szCs w:val="24"/>
        </w:rPr>
        <w:fldChar w:fldCharType="end"/>
      </w:r>
      <w:r>
        <w:rPr>
          <w:sz w:val="24"/>
          <w:szCs w:val="24"/>
        </w:rPr>
        <w:t>.</w:t>
      </w:r>
      <w:r w:rsidR="002A4533">
        <w:rPr>
          <w:sz w:val="24"/>
          <w:szCs w:val="24"/>
        </w:rPr>
        <w:t xml:space="preserve">  </w:t>
      </w:r>
      <w:r>
        <w:rPr>
          <w:sz w:val="24"/>
          <w:szCs w:val="24"/>
        </w:rPr>
        <w:t xml:space="preserve">Elevated levels of glucocorticoids within the human body have shown to cause skeletal muscle atrophy. This muscle atrophy stems from an upregulation of </w:t>
      </w:r>
      <w:proofErr w:type="spellStart"/>
      <w:r>
        <w:rPr>
          <w:sz w:val="24"/>
          <w:szCs w:val="24"/>
        </w:rPr>
        <w:t>atrogenes</w:t>
      </w:r>
      <w:proofErr w:type="spellEnd"/>
      <w:r>
        <w:rPr>
          <w:sz w:val="24"/>
          <w:szCs w:val="24"/>
        </w:rPr>
        <w:t>, or genes that cause muscle atrophy</w:t>
      </w:r>
      <w:r w:rsidR="00661656">
        <w:rPr>
          <w:sz w:val="24"/>
          <w:szCs w:val="24"/>
        </w:rPr>
        <w:t xml:space="preserve"> </w:t>
      </w:r>
      <w:r w:rsidR="00661656">
        <w:rPr>
          <w:sz w:val="24"/>
          <w:szCs w:val="24"/>
        </w:rPr>
        <w:fldChar w:fldCharType="begin" w:fldLock="1"/>
      </w:r>
      <w:r w:rsidR="00661656">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mendeley":{"formattedCitation":"(11)","plainTextFormattedCitation":"(11)","previouslyFormattedCitation":"(10)"},"properties":{"noteIndex":0},"schema":"https://github.com/citation-style-language/schema/raw/master/csl-citation.json"}</w:instrText>
      </w:r>
      <w:r w:rsidR="00661656">
        <w:rPr>
          <w:sz w:val="24"/>
          <w:szCs w:val="24"/>
        </w:rPr>
        <w:fldChar w:fldCharType="separate"/>
      </w:r>
      <w:r w:rsidR="00661656" w:rsidRPr="00661656">
        <w:rPr>
          <w:noProof/>
          <w:sz w:val="24"/>
          <w:szCs w:val="24"/>
        </w:rPr>
        <w:t>(11)</w:t>
      </w:r>
      <w:r w:rsidR="00661656">
        <w:rPr>
          <w:sz w:val="24"/>
          <w:szCs w:val="24"/>
        </w:rPr>
        <w:fldChar w:fldCharType="end"/>
      </w:r>
      <w:r w:rsidR="007D0478">
        <w:rPr>
          <w:sz w:val="24"/>
          <w:szCs w:val="24"/>
        </w:rPr>
        <w:t xml:space="preserve"> (</w:t>
      </w:r>
      <w:commentRangeStart w:id="0"/>
      <w:proofErr w:type="spellStart"/>
      <w:r w:rsidR="008F6345">
        <w:rPr>
          <w:sz w:val="24"/>
          <w:szCs w:val="24"/>
        </w:rPr>
        <w:t>Peiera</w:t>
      </w:r>
      <w:proofErr w:type="spellEnd"/>
      <w:r w:rsidR="008F6345">
        <w:rPr>
          <w:sz w:val="24"/>
          <w:szCs w:val="24"/>
        </w:rPr>
        <w:t xml:space="preserve"> et al., 2011, </w:t>
      </w:r>
      <w:proofErr w:type="spellStart"/>
      <w:r w:rsidR="008F6345">
        <w:rPr>
          <w:sz w:val="24"/>
          <w:szCs w:val="24"/>
        </w:rPr>
        <w:t>Schakman</w:t>
      </w:r>
      <w:proofErr w:type="spellEnd"/>
      <w:r w:rsidR="008F6345">
        <w:rPr>
          <w:sz w:val="24"/>
          <w:szCs w:val="24"/>
        </w:rPr>
        <w:t xml:space="preserve"> et al., 2013</w:t>
      </w:r>
      <w:commentRangeEnd w:id="0"/>
      <w:r w:rsidR="00661656">
        <w:rPr>
          <w:rStyle w:val="CommentReference"/>
        </w:rPr>
        <w:commentReference w:id="0"/>
      </w:r>
      <w:r w:rsidR="008F6345">
        <w:rPr>
          <w:sz w:val="24"/>
          <w:szCs w:val="24"/>
        </w:rPr>
        <w:t xml:space="preserve">, </w:t>
      </w:r>
      <w:r w:rsidR="00D0713D">
        <w:rPr>
          <w:sz w:val="24"/>
          <w:szCs w:val="24"/>
        </w:rPr>
        <w:t>Sandri et al, 2004</w:t>
      </w:r>
      <w:r w:rsidR="007D0478">
        <w:rPr>
          <w:sz w:val="24"/>
          <w:szCs w:val="24"/>
        </w:rPr>
        <w:t>)</w:t>
      </w:r>
      <w:r>
        <w:rPr>
          <w:sz w:val="24"/>
          <w:szCs w:val="24"/>
        </w:rPr>
        <w:t>.</w:t>
      </w:r>
    </w:p>
    <w:p w14:paraId="240345E2" w14:textId="6FDE623F"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661656">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mendeley":{"formattedCitation":"(2)","plainTextFormattedCitation":"(2)"},"properties":{"noteIndex":0},"schema":"https://github.com/citation-style-language/schema/raw/master/csl-citation.json"}</w:instrText>
      </w:r>
      <w:r w:rsidR="00661656">
        <w:rPr>
          <w:sz w:val="24"/>
          <w:szCs w:val="24"/>
        </w:rPr>
        <w:fldChar w:fldCharType="separate"/>
      </w:r>
      <w:r w:rsidR="00661656" w:rsidRPr="00661656">
        <w:rPr>
          <w:noProof/>
          <w:sz w:val="24"/>
          <w:szCs w:val="24"/>
        </w:rPr>
        <w:t>(2)</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proofErr w:type="spellStart"/>
      <w:r w:rsidR="00D0713D">
        <w:rPr>
          <w:sz w:val="24"/>
          <w:szCs w:val="24"/>
        </w:rPr>
        <w:t>lipogensis</w:t>
      </w:r>
      <w:proofErr w:type="spellEnd"/>
      <w:r w:rsidR="00D0713D">
        <w:rPr>
          <w:sz w:val="24"/>
          <w:szCs w:val="24"/>
        </w:rPr>
        <w:t xml:space="preserve"> </w:t>
      </w:r>
      <w:commentRangeStart w:id="1"/>
      <w:r w:rsidR="00D0713D">
        <w:rPr>
          <w:sz w:val="24"/>
          <w:szCs w:val="24"/>
        </w:rPr>
        <w:t>(Chapman et al., 1985)</w:t>
      </w:r>
      <w:commentRangeEnd w:id="1"/>
      <w:r w:rsidR="00E106D6">
        <w:rPr>
          <w:rStyle w:val="CommentReference"/>
        </w:rPr>
        <w:commentReference w:id="1"/>
      </w:r>
      <w:r w:rsidR="006A6F4D">
        <w:rPr>
          <w:sz w:val="24"/>
          <w:szCs w:val="24"/>
        </w:rPr>
        <w:t xml:space="preserve"> </w:t>
      </w:r>
      <w:r w:rsidR="00D0713D">
        <w:rPr>
          <w:sz w:val="24"/>
          <w:szCs w:val="24"/>
        </w:rPr>
        <w:t>Obesity can be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05DB8254" w:rsidR="00BF40A8" w:rsidRDefault="00E161E7" w:rsidP="00E106D6">
      <w:pPr>
        <w:spacing w:line="480" w:lineRule="auto"/>
        <w:ind w:firstLine="720"/>
        <w:rPr>
          <w:sz w:val="24"/>
          <w:szCs w:val="24"/>
        </w:rPr>
      </w:pPr>
      <w:r>
        <w:rPr>
          <w:sz w:val="24"/>
          <w:szCs w:val="24"/>
        </w:rPr>
        <w:t xml:space="preserve">Skeletal muscle is vital for most everyday basic functions and maintenance of health. However, many factors including poor nutrition, lack of exercise, and a myriad of diseases can lead to loss of skeletal </w:t>
      </w:r>
      <w:commentRangeStart w:id="2"/>
      <w:r>
        <w:rPr>
          <w:sz w:val="24"/>
          <w:szCs w:val="24"/>
        </w:rPr>
        <w:t>muscle</w:t>
      </w:r>
      <w:commentRangeEnd w:id="2"/>
      <w:r w:rsidR="006F2B16">
        <w:rPr>
          <w:rStyle w:val="CommentReference"/>
        </w:rPr>
        <w:commentReference w:id="2"/>
      </w:r>
      <w:r w:rsidR="00E106D6">
        <w:rPr>
          <w:sz w:val="24"/>
          <w:szCs w:val="24"/>
        </w:rPr>
        <w:t xml:space="preserve"> </w:t>
      </w:r>
      <w:commentRangeStart w:id="3"/>
      <w:r w:rsidR="00F04961">
        <w:rPr>
          <w:sz w:val="24"/>
          <w:szCs w:val="24"/>
        </w:rPr>
        <w:t>(</w:t>
      </w:r>
      <w:proofErr w:type="spellStart"/>
      <w:r w:rsidR="00F04961">
        <w:rPr>
          <w:sz w:val="24"/>
          <w:szCs w:val="24"/>
        </w:rPr>
        <w:t>Lecker</w:t>
      </w:r>
      <w:proofErr w:type="spellEnd"/>
      <w:r w:rsidR="00F04961">
        <w:rPr>
          <w:sz w:val="24"/>
          <w:szCs w:val="24"/>
        </w:rPr>
        <w:t xml:space="preserve"> at al., </w:t>
      </w:r>
      <w:r w:rsidR="008F6345">
        <w:rPr>
          <w:sz w:val="24"/>
          <w:szCs w:val="24"/>
        </w:rPr>
        <w:t>2004</w:t>
      </w:r>
      <w:r w:rsidR="00F04961">
        <w:rPr>
          <w:sz w:val="24"/>
          <w:szCs w:val="24"/>
        </w:rPr>
        <w:t>)</w:t>
      </w:r>
      <w:r>
        <w:rPr>
          <w:sz w:val="24"/>
          <w:szCs w:val="24"/>
        </w:rPr>
        <w:t xml:space="preserve">. </w:t>
      </w:r>
      <w:commentRangeEnd w:id="3"/>
      <w:r w:rsidR="00E106D6">
        <w:rPr>
          <w:rStyle w:val="CommentReference"/>
        </w:rPr>
        <w:commentReference w:id="3"/>
      </w:r>
      <w:r w:rsidR="00661656">
        <w:rPr>
          <w:sz w:val="24"/>
          <w:szCs w:val="24"/>
        </w:rPr>
        <w:t>One causal factor in muscle loss is elevated glucocorticoids.</w:t>
      </w:r>
      <w:del w:id="4" w:author="Dave Bridges" w:date="2019-04-03T14:14:00Z">
        <w:r w:rsidDel="00661656">
          <w:rPr>
            <w:sz w:val="24"/>
            <w:szCs w:val="24"/>
          </w:rPr>
          <w:delText xml:space="preserve"> This loss can be measuredby evaluating muscle size via mass or cross-sectional area and muscle . Muscle mass can be quantified as the volume of muscle within the body while strength refers to contractile ability of a given muscle. In both humans and animals, muscle mass can be measured quite accurately using Magnetic Resonance Imaging while strength is assessed dependent on the specific muscle group. Grip strength in human and mice is simple and easy way to measure limb strength. Advantageously using animal models, we are able to evaluate muscle strength using direct muscle and nerve stimulation</w:delText>
        </w:r>
        <w:r w:rsidR="002A4533" w:rsidDel="00661656">
          <w:rPr>
            <w:sz w:val="24"/>
            <w:szCs w:val="24"/>
          </w:rPr>
          <w:delText xml:space="preserve"> </w:delText>
        </w:r>
        <w:r w:rsidR="002A4533" w:rsidDel="00661656">
          <w:rPr>
            <w:sz w:val="24"/>
            <w:szCs w:val="24"/>
          </w:rPr>
          <w:fldChar w:fldCharType="begin" w:fldLock="1"/>
        </w:r>
        <w:r w:rsidR="00AE6E44" w:rsidRPr="00E106D6" w:rsidDel="00661656">
          <w:rPr>
            <w:sz w:val="24"/>
            <w:szCs w:val="24"/>
          </w:rPr>
          <w:del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(5)","plainTextFormattedCitation":"(5)","previouslyFormattedCitation":"(5)"},"properties":{"noteIndex":0},"schema":"https://github.com/citation-style-language/schema/raw/master/csl-citation.json"}</w:delInstrText>
        </w:r>
        <w:r w:rsidR="002A4533" w:rsidDel="00661656">
          <w:rPr>
            <w:sz w:val="24"/>
            <w:szCs w:val="24"/>
          </w:rPr>
          <w:fldChar w:fldCharType="separate"/>
        </w:r>
        <w:r w:rsidR="00E77F0D" w:rsidRPr="00661656" w:rsidDel="00661656">
          <w:rPr>
            <w:noProof/>
            <w:sz w:val="24"/>
            <w:szCs w:val="24"/>
          </w:rPr>
          <w:delText>(5)</w:delText>
        </w:r>
        <w:r w:rsidR="002A4533" w:rsidDel="00661656">
          <w:rPr>
            <w:sz w:val="24"/>
            <w:szCs w:val="24"/>
          </w:rPr>
          <w:fldChar w:fldCharType="end"/>
        </w:r>
        <w:r w:rsidR="002A4533" w:rsidDel="00661656">
          <w:rPr>
            <w:sz w:val="24"/>
            <w:szCs w:val="24"/>
          </w:rPr>
          <w:delText xml:space="preserve">.  </w:delText>
        </w:r>
        <w:r w:rsidDel="00661656">
          <w:rPr>
            <w:sz w:val="24"/>
            <w:szCs w:val="24"/>
          </w:rPr>
          <w:delText>In order to properly study skeletal muscle atrophy, we must quantify size and strength as well as the factors that induce such atrophy.</w:delText>
        </w:r>
      </w:del>
      <w:r w:rsidR="00661656">
        <w:rPr>
          <w:sz w:val="24"/>
          <w:szCs w:val="24"/>
        </w:rPr>
        <w:t xml:space="preserve">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r w:rsidR="00F7167B">
        <w:rPr>
          <w:sz w:val="24"/>
          <w:szCs w:val="24"/>
        </w:rPr>
        <w:t xml:space="preserve"> </w:t>
      </w:r>
      <w:r>
        <w:rPr>
          <w:sz w:val="24"/>
          <w:szCs w:val="24"/>
        </w:rPr>
        <w:t xml:space="preserve">. </w:t>
      </w:r>
      <w:commentRangeStart w:id="5"/>
      <w:r>
        <w:rPr>
          <w:sz w:val="24"/>
          <w:szCs w:val="24"/>
        </w:rPr>
        <w:t>(Patel et al. 2014)</w:t>
      </w:r>
      <w:commentRangeEnd w:id="5"/>
      <w:r w:rsidR="006F36E9">
        <w:rPr>
          <w:rStyle w:val="CommentReference"/>
        </w:rPr>
        <w:commentReference w:id="5"/>
      </w:r>
      <w:r>
        <w:rPr>
          <w:sz w:val="24"/>
          <w:szCs w:val="24"/>
        </w:rPr>
        <w:t xml:space="preserve"> Exogenous glucocorticoid</w:t>
      </w:r>
      <w:r w:rsidR="00B97022">
        <w:rPr>
          <w:sz w:val="24"/>
          <w:szCs w:val="24"/>
        </w:rPr>
        <w:t xml:space="preserve">s </w:t>
      </w:r>
      <w:r>
        <w:rPr>
          <w:sz w:val="24"/>
          <w:szCs w:val="24"/>
        </w:rPr>
        <w:t xml:space="preserve">induce muscle atrophy through increased muscle proteolysis and inhibition of protein synthesis in lean </w:t>
      </w:r>
      <w:r>
        <w:rPr>
          <w:sz w:val="24"/>
          <w:szCs w:val="24"/>
        </w:rPr>
        <w:lastRenderedPageBreak/>
        <w:t>mice</w:t>
      </w:r>
      <w:r w:rsidR="00F7167B">
        <w:rPr>
          <w:sz w:val="24"/>
          <w:szCs w:val="24"/>
        </w:rPr>
        <w:t xml:space="preserve"> </w:t>
      </w:r>
      <w:r w:rsidR="00F7167B">
        <w:rPr>
          <w:sz w:val="24"/>
          <w:szCs w:val="24"/>
        </w:rPr>
        <w:fldChar w:fldCharType="begin" w:fldLock="1"/>
      </w:r>
      <w:r w:rsidR="00661656">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661656" w:rsidRPr="00661656">
        <w:rPr>
          <w:noProof/>
          <w:sz w:val="24"/>
          <w:szCs w:val="24"/>
        </w:rPr>
        <w:t>(12)</w:t>
      </w:r>
      <w:r w:rsidR="00F7167B">
        <w:rPr>
          <w:sz w:val="24"/>
          <w:szCs w:val="24"/>
        </w:rPr>
        <w:fldChar w:fldCharType="end"/>
      </w:r>
      <w:r>
        <w:rPr>
          <w:sz w:val="24"/>
          <w:szCs w:val="24"/>
        </w:rPr>
        <w:t xml:space="preserve">. 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661656">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(5)","plainTextFormattedCitation":"(5)","previouslyFormattedCitation":"(4)"},"properties":{"noteIndex":0},"schema":"https://github.com/citation-style-language/schema/raw/master/csl-citation.json"}</w:instrText>
      </w:r>
      <w:r w:rsidR="001866A2">
        <w:rPr>
          <w:sz w:val="24"/>
          <w:szCs w:val="24"/>
        </w:rPr>
        <w:fldChar w:fldCharType="separate"/>
      </w:r>
      <w:r w:rsidR="00661656" w:rsidRPr="00661656">
        <w:rPr>
          <w:noProof/>
          <w:sz w:val="24"/>
          <w:szCs w:val="24"/>
        </w:rPr>
        <w:t>(5)</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661656">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661656" w:rsidRPr="00661656">
        <w:rPr>
          <w:noProof/>
          <w:sz w:val="24"/>
          <w:szCs w:val="24"/>
        </w:rPr>
        <w:t>(12)</w:t>
      </w:r>
      <w:r w:rsidR="00F7167B">
        <w:rPr>
          <w:sz w:val="24"/>
          <w:szCs w:val="24"/>
        </w:rPr>
        <w:fldChar w:fldCharType="end"/>
      </w:r>
      <w:r>
        <w:rPr>
          <w:sz w:val="24"/>
          <w:szCs w:val="24"/>
        </w:rPr>
        <w:t xml:space="preserve">. </w:t>
      </w:r>
    </w:p>
    <w:p w14:paraId="6377B6C0" w14:textId="77777777" w:rsidR="00E54028" w:rsidRDefault="00E54028">
      <w:pPr>
        <w:spacing w:line="480" w:lineRule="auto"/>
        <w:rPr>
          <w:sz w:val="24"/>
          <w:szCs w:val="24"/>
        </w:rPr>
      </w:pPr>
    </w:p>
    <w:p w14:paraId="7111661E" w14:textId="77777777" w:rsidR="00BF40A8" w:rsidRDefault="00BF40A8">
      <w:pPr>
        <w:spacing w:line="480" w:lineRule="auto"/>
        <w:rPr>
          <w:sz w:val="24"/>
          <w:szCs w:val="24"/>
        </w:rPr>
      </w:pPr>
    </w:p>
    <w:p w14:paraId="4387720D" w14:textId="390B7972"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661656">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11"]]},"page":"2275-2287","title":"Glucocorticoid-Induced Metabolic Disturbances are Exacerbated in Obese Male Mice","type":"article-journal","volume":"159"},"uris":["http://www.mendeley.com/documents/?uuid=6ec0e613-d4f0-494b-a956-b4348353f8ad"]}],"mendeley":{"formattedCitation":"(3, 4)","plainTextFormattedCitation":"(3, 4)","previouslyFormattedCitation":"(2, 3)"},"properties":{"noteIndex":0},"schema":"https://github.com/citation-style-language/schema/raw/master/csl-citation.json"}</w:instrText>
      </w:r>
      <w:r w:rsidR="00E77F0D">
        <w:rPr>
          <w:sz w:val="24"/>
          <w:szCs w:val="24"/>
        </w:rPr>
        <w:fldChar w:fldCharType="separate"/>
      </w:r>
      <w:r w:rsidR="00661656" w:rsidRPr="00661656">
        <w:rPr>
          <w:noProof/>
          <w:sz w:val="24"/>
          <w:szCs w:val="24"/>
        </w:rPr>
        <w:t>(3, 4)</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6"/>
      <w:r w:rsidR="00E161E7">
        <w:rPr>
          <w:color w:val="2A2A2A"/>
          <w:sz w:val="24"/>
          <w:szCs w:val="24"/>
          <w:highlight w:val="white"/>
        </w:rPr>
        <w:t xml:space="preserve">concentration of dexamethasone consumed per cage and volumes were averaged per mouse per cage. </w:t>
      </w:r>
      <w:commentRangeEnd w:id="6"/>
      <w:r>
        <w:rPr>
          <w:rStyle w:val="CommentReference"/>
        </w:rPr>
        <w:commentReference w:id="6"/>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commentRangeStart w:id="7"/>
      <w:r w:rsidR="00E161E7">
        <w:rPr>
          <w:color w:val="2A2A2A"/>
          <w:sz w:val="24"/>
          <w:szCs w:val="24"/>
          <w:highlight w:val="white"/>
        </w:rPr>
        <w:t>torque</w:t>
      </w:r>
      <w:r>
        <w:rPr>
          <w:color w:val="2A2A2A"/>
          <w:sz w:val="24"/>
          <w:szCs w:val="24"/>
          <w:highlight w:val="white"/>
        </w:rPr>
        <w:t xml:space="preserve"> </w:t>
      </w:r>
      <w:commentRangeEnd w:id="7"/>
      <w:r w:rsidR="00E106D6">
        <w:rPr>
          <w:rStyle w:val="CommentReference"/>
        </w:rPr>
        <w:commentReference w:id="7"/>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6B84E0C6"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 xml:space="preserve">servomotor </w:t>
      </w:r>
      <w:proofErr w:type="gramStart"/>
      <w:r w:rsidRPr="00FE315D">
        <w:rPr>
          <w:color w:val="2A2A2A"/>
          <w:sz w:val="24"/>
          <w:szCs w:val="24"/>
          <w:highlight w:val="white"/>
        </w:rPr>
        <w:t>(</w:t>
      </w:r>
      <w:r w:rsidR="00FE315D" w:rsidRPr="00E106D6">
        <w:rPr>
          <w:rFonts w:eastAsia="Times New Roman"/>
          <w:color w:val="1F497D"/>
          <w:sz w:val="14"/>
          <w:szCs w:val="14"/>
          <w:shd w:val="clear" w:color="auto" w:fill="FFFFFF"/>
          <w:lang w:val="en-US"/>
        </w:rPr>
        <w:t> </w:t>
      </w:r>
      <w:r w:rsidR="00FE315D" w:rsidRPr="00E106D6">
        <w:rPr>
          <w:rFonts w:eastAsia="Times New Roman"/>
          <w:color w:val="222222"/>
          <w:sz w:val="24"/>
          <w:szCs w:val="24"/>
          <w:shd w:val="clear" w:color="auto" w:fill="FFFFFF"/>
          <w:lang w:val="en-US"/>
        </w:rPr>
        <w:t>6650</w:t>
      </w:r>
      <w:proofErr w:type="gramEnd"/>
      <w:r w:rsidR="00FE315D" w:rsidRPr="00E106D6">
        <w:rPr>
          <w:rFonts w:eastAsia="Times New Roman"/>
          <w:color w:val="222222"/>
          <w:sz w:val="24"/>
          <w:szCs w:val="24"/>
          <w:shd w:val="clear" w:color="auto" w:fill="FFFFFF"/>
          <w:lang w:val="en-US"/>
        </w:rPr>
        <w:t>LR, Cambridge Technology</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lastRenderedPageBreak/>
        <w:t>Histology</w:t>
      </w:r>
      <w:r w:rsidR="00865445">
        <w:t xml:space="preserve"> and Fiber Type Quantifications</w:t>
      </w:r>
    </w:p>
    <w:p w14:paraId="2624BB2F" w14:textId="7C8F7F30" w:rsidR="00BF40A8" w:rsidRPr="00E106D6" w:rsidRDefault="00E161E7" w:rsidP="00E106D6">
      <w:pPr>
        <w:spacing w:line="480" w:lineRule="auto"/>
        <w:rPr>
          <w:rFonts w:eastAsia="Times New Roman"/>
          <w:sz w:val="24"/>
          <w:szCs w:val="24"/>
          <w:lang w:val="en-US"/>
        </w:rPr>
      </w:pPr>
      <w:r w:rsidRPr="00FE315D">
        <w:rPr>
          <w:sz w:val="24"/>
          <w:szCs w:val="24"/>
        </w:rPr>
        <w:t>Quadriceps were collected and frozen in 2</w:t>
      </w:r>
      <w:r w:rsidR="004E24C5" w:rsidRPr="00C4394C">
        <w:rPr>
          <w:sz w:val="24"/>
          <w:szCs w:val="24"/>
        </w:rPr>
        <w:t>-</w:t>
      </w:r>
      <w:r w:rsidRPr="00D60A58">
        <w:rPr>
          <w:sz w:val="24"/>
          <w:szCs w:val="24"/>
        </w:rPr>
        <w:t>methyl-butane</w:t>
      </w:r>
      <w:r w:rsidR="004E24C5" w:rsidRPr="00FE315D">
        <w:rPr>
          <w:sz w:val="24"/>
          <w:szCs w:val="24"/>
        </w:rPr>
        <w:t xml:space="preserve"> cooled under liquid nitrogen</w:t>
      </w:r>
      <w:r w:rsidRPr="00FE315D">
        <w:rPr>
          <w:sz w:val="24"/>
          <w:szCs w:val="24"/>
        </w:rPr>
        <w:t xml:space="preserve">. Quadricep samples were sectioned </w:t>
      </w:r>
      <w:ins w:id="8" w:author="Laura Gunder" w:date="2019-04-03T12:05:00Z">
        <w:r w:rsidR="006E6DDD" w:rsidRPr="00FE315D">
          <w:rPr>
            <w:sz w:val="24"/>
            <w:szCs w:val="24"/>
          </w:rPr>
          <w:t xml:space="preserve">using a </w:t>
        </w:r>
      </w:ins>
      <w:ins w:id="9" w:author="Laura Gunder" w:date="2019-04-03T12:09:00Z">
        <w:r w:rsidR="00BC0C10" w:rsidRPr="00FE315D">
          <w:rPr>
            <w:sz w:val="24"/>
            <w:szCs w:val="24"/>
          </w:rPr>
          <w:t xml:space="preserve">(NEED TO FIND) </w:t>
        </w:r>
      </w:ins>
      <w:r w:rsidRPr="00FE315D">
        <w:rPr>
          <w:sz w:val="24"/>
          <w:szCs w:val="24"/>
        </w:rPr>
        <w:t>at -20</w:t>
      </w:r>
      <w:r w:rsidR="00B40C53" w:rsidRPr="00FE315D">
        <w:rPr>
          <w:sz w:val="24"/>
          <w:szCs w:val="24"/>
        </w:rPr>
        <w:sym w:font="Symbol" w:char="F0B0"/>
      </w:r>
      <w:r w:rsidR="00B40C53" w:rsidRPr="00FE315D">
        <w:rPr>
          <w:sz w:val="24"/>
          <w:szCs w:val="24"/>
        </w:rPr>
        <w:t>C</w:t>
      </w:r>
      <w:r w:rsidRPr="00C4394C">
        <w:rPr>
          <w:sz w:val="24"/>
          <w:szCs w:val="24"/>
        </w:rPr>
        <w:t xml:space="preserve"> with a thickness of 10um throug</w:t>
      </w:r>
      <w:r w:rsidRPr="00D60A58">
        <w:rPr>
          <w:sz w:val="24"/>
          <w:szCs w:val="24"/>
        </w:rPr>
        <w:t xml:space="preserve">h the mid-belly and mounted on </w:t>
      </w:r>
      <w:proofErr w:type="spellStart"/>
      <w:r w:rsidRPr="00D60A58">
        <w:rPr>
          <w:sz w:val="24"/>
          <w:szCs w:val="24"/>
        </w:rPr>
        <w:t>SuperFrost</w:t>
      </w:r>
      <w:proofErr w:type="spellEnd"/>
      <w:r w:rsidRPr="00D60A58">
        <w:rPr>
          <w:sz w:val="24"/>
          <w:szCs w:val="24"/>
        </w:rPr>
        <w:t xml:space="preserve"> glass slides</w:t>
      </w:r>
      <w:r w:rsidR="000B577D" w:rsidRPr="00FE315D">
        <w:rPr>
          <w:sz w:val="24"/>
          <w:szCs w:val="24"/>
        </w:rPr>
        <w:t xml:space="preserve"> (</w:t>
      </w:r>
      <w:r w:rsidR="000B577D" w:rsidRPr="00E106D6">
        <w:rPr>
          <w:rFonts w:eastAsia="Times New Roman"/>
          <w:color w:val="1E2025"/>
          <w:sz w:val="24"/>
          <w:szCs w:val="24"/>
          <w:shd w:val="clear" w:color="auto" w:fill="FFFFFF"/>
          <w:lang w:val="en-US"/>
        </w:rPr>
        <w:t>Electron Microscopy Sciences, 71882-01)</w:t>
      </w:r>
      <w:r w:rsidRPr="00FE315D">
        <w:rPr>
          <w:sz w:val="24"/>
          <w:szCs w:val="24"/>
        </w:rPr>
        <w:t xml:space="preserve">. For analysis of fiber cross-sectional area (CSA), fibers were identified by hematoxylin and eosin (H&amp;E staining) </w:t>
      </w:r>
      <w:r w:rsidR="006E6DDD" w:rsidRPr="00FE315D">
        <w:rPr>
          <w:sz w:val="24"/>
          <w:szCs w:val="24"/>
        </w:rPr>
        <w:t xml:space="preserve">and for </w:t>
      </w:r>
      <w:r w:rsidRPr="00FE315D">
        <w:rPr>
          <w:sz w:val="24"/>
          <w:szCs w:val="24"/>
        </w:rPr>
        <w:t xml:space="preserve">fiber-type, </w:t>
      </w:r>
      <w:r w:rsidR="00B11EFC" w:rsidRPr="00FE315D">
        <w:rPr>
          <w:sz w:val="24"/>
          <w:szCs w:val="24"/>
        </w:rPr>
        <w:t xml:space="preserve">muscles </w:t>
      </w:r>
      <w:r w:rsidRPr="00FE315D">
        <w:rPr>
          <w:sz w:val="24"/>
          <w:szCs w:val="24"/>
        </w:rPr>
        <w:t xml:space="preserve">were stained using </w:t>
      </w:r>
      <w:commentRangeStart w:id="10"/>
      <w:r w:rsidRPr="00FE315D">
        <w:rPr>
          <w:sz w:val="24"/>
          <w:szCs w:val="24"/>
        </w:rPr>
        <w:t>NADH-NBT staining</w:t>
      </w:r>
      <w:commentRangeEnd w:id="10"/>
      <w:r w:rsidR="00B11EFC" w:rsidRPr="00E106D6">
        <w:rPr>
          <w:rStyle w:val="CommentReference"/>
          <w:sz w:val="24"/>
          <w:szCs w:val="24"/>
        </w:rPr>
        <w:commentReference w:id="10"/>
      </w:r>
      <w:r w:rsidRPr="00FE315D">
        <w:rPr>
          <w:sz w:val="24"/>
          <w:szCs w:val="24"/>
        </w:rPr>
        <w:t xml:space="preserve">. </w:t>
      </w:r>
      <w:r w:rsidR="003B03EB" w:rsidRPr="00C4394C">
        <w:rPr>
          <w:sz w:val="24"/>
          <w:szCs w:val="24"/>
        </w:rPr>
        <w:t>Each s</w:t>
      </w:r>
      <w:r w:rsidRPr="00D60A58">
        <w:rPr>
          <w:sz w:val="24"/>
          <w:szCs w:val="24"/>
        </w:rPr>
        <w:t>ection</w:t>
      </w:r>
      <w:r w:rsidR="003B03EB" w:rsidRPr="00FE315D">
        <w:rPr>
          <w:sz w:val="24"/>
          <w:szCs w:val="24"/>
        </w:rPr>
        <w:t xml:space="preserve"> of </w:t>
      </w:r>
      <w:r w:rsidR="006E6DDD" w:rsidRPr="00FE315D">
        <w:rPr>
          <w:sz w:val="24"/>
          <w:szCs w:val="24"/>
        </w:rPr>
        <w:t xml:space="preserve">mouse </w:t>
      </w:r>
      <w:r w:rsidR="003B03EB" w:rsidRPr="00FE315D">
        <w:rPr>
          <w:sz w:val="24"/>
          <w:szCs w:val="24"/>
        </w:rPr>
        <w:t>quadricep was imaged in four times</w:t>
      </w:r>
      <w:r w:rsidR="006E6DDD" w:rsidRPr="00FE315D">
        <w:rPr>
          <w:sz w:val="24"/>
          <w:szCs w:val="24"/>
        </w:rPr>
        <w:t>;</w:t>
      </w:r>
      <w:r w:rsidR="003B03EB" w:rsidRPr="00FE315D">
        <w:rPr>
          <w:sz w:val="24"/>
          <w:szCs w:val="24"/>
        </w:rPr>
        <w:t xml:space="preserve"> </w:t>
      </w:r>
      <w:proofErr w:type="spellStart"/>
      <w:r w:rsidR="003B03EB" w:rsidRPr="00FE315D">
        <w:rPr>
          <w:sz w:val="24"/>
          <w:szCs w:val="24"/>
        </w:rPr>
        <w:t>topleft</w:t>
      </w:r>
      <w:proofErr w:type="spellEnd"/>
      <w:r w:rsidR="003B03EB" w:rsidRPr="00FE315D">
        <w:rPr>
          <w:sz w:val="24"/>
          <w:szCs w:val="24"/>
        </w:rPr>
        <w:t xml:space="preserve">, </w:t>
      </w:r>
      <w:proofErr w:type="spellStart"/>
      <w:r w:rsidR="003B03EB" w:rsidRPr="00FE315D">
        <w:rPr>
          <w:sz w:val="24"/>
          <w:szCs w:val="24"/>
        </w:rPr>
        <w:t>topright</w:t>
      </w:r>
      <w:proofErr w:type="spellEnd"/>
      <w:r w:rsidR="003B03EB" w:rsidRPr="00FE315D">
        <w:rPr>
          <w:sz w:val="24"/>
          <w:szCs w:val="24"/>
        </w:rPr>
        <w:t>, bottom-left and bottom right</w:t>
      </w:r>
      <w:r w:rsidR="006E6DDD" w:rsidRPr="00FE315D">
        <w:rPr>
          <w:sz w:val="24"/>
          <w:szCs w:val="24"/>
        </w:rPr>
        <w:t xml:space="preserve"> photos were taken.</w:t>
      </w:r>
      <w:r w:rsidRPr="00FE315D">
        <w:rPr>
          <w:sz w:val="24"/>
          <w:szCs w:val="24"/>
        </w:rPr>
        <w:t xml:space="preserve"> </w:t>
      </w:r>
      <w:r w:rsidR="003B03EB" w:rsidRPr="00FE315D">
        <w:rPr>
          <w:sz w:val="24"/>
          <w:szCs w:val="24"/>
        </w:rPr>
        <w:t xml:space="preserve">The </w:t>
      </w:r>
      <w:r w:rsidRPr="00FE315D">
        <w:rPr>
          <w:sz w:val="24"/>
          <w:szCs w:val="24"/>
        </w:rPr>
        <w:t>image</w:t>
      </w:r>
      <w:r w:rsidR="003B03EB" w:rsidRPr="00FE315D">
        <w:rPr>
          <w:sz w:val="24"/>
          <w:szCs w:val="24"/>
        </w:rPr>
        <w:t>s were taken</w:t>
      </w:r>
      <w:r w:rsidRPr="00FE315D">
        <w:rPr>
          <w:sz w:val="24"/>
          <w:szCs w:val="24"/>
        </w:rPr>
        <w:t xml:space="preserve"> using </w:t>
      </w:r>
      <w:r w:rsidR="003B03EB" w:rsidRPr="00FE315D">
        <w:rPr>
          <w:sz w:val="24"/>
          <w:szCs w:val="24"/>
        </w:rPr>
        <w:t xml:space="preserve">a </w:t>
      </w:r>
      <w:r w:rsidRPr="00FE315D">
        <w:rPr>
          <w:sz w:val="24"/>
          <w:szCs w:val="24"/>
        </w:rPr>
        <w:t>20x objective of an EVOS XL digital inverted microscope</w:t>
      </w:r>
      <w:r w:rsidR="003B03EB" w:rsidRPr="00FE315D">
        <w:rPr>
          <w:sz w:val="24"/>
          <w:szCs w:val="24"/>
        </w:rPr>
        <w:t xml:space="preserve">. Muscle fibers were </w:t>
      </w:r>
      <w:proofErr w:type="spellStart"/>
      <w:r w:rsidR="003B03EB" w:rsidRPr="00FE315D">
        <w:rPr>
          <w:sz w:val="24"/>
          <w:szCs w:val="24"/>
        </w:rPr>
        <w:t>indivdiually</w:t>
      </w:r>
      <w:proofErr w:type="spellEnd"/>
      <w:r w:rsidR="003B03EB" w:rsidRPr="00FE315D">
        <w:rPr>
          <w:sz w:val="24"/>
          <w:szCs w:val="24"/>
        </w:rPr>
        <w:t xml:space="preserve"> counted in each image </w:t>
      </w:r>
      <w:r w:rsidR="006E6DDD" w:rsidRPr="00FE315D">
        <w:rPr>
          <w:sz w:val="24"/>
          <w:szCs w:val="24"/>
        </w:rPr>
        <w:t xml:space="preserve">and the cross-sectional area was </w:t>
      </w:r>
      <w:r w:rsidRPr="00FE315D">
        <w:rPr>
          <w:sz w:val="24"/>
          <w:szCs w:val="24"/>
        </w:rPr>
        <w:t>measured</w:t>
      </w:r>
      <w:r w:rsidR="006E6DDD" w:rsidRPr="00FE315D">
        <w:rPr>
          <w:sz w:val="24"/>
          <w:szCs w:val="24"/>
        </w:rPr>
        <w:t xml:space="preserve"> by outlining 150 randomly chosen fibers</w:t>
      </w:r>
      <w:r w:rsidRPr="00FE315D">
        <w:rPr>
          <w:sz w:val="24"/>
          <w:szCs w:val="24"/>
        </w:rPr>
        <w:t xml:space="preserve"> </w:t>
      </w:r>
      <w:r w:rsidR="006E6DDD" w:rsidRPr="00FE315D">
        <w:rPr>
          <w:sz w:val="24"/>
          <w:szCs w:val="24"/>
        </w:rPr>
        <w:t>per image</w:t>
      </w:r>
      <w:r w:rsidRPr="00FE315D">
        <w:rPr>
          <w:sz w:val="24"/>
          <w:szCs w:val="24"/>
        </w:rPr>
        <w:t xml:space="preserve"> </w:t>
      </w:r>
      <w:r w:rsidR="006E6DDD" w:rsidRPr="00FE315D">
        <w:rPr>
          <w:sz w:val="24"/>
          <w:szCs w:val="24"/>
        </w:rPr>
        <w:t xml:space="preserve">and averaging them </w:t>
      </w:r>
      <w:r w:rsidRPr="00FE315D">
        <w:rPr>
          <w:sz w:val="24"/>
          <w:szCs w:val="24"/>
        </w:rPr>
        <w:t>using ImageJ.</w:t>
      </w:r>
      <w:r w:rsidR="003B03EB" w:rsidRPr="00FE315D">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lastRenderedPageBreak/>
        <w:t>mRNA Quantification</w:t>
      </w:r>
    </w:p>
    <w:p w14:paraId="749805EE" w14:textId="3CF5FABB"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del w:id="11" w:author="Dave Bridges" w:date="2019-04-03T14:22:00Z">
        <w:r w:rsidR="00B11EFC" w:rsidDel="00E106D6">
          <w:rPr>
            <w:color w:val="2A2A2A"/>
            <w:sz w:val="24"/>
            <w:szCs w:val="24"/>
            <w:highlight w:val="white"/>
          </w:rPr>
          <w:delText>manufacterers</w:delText>
        </w:r>
      </w:del>
      <w:ins w:id="12" w:author="Dave Bridges" w:date="2019-04-03T14:22:00Z">
        <w:r w:rsidR="00E106D6">
          <w:rPr>
            <w:color w:val="2A2A2A"/>
            <w:sz w:val="24"/>
            <w:szCs w:val="24"/>
            <w:highlight w:val="white"/>
          </w:rPr>
          <w:t>manufacturer’s</w:t>
        </w:r>
      </w:ins>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13"/>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 w:author="Laura Gunder" w:date="2019-04-03T12:14:00Z">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740"/>
        <w:gridCol w:w="3825"/>
        <w:gridCol w:w="3765"/>
        <w:tblGridChange w:id="15">
          <w:tblGrid>
            <w:gridCol w:w="110"/>
            <w:gridCol w:w="1630"/>
            <w:gridCol w:w="110"/>
            <w:gridCol w:w="3715"/>
            <w:gridCol w:w="110"/>
            <w:gridCol w:w="3655"/>
            <w:gridCol w:w="110"/>
          </w:tblGrid>
        </w:tblGridChange>
      </w:tblGrid>
      <w:tr w:rsidR="00BF40A8" w14:paraId="6A172600" w14:textId="77777777" w:rsidTr="00BC0C10">
        <w:trPr>
          <w:trHeight w:val="1104"/>
          <w:trPrChange w:id="16" w:author="Laura Gunder" w:date="2019-04-03T12:14:00Z">
            <w:trPr>
              <w:gridAfter w:val="0"/>
              <w:trHeight w:val="480"/>
            </w:trPr>
          </w:trPrChange>
        </w:trPr>
        <w:tc>
          <w:tcPr>
            <w:tcW w:w="1740" w:type="dxa"/>
            <w:shd w:val="clear" w:color="auto" w:fill="auto"/>
            <w:tcMar>
              <w:top w:w="100" w:type="dxa"/>
              <w:left w:w="100" w:type="dxa"/>
              <w:bottom w:w="100" w:type="dxa"/>
              <w:right w:w="100" w:type="dxa"/>
            </w:tcMar>
            <w:tcPrChange w:id="17" w:author="Laura Gunder" w:date="2019-04-03T12:14:00Z">
              <w:tcPr>
                <w:tcW w:w="1740" w:type="dxa"/>
                <w:gridSpan w:val="2"/>
                <w:shd w:val="clear" w:color="auto" w:fill="auto"/>
                <w:tcMar>
                  <w:top w:w="100" w:type="dxa"/>
                  <w:left w:w="100" w:type="dxa"/>
                  <w:bottom w:w="100" w:type="dxa"/>
                  <w:right w:w="100" w:type="dxa"/>
                </w:tcMar>
              </w:tcPr>
            </w:tcPrChange>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18" w:author="Laura Gunder" w:date="2019-04-03T12:14:00Z">
              <w:tcPr>
                <w:tcW w:w="3825" w:type="dxa"/>
                <w:gridSpan w:val="2"/>
                <w:shd w:val="clear" w:color="auto" w:fill="auto"/>
                <w:tcMar>
                  <w:top w:w="100" w:type="dxa"/>
                  <w:left w:w="100" w:type="dxa"/>
                  <w:bottom w:w="100" w:type="dxa"/>
                  <w:right w:w="100" w:type="dxa"/>
                </w:tcMar>
              </w:tcPr>
            </w:tcPrChange>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19" w:author="Laura Gunder" w:date="2019-04-03T12:14:00Z">
              <w:tcPr>
                <w:tcW w:w="3765" w:type="dxa"/>
                <w:gridSpan w:val="2"/>
                <w:shd w:val="clear" w:color="auto" w:fill="auto"/>
                <w:tcMar>
                  <w:top w:w="100" w:type="dxa"/>
                  <w:left w:w="100" w:type="dxa"/>
                  <w:bottom w:w="100" w:type="dxa"/>
                  <w:right w:w="100" w:type="dxa"/>
                </w:tcMar>
              </w:tcPr>
            </w:tcPrChange>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BC0C10">
        <w:trPr>
          <w:trHeight w:val="1104"/>
          <w:trPrChange w:id="20" w:author="Laura Gunder" w:date="2019-04-03T12:14:00Z">
            <w:trPr>
              <w:gridAfter w:val="0"/>
              <w:trHeight w:val="760"/>
            </w:trPr>
          </w:trPrChange>
        </w:trPr>
        <w:tc>
          <w:tcPr>
            <w:tcW w:w="1740" w:type="dxa"/>
            <w:shd w:val="clear" w:color="auto" w:fill="auto"/>
            <w:tcMar>
              <w:top w:w="100" w:type="dxa"/>
              <w:left w:w="100" w:type="dxa"/>
              <w:bottom w:w="100" w:type="dxa"/>
              <w:right w:w="100" w:type="dxa"/>
            </w:tcMar>
            <w:tcPrChange w:id="21" w:author="Laura Gunder" w:date="2019-04-03T12:14:00Z">
              <w:tcPr>
                <w:tcW w:w="1740" w:type="dxa"/>
                <w:gridSpan w:val="2"/>
                <w:shd w:val="clear" w:color="auto" w:fill="auto"/>
                <w:tcMar>
                  <w:top w:w="100" w:type="dxa"/>
                  <w:left w:w="100" w:type="dxa"/>
                  <w:bottom w:w="100" w:type="dxa"/>
                  <w:right w:w="100" w:type="dxa"/>
                </w:tcMar>
              </w:tcPr>
            </w:tcPrChange>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22" w:author="Laura Gunder" w:date="2019-04-03T12:14:00Z">
              <w:tcPr>
                <w:tcW w:w="3825" w:type="dxa"/>
                <w:gridSpan w:val="2"/>
                <w:shd w:val="clear" w:color="auto" w:fill="auto"/>
                <w:tcMar>
                  <w:top w:w="100" w:type="dxa"/>
                  <w:left w:w="100" w:type="dxa"/>
                  <w:bottom w:w="100" w:type="dxa"/>
                  <w:right w:w="100" w:type="dxa"/>
                </w:tcMar>
              </w:tcPr>
            </w:tcPrChange>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23" w:author="Laura Gunder" w:date="2019-04-03T12:14:00Z">
              <w:tcPr>
                <w:tcW w:w="3765" w:type="dxa"/>
                <w:gridSpan w:val="2"/>
                <w:shd w:val="clear" w:color="auto" w:fill="auto"/>
                <w:tcMar>
                  <w:top w:w="100" w:type="dxa"/>
                  <w:left w:w="100" w:type="dxa"/>
                  <w:bottom w:w="100" w:type="dxa"/>
                  <w:right w:w="100" w:type="dxa"/>
                </w:tcMar>
              </w:tcPr>
            </w:tcPrChange>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BC0C10">
        <w:trPr>
          <w:trHeight w:val="1104"/>
          <w:trPrChange w:id="24" w:author="Laura Gunder" w:date="2019-04-03T12:14:00Z">
            <w:trPr>
              <w:gridAfter w:val="0"/>
              <w:trHeight w:val="360"/>
            </w:trPr>
          </w:trPrChange>
        </w:trPr>
        <w:tc>
          <w:tcPr>
            <w:tcW w:w="1740" w:type="dxa"/>
            <w:shd w:val="clear" w:color="auto" w:fill="auto"/>
            <w:tcMar>
              <w:top w:w="100" w:type="dxa"/>
              <w:left w:w="100" w:type="dxa"/>
              <w:bottom w:w="100" w:type="dxa"/>
              <w:right w:w="100" w:type="dxa"/>
            </w:tcMar>
            <w:tcPrChange w:id="25" w:author="Laura Gunder" w:date="2019-04-03T12:14:00Z">
              <w:tcPr>
                <w:tcW w:w="1740" w:type="dxa"/>
                <w:gridSpan w:val="2"/>
                <w:shd w:val="clear" w:color="auto" w:fill="auto"/>
                <w:tcMar>
                  <w:top w:w="100" w:type="dxa"/>
                  <w:left w:w="100" w:type="dxa"/>
                  <w:bottom w:w="100" w:type="dxa"/>
                  <w:right w:w="100" w:type="dxa"/>
                </w:tcMar>
              </w:tcPr>
            </w:tcPrChange>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26" w:author="Laura Gunder" w:date="2019-04-03T12:14:00Z">
              <w:tcPr>
                <w:tcW w:w="3825" w:type="dxa"/>
                <w:gridSpan w:val="2"/>
                <w:shd w:val="clear" w:color="auto" w:fill="auto"/>
                <w:tcMar>
                  <w:top w:w="100" w:type="dxa"/>
                  <w:left w:w="100" w:type="dxa"/>
                  <w:bottom w:w="100" w:type="dxa"/>
                  <w:right w:w="100" w:type="dxa"/>
                </w:tcMar>
              </w:tcPr>
            </w:tcPrChange>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27" w:author="Laura Gunder" w:date="2019-04-03T12:14:00Z">
              <w:tcPr>
                <w:tcW w:w="3765" w:type="dxa"/>
                <w:gridSpan w:val="2"/>
                <w:shd w:val="clear" w:color="auto" w:fill="auto"/>
                <w:tcMar>
                  <w:top w:w="100" w:type="dxa"/>
                  <w:left w:w="100" w:type="dxa"/>
                  <w:bottom w:w="100" w:type="dxa"/>
                  <w:right w:w="100" w:type="dxa"/>
                </w:tcMar>
              </w:tcPr>
            </w:tcPrChange>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BC0C10">
        <w:trPr>
          <w:trHeight w:val="1104"/>
          <w:trPrChange w:id="28" w:author="Laura Gunder" w:date="2019-04-03T12:14:00Z">
            <w:trPr>
              <w:gridAfter w:val="0"/>
            </w:trPr>
          </w:trPrChange>
        </w:trPr>
        <w:tc>
          <w:tcPr>
            <w:tcW w:w="1740" w:type="dxa"/>
            <w:shd w:val="clear" w:color="auto" w:fill="auto"/>
            <w:tcMar>
              <w:top w:w="100" w:type="dxa"/>
              <w:left w:w="100" w:type="dxa"/>
              <w:bottom w:w="100" w:type="dxa"/>
              <w:right w:w="100" w:type="dxa"/>
            </w:tcMar>
            <w:tcPrChange w:id="29" w:author="Laura Gunder" w:date="2019-04-03T12:14:00Z">
              <w:tcPr>
                <w:tcW w:w="1740" w:type="dxa"/>
                <w:gridSpan w:val="2"/>
                <w:shd w:val="clear" w:color="auto" w:fill="auto"/>
                <w:tcMar>
                  <w:top w:w="100" w:type="dxa"/>
                  <w:left w:w="100" w:type="dxa"/>
                  <w:bottom w:w="100" w:type="dxa"/>
                  <w:right w:w="100" w:type="dxa"/>
                </w:tcMar>
              </w:tcPr>
            </w:tcPrChange>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30" w:author="Laura Gunder" w:date="2019-04-03T12:14:00Z">
              <w:tcPr>
                <w:tcW w:w="3825" w:type="dxa"/>
                <w:gridSpan w:val="2"/>
                <w:shd w:val="clear" w:color="auto" w:fill="auto"/>
                <w:tcMar>
                  <w:top w:w="100" w:type="dxa"/>
                  <w:left w:w="100" w:type="dxa"/>
                  <w:bottom w:w="100" w:type="dxa"/>
                  <w:right w:w="100" w:type="dxa"/>
                </w:tcMar>
              </w:tcPr>
            </w:tcPrChange>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31" w:author="Laura Gunder" w:date="2019-04-03T12:14:00Z">
              <w:tcPr>
                <w:tcW w:w="3765" w:type="dxa"/>
                <w:gridSpan w:val="2"/>
                <w:shd w:val="clear" w:color="auto" w:fill="auto"/>
                <w:tcMar>
                  <w:top w:w="100" w:type="dxa"/>
                  <w:left w:w="100" w:type="dxa"/>
                  <w:bottom w:w="100" w:type="dxa"/>
                  <w:right w:w="100" w:type="dxa"/>
                </w:tcMar>
              </w:tcPr>
            </w:tcPrChange>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BC0C10">
        <w:trPr>
          <w:trHeight w:val="1104"/>
          <w:trPrChange w:id="32" w:author="Laura Gunder" w:date="2019-04-03T12:14:00Z">
            <w:trPr>
              <w:gridAfter w:val="0"/>
            </w:trPr>
          </w:trPrChange>
        </w:trPr>
        <w:tc>
          <w:tcPr>
            <w:tcW w:w="1740" w:type="dxa"/>
            <w:shd w:val="clear" w:color="auto" w:fill="auto"/>
            <w:tcMar>
              <w:top w:w="100" w:type="dxa"/>
              <w:left w:w="100" w:type="dxa"/>
              <w:bottom w:w="100" w:type="dxa"/>
              <w:right w:w="100" w:type="dxa"/>
            </w:tcMar>
            <w:tcPrChange w:id="33" w:author="Laura Gunder" w:date="2019-04-03T12:14:00Z">
              <w:tcPr>
                <w:tcW w:w="1740" w:type="dxa"/>
                <w:gridSpan w:val="2"/>
                <w:shd w:val="clear" w:color="auto" w:fill="auto"/>
                <w:tcMar>
                  <w:top w:w="100" w:type="dxa"/>
                  <w:left w:w="100" w:type="dxa"/>
                  <w:bottom w:w="100" w:type="dxa"/>
                  <w:right w:w="100" w:type="dxa"/>
                </w:tcMar>
              </w:tcPr>
            </w:tcPrChange>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34" w:author="Laura Gunder" w:date="2019-04-03T12:14:00Z">
              <w:tcPr>
                <w:tcW w:w="3825" w:type="dxa"/>
                <w:gridSpan w:val="2"/>
                <w:shd w:val="clear" w:color="auto" w:fill="auto"/>
                <w:tcMar>
                  <w:top w:w="100" w:type="dxa"/>
                  <w:left w:w="100" w:type="dxa"/>
                  <w:bottom w:w="100" w:type="dxa"/>
                  <w:right w:w="100" w:type="dxa"/>
                </w:tcMar>
              </w:tcPr>
            </w:tcPrChange>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35" w:author="Laura Gunder" w:date="2019-04-03T12:14:00Z">
              <w:tcPr>
                <w:tcW w:w="3765" w:type="dxa"/>
                <w:gridSpan w:val="2"/>
                <w:shd w:val="clear" w:color="auto" w:fill="auto"/>
                <w:tcMar>
                  <w:top w:w="100" w:type="dxa"/>
                  <w:left w:w="100" w:type="dxa"/>
                  <w:bottom w:w="100" w:type="dxa"/>
                  <w:right w:w="100" w:type="dxa"/>
                </w:tcMar>
              </w:tcPr>
            </w:tcPrChange>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commentRangeEnd w:id="13"/>
      <w:tr w:rsidR="00BC0C10" w14:paraId="69CEFE72" w14:textId="77777777" w:rsidTr="00BC0C10">
        <w:trPr>
          <w:trHeight w:val="1104"/>
          <w:ins w:id="36"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37" w:author="Laura Gunder" w:date="2019-04-03T12:14:00Z"/>
                <w:i/>
                <w:color w:val="2A2A2A"/>
                <w:sz w:val="24"/>
                <w:szCs w:val="24"/>
                <w:highlight w:val="white"/>
              </w:rPr>
            </w:pPr>
            <w:ins w:id="38" w:author="Laura Gunder" w:date="2019-04-03T12:15:00Z">
              <w:r w:rsidRPr="00BC0C10">
                <w:rPr>
                  <w:i/>
                  <w:color w:val="2A2A2A"/>
                  <w:sz w:val="24"/>
                  <w:szCs w:val="24"/>
                  <w:highlight w:val="white"/>
                </w:rPr>
                <w:lastRenderedPageBreak/>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39" w:author="Laura Gunder" w:date="2019-04-03T12:16:00Z"/>
                <w:color w:val="000000"/>
                <w:sz w:val="24"/>
                <w:szCs w:val="24"/>
                <w:lang w:val="en-US"/>
              </w:rPr>
            </w:pPr>
            <w:ins w:id="40"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41"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42" w:author="Laura Gunder" w:date="2019-04-03T12:16:00Z"/>
                <w:color w:val="000000"/>
                <w:sz w:val="24"/>
                <w:szCs w:val="24"/>
                <w:lang w:val="en-US"/>
              </w:rPr>
            </w:pPr>
            <w:ins w:id="43"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44" w:author="Laura Gunder" w:date="2019-04-03T12:14:00Z"/>
                <w:color w:val="2A2A2A"/>
                <w:sz w:val="24"/>
                <w:szCs w:val="24"/>
                <w:highlight w:val="white"/>
              </w:rPr>
            </w:pPr>
          </w:p>
        </w:tc>
      </w:tr>
    </w:tbl>
    <w:p w14:paraId="50244C3A" w14:textId="45045087" w:rsidR="00BF40A8" w:rsidRDefault="00A866A1">
      <w:pPr>
        <w:shd w:val="clear" w:color="auto" w:fill="FFFFFF"/>
        <w:spacing w:line="480" w:lineRule="auto"/>
        <w:rPr>
          <w:b/>
          <w:color w:val="2A2A2A"/>
          <w:sz w:val="24"/>
          <w:szCs w:val="24"/>
          <w:highlight w:val="white"/>
        </w:rPr>
      </w:pPr>
      <w:r>
        <w:rPr>
          <w:rStyle w:val="CommentReference"/>
        </w:rPr>
        <w:commentReference w:id="13"/>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52525"/>
          <w:sz w:val="24"/>
          <w:szCs w:val="24"/>
          <w:highlight w:val="white"/>
        </w:rPr>
        <w:t xml:space="preserve"> </w:t>
      </w:r>
      <w:r w:rsidR="00E161E7">
        <w:rPr>
          <w:color w:val="252525"/>
          <w:sz w:val="24"/>
          <w:szCs w:val="24"/>
          <w:highlight w:val="white"/>
        </w:rPr>
        <w:tab/>
      </w:r>
      <w:r w:rsidR="00E161E7">
        <w:rPr>
          <w:color w:val="252525"/>
          <w:sz w:val="24"/>
          <w:szCs w:val="24"/>
          <w:highlight w:val="white"/>
        </w:rPr>
        <w:tab/>
      </w:r>
    </w:p>
    <w:p w14:paraId="1B8D3466" w14:textId="2953C0B0" w:rsidR="00BF40A8" w:rsidRDefault="00E161E7" w:rsidP="00A866A1">
      <w:pPr>
        <w:pStyle w:val="Heading2"/>
      </w:pPr>
      <w:r>
        <w:rPr>
          <w:highlight w:val="white"/>
        </w:rPr>
        <w:t xml:space="preserve">Statistics </w:t>
      </w:r>
      <w:r>
        <w:tab/>
      </w:r>
    </w:p>
    <w:p w14:paraId="131FF30A" w14:textId="30A02B49" w:rsidR="00BF40A8" w:rsidRDefault="00E161E7">
      <w:pPr>
        <w:shd w:val="clear" w:color="auto" w:fill="FFFFFF"/>
        <w:spacing w:line="480" w:lineRule="auto"/>
        <w:rPr>
          <w:sz w:val="24"/>
          <w:szCs w:val="24"/>
        </w:rPr>
      </w:pPr>
      <w:r>
        <w:rPr>
          <w:sz w:val="24"/>
          <w:szCs w:val="24"/>
        </w:rPr>
        <w:t xml:space="preserve">All results are represented as mean ± SEM. Two-Way ANOVA analyses were performed to test for significance and determine interactions between diet and dexamethasone treatment. Pairwise testing was performed </w:t>
      </w:r>
      <w:r w:rsidR="00F77670">
        <w:rPr>
          <w:sz w:val="24"/>
          <w:szCs w:val="24"/>
        </w:rPr>
        <w:t xml:space="preserve">after assessing </w:t>
      </w:r>
      <w:r>
        <w:rPr>
          <w:sz w:val="24"/>
          <w:szCs w:val="24"/>
        </w:rPr>
        <w:t>normality and equal of variances. If Shapiro-Wilk</w:t>
      </w:r>
      <w:del w:id="45" w:author="Dave Bridges" w:date="2019-04-03T14:23:00Z">
        <w:r w:rsidDel="00E106D6">
          <w:rPr>
            <w:sz w:val="24"/>
            <w:szCs w:val="24"/>
          </w:rPr>
          <w:delText>s</w:delText>
        </w:r>
      </w:del>
      <w:r>
        <w:rPr>
          <w:sz w:val="24"/>
          <w:szCs w:val="24"/>
        </w:rPr>
        <w:t xml:space="preserve"> </w:t>
      </w:r>
      <w:r w:rsidR="00F77670">
        <w:rPr>
          <w:sz w:val="24"/>
          <w:szCs w:val="24"/>
        </w:rPr>
        <w:t>test was insignificant</w:t>
      </w:r>
      <w:r>
        <w:rPr>
          <w:sz w:val="24"/>
          <w:szCs w:val="24"/>
        </w:rPr>
        <w:t xml:space="preserve">,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 xml:space="preserve">-test. Any </w:t>
      </w:r>
      <w:r w:rsidR="00D2170C">
        <w:rPr>
          <w:sz w:val="24"/>
          <w:szCs w:val="24"/>
        </w:rPr>
        <w:t>p</w:t>
      </w:r>
      <w:r>
        <w:rPr>
          <w:sz w:val="24"/>
          <w:szCs w:val="24"/>
        </w:rPr>
        <w:t xml:space="preserve">-value under 0.05 was considered significant. All statistical tests were conducted using R </w:t>
      </w:r>
      <w:r w:rsidR="00F77670">
        <w:rPr>
          <w:sz w:val="24"/>
          <w:szCs w:val="24"/>
        </w:rPr>
        <w:t xml:space="preserve">version 3.5.0 </w:t>
      </w:r>
      <w:r w:rsidR="00F77670">
        <w:rPr>
          <w:sz w:val="24"/>
          <w:szCs w:val="24"/>
        </w:rPr>
        <w:fldChar w:fldCharType="begin" w:fldLock="1"/>
      </w:r>
      <w:r w:rsidR="00661656">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(8)","plainTextFormattedCitation":"(8)","previouslyFormattedCitation":"(7)"},"properties":{"noteIndex":0},"schema":"https://github.com/citation-style-language/schema/raw/master/csl-citation.json"}</w:instrText>
      </w:r>
      <w:r w:rsidR="00F77670">
        <w:rPr>
          <w:sz w:val="24"/>
          <w:szCs w:val="24"/>
        </w:rPr>
        <w:fldChar w:fldCharType="separate"/>
      </w:r>
      <w:r w:rsidR="00661656" w:rsidRPr="00661656">
        <w:rPr>
          <w:noProof/>
          <w:sz w:val="24"/>
          <w:szCs w:val="24"/>
        </w:rPr>
        <w:t>(8)</w:t>
      </w:r>
      <w:r w:rsidR="00F77670">
        <w:rPr>
          <w:sz w:val="24"/>
          <w:szCs w:val="24"/>
        </w:rPr>
        <w:fldChar w:fldCharType="end"/>
      </w:r>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161E7" w:rsidP="00A866A1">
      <w:pPr>
        <w:pStyle w:val="Heading2"/>
        <w:rPr>
          <w:highlight w:val="white"/>
        </w:rPr>
      </w:pPr>
      <w:r>
        <w:rPr>
          <w:highlight w:val="white"/>
        </w:rPr>
        <w:t>Protein- ARE WE INCLUDING IDK</w:t>
      </w:r>
    </w:p>
    <w:p w14:paraId="3BF04057" w14:textId="1A7083AF"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transferred onto nitrocellulose overnight.  Nitrocellulose blots were stained with Revert Total Protein Stain (catalog no. 926-11011; Li-Cor Biosciences) for total protein</w:t>
      </w:r>
      <w:r w:rsidR="00D2170C">
        <w:rPr>
          <w:color w:val="2A2A2A"/>
          <w:sz w:val="24"/>
          <w:szCs w:val="24"/>
          <w:highlight w:val="white"/>
        </w:rPr>
        <w:t xml:space="preserve"> following product instructions</w:t>
      </w:r>
      <w:r>
        <w:rPr>
          <w:color w:val="2A2A2A"/>
          <w:sz w:val="24"/>
          <w:szCs w:val="24"/>
          <w:highlight w:val="white"/>
        </w:rPr>
        <w:t>. Anti-mouse and anti-rabbit fluorescent-conjugated antibodies (</w:t>
      </w:r>
      <w:commentRangeStart w:id="46"/>
      <w:r>
        <w:rPr>
          <w:color w:val="2A2A2A"/>
          <w:sz w:val="24"/>
          <w:szCs w:val="24"/>
          <w:highlight w:val="white"/>
        </w:rPr>
        <w:t>Invitrogen</w:t>
      </w:r>
      <w:commentRangeEnd w:id="46"/>
      <w:r w:rsidR="00D2170C">
        <w:rPr>
          <w:rStyle w:val="CommentReference"/>
        </w:rPr>
        <w:commentReference w:id="46"/>
      </w:r>
      <w:r>
        <w:rPr>
          <w:color w:val="2A2A2A"/>
          <w:sz w:val="24"/>
          <w:szCs w:val="24"/>
          <w:highlight w:val="white"/>
        </w:rPr>
        <w:t>) were used to detect secondary antibodies.</w:t>
      </w:r>
    </w:p>
    <w:p w14:paraId="0AE121F3" w14:textId="77777777" w:rsidR="00BF40A8" w:rsidRDefault="00E161E7">
      <w:pPr>
        <w:shd w:val="clear" w:color="auto" w:fill="FFFFFF"/>
        <w:spacing w:line="480" w:lineRule="auto"/>
        <w:rPr>
          <w:color w:val="2A2A2A"/>
          <w:sz w:val="24"/>
          <w:szCs w:val="24"/>
          <w:highlight w:val="white"/>
        </w:rPr>
      </w:pPr>
      <w:commentRangeStart w:id="47"/>
      <w:r>
        <w:rPr>
          <w:color w:val="2A2A2A"/>
          <w:sz w:val="24"/>
          <w:szCs w:val="24"/>
          <w:highlight w:val="white"/>
        </w:rPr>
        <w:lastRenderedPageBreak/>
        <w:t>Antibody list...</w:t>
      </w:r>
      <w:commentRangeEnd w:id="47"/>
      <w:r w:rsidR="006F36E9">
        <w:rPr>
          <w:rStyle w:val="CommentReference"/>
        </w:rPr>
        <w:commentReference w:id="47"/>
      </w:r>
    </w:p>
    <w:p w14:paraId="79E020AB" w14:textId="01ACF676" w:rsidR="00BF40A8" w:rsidRDefault="00E161E7">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w:t>
      </w:r>
      <w:r w:rsidR="00D2170C">
        <w:rPr>
          <w:color w:val="2A2A2A"/>
          <w:sz w:val="24"/>
          <w:szCs w:val="24"/>
          <w:highlight w:val="white"/>
        </w:rPr>
        <w:t>Quantification of</w:t>
      </w:r>
      <w:r>
        <w:rPr>
          <w:color w:val="2A2A2A"/>
          <w:sz w:val="24"/>
          <w:szCs w:val="24"/>
          <w:highlight w:val="white"/>
        </w:rPr>
        <w:t xml:space="preserve"> protein</w:t>
      </w:r>
      <w:r w:rsidR="00D2170C">
        <w:rPr>
          <w:color w:val="2A2A2A"/>
          <w:sz w:val="24"/>
          <w:szCs w:val="24"/>
          <w:highlight w:val="white"/>
        </w:rPr>
        <w:t>s</w:t>
      </w:r>
      <w:r>
        <w:rPr>
          <w:color w:val="2A2A2A"/>
          <w:sz w:val="24"/>
          <w:szCs w:val="24"/>
          <w:highlight w:val="white"/>
        </w:rPr>
        <w:t xml:space="preserve"> </w:t>
      </w:r>
      <w:r w:rsidR="00D2170C">
        <w:rPr>
          <w:color w:val="2A2A2A"/>
          <w:sz w:val="24"/>
          <w:szCs w:val="24"/>
          <w:highlight w:val="white"/>
        </w:rPr>
        <w:t>was</w:t>
      </w:r>
      <w:r>
        <w:rPr>
          <w:color w:val="2A2A2A"/>
          <w:sz w:val="24"/>
          <w:szCs w:val="24"/>
          <w:highlight w:val="white"/>
        </w:rPr>
        <w:t xml:space="preserve"> </w:t>
      </w:r>
      <w:r w:rsidR="00D2170C">
        <w:rPr>
          <w:color w:val="2A2A2A"/>
          <w:sz w:val="24"/>
          <w:szCs w:val="24"/>
          <w:highlight w:val="white"/>
        </w:rPr>
        <w:t xml:space="preserve">done </w:t>
      </w:r>
      <w:r>
        <w:rPr>
          <w:color w:val="2A2A2A"/>
          <w:sz w:val="24"/>
          <w:szCs w:val="24"/>
          <w:highlight w:val="white"/>
        </w:rPr>
        <w:t xml:space="preserve">using Image Studio </w:t>
      </w:r>
      <w:r w:rsidR="00D2170C">
        <w:rPr>
          <w:color w:val="2A2A2A"/>
          <w:sz w:val="24"/>
          <w:szCs w:val="24"/>
          <w:highlight w:val="white"/>
        </w:rPr>
        <w:t>version 5.2</w:t>
      </w:r>
      <w:r>
        <w:rPr>
          <w:color w:val="2A2A2A"/>
          <w:sz w:val="24"/>
          <w:szCs w:val="24"/>
          <w:highlight w:val="white"/>
        </w:rPr>
        <w:t xml:space="preserve"> (Li-Cor Biosciences) and 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32A1E8B8" w:rsidR="00BF40A8" w:rsidRDefault="00E161E7">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w:t>
      </w:r>
      <w:del w:id="48" w:author="Dave Bridges" w:date="2019-04-03T14:26:00Z">
        <w:r w:rsidDel="00E106D6">
          <w:rPr>
            <w:sz w:val="24"/>
            <w:szCs w:val="24"/>
          </w:rPr>
          <w:delText xml:space="preserve">four-paw </w:delText>
        </w:r>
      </w:del>
      <w:r>
        <w:rPr>
          <w:sz w:val="24"/>
          <w:szCs w:val="24"/>
        </w:rPr>
        <w:t xml:space="preserve">grip strength. Dexamethasone treatment resulted in </w:t>
      </w:r>
      <w:del w:id="49" w:author="Dave Bridges" w:date="2019-04-03T14:26:00Z">
        <w:r w:rsidDel="00E106D6">
          <w:rPr>
            <w:sz w:val="24"/>
            <w:szCs w:val="24"/>
          </w:rPr>
          <w:delText xml:space="preserve">synergistic </w:delText>
        </w:r>
      </w:del>
      <w:r>
        <w:rPr>
          <w:sz w:val="24"/>
          <w:szCs w:val="24"/>
        </w:rPr>
        <w:t>reductions in grip strength in both lean and obese mice when compared to their counterparts (Figure 1</w:t>
      </w:r>
      <w:del w:id="50" w:author="Dave Bridges" w:date="2019-04-03T14:26:00Z">
        <w:r w:rsidDel="00E106D6">
          <w:rPr>
            <w:sz w:val="24"/>
            <w:szCs w:val="24"/>
          </w:rPr>
          <w:delText>a-b</w:delText>
        </w:r>
      </w:del>
      <w:ins w:id="51" w:author="Dave Bridges" w:date="2019-04-03T14:26:00Z">
        <w:r w:rsidR="00E106D6">
          <w:rPr>
            <w:sz w:val="24"/>
            <w:szCs w:val="24"/>
          </w:rPr>
          <w:t>A-B</w:t>
        </w:r>
      </w:ins>
      <w:r>
        <w:rPr>
          <w:sz w:val="24"/>
          <w:szCs w:val="24"/>
        </w:rPr>
        <w:t xml:space="preserve">).  </w:t>
      </w:r>
      <w:commentRangeStart w:id="52"/>
      <w:r>
        <w:rPr>
          <w:sz w:val="24"/>
          <w:szCs w:val="24"/>
        </w:rPr>
        <w:t>This result is consistent with studies in adult humans in which elevated salivary cortisol had a significantly higher risk of loss of grip strength than their peers</w:t>
      </w:r>
      <w:r w:rsidR="006F36E9">
        <w:rPr>
          <w:sz w:val="24"/>
          <w:szCs w:val="24"/>
        </w:rPr>
        <w:t xml:space="preserve"> </w:t>
      </w:r>
      <w:commentRangeStart w:id="53"/>
      <w:r>
        <w:rPr>
          <w:sz w:val="24"/>
          <w:szCs w:val="24"/>
        </w:rPr>
        <w:t>(</w:t>
      </w:r>
      <w:proofErr w:type="spellStart"/>
      <w:r>
        <w:rPr>
          <w:sz w:val="24"/>
          <w:szCs w:val="24"/>
        </w:rPr>
        <w:t>Peeters</w:t>
      </w:r>
      <w:proofErr w:type="spellEnd"/>
      <w:r>
        <w:rPr>
          <w:sz w:val="24"/>
          <w:szCs w:val="24"/>
        </w:rPr>
        <w:t xml:space="preserve"> et al., 2008)</w:t>
      </w:r>
      <w:commentRangeEnd w:id="53"/>
      <w:r w:rsidR="006F36E9">
        <w:rPr>
          <w:rStyle w:val="CommentReference"/>
        </w:rPr>
        <w:commentReference w:id="53"/>
      </w:r>
      <w:r>
        <w:rPr>
          <w:sz w:val="24"/>
          <w:szCs w:val="24"/>
        </w:rPr>
        <w:t>.</w:t>
      </w:r>
      <w:commentRangeEnd w:id="52"/>
      <w:r w:rsidR="00E106D6">
        <w:rPr>
          <w:rStyle w:val="CommentReference"/>
        </w:rPr>
        <w:commentReference w:id="52"/>
      </w:r>
      <w:r>
        <w:rPr>
          <w:sz w:val="24"/>
          <w:szCs w:val="24"/>
        </w:rPr>
        <w:t xml:space="preserve"> </w:t>
      </w:r>
      <w:del w:id="54" w:author="Dave Bridges" w:date="2019-04-03T14:26:00Z">
        <w:r w:rsidDel="00E106D6">
          <w:rPr>
            <w:sz w:val="24"/>
            <w:szCs w:val="24"/>
          </w:rPr>
          <w:delText>In addition, obese</w:delText>
        </w:r>
      </w:del>
      <w:ins w:id="55"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commentRangeStart w:id="56"/>
      <w:r>
        <w:rPr>
          <w:sz w:val="24"/>
          <w:szCs w:val="24"/>
        </w:rPr>
        <w:t>-0.4% reduction in lean animals (</w:t>
      </w:r>
      <w:ins w:id="57" w:author="Dave Bridges" w:date="2019-04-03T14:27:00Z">
        <w:r w:rsidR="0098062C">
          <w:rPr>
            <w:sz w:val="24"/>
            <w:szCs w:val="24"/>
          </w:rPr>
          <w:t>p</w:t>
        </w:r>
      </w:ins>
      <w:del w:id="58" w:author="Dave Bridges" w:date="2019-04-03T14:27:00Z">
        <w:r w:rsidDel="0098062C">
          <w:rPr>
            <w:sz w:val="24"/>
            <w:szCs w:val="24"/>
          </w:rPr>
          <w:delText>P</w:delText>
        </w:r>
      </w:del>
      <w:r>
        <w:rPr>
          <w:sz w:val="24"/>
          <w:szCs w:val="24"/>
        </w:rPr>
        <w:t xml:space="preserve">=0.007) but a -0.9% reduction </w:t>
      </w:r>
      <w:commentRangeEnd w:id="56"/>
      <w:r w:rsidR="0098062C">
        <w:rPr>
          <w:rStyle w:val="CommentReference"/>
        </w:rPr>
        <w:commentReference w:id="56"/>
      </w:r>
      <w:r>
        <w:rPr>
          <w:sz w:val="24"/>
          <w:szCs w:val="24"/>
        </w:rPr>
        <w:t>in grip strength for obese animals (</w:t>
      </w:r>
      <w:ins w:id="59" w:author="Dave Bridges" w:date="2019-04-03T14:27:00Z">
        <w:r w:rsidR="00E106D6">
          <w:rPr>
            <w:sz w:val="24"/>
            <w:szCs w:val="24"/>
          </w:rPr>
          <w:t>p</w:t>
        </w:r>
      </w:ins>
      <w:del w:id="60" w:author="Dave Bridges" w:date="2019-04-03T14:27:00Z">
        <w:r w:rsidDel="00E106D6">
          <w:rPr>
            <w:sz w:val="24"/>
            <w:szCs w:val="24"/>
          </w:rPr>
          <w:delText>P</w:delText>
        </w:r>
      </w:del>
      <w:r>
        <w:rPr>
          <w:sz w:val="24"/>
          <w:szCs w:val="24"/>
        </w:rPr>
        <w:t>=3.6</w:t>
      </w:r>
      <w:del w:id="61" w:author="Dave Bridges" w:date="2019-04-03T14:27:00Z">
        <w:r w:rsidDel="00E106D6">
          <w:rPr>
            <w:sz w:val="24"/>
            <w:szCs w:val="24"/>
          </w:rPr>
          <w:delText>2e</w:delText>
        </w:r>
        <w:r w:rsidDel="0098062C">
          <w:rPr>
            <w:sz w:val="24"/>
            <w:szCs w:val="24"/>
          </w:rPr>
          <w:delText>-</w:delText>
        </w:r>
      </w:del>
      <w:ins w:id="62" w:author="Dave Bridges" w:date="2019-04-03T14:27:00Z">
        <w:r w:rsidR="00E106D6">
          <w:rPr>
            <w:sz w:val="24"/>
            <w:szCs w:val="24"/>
          </w:rPr>
          <w:t>x10</w:t>
        </w:r>
        <w:r w:rsidR="0098062C" w:rsidRPr="0098062C">
          <w:rPr>
            <w:sz w:val="24"/>
            <w:szCs w:val="24"/>
            <w:vertAlign w:val="superscript"/>
            <w:rPrChange w:id="63" w:author="Dave Bridges" w:date="2019-04-03T14:27:00Z">
              <w:rPr>
                <w:sz w:val="24"/>
                <w:szCs w:val="24"/>
              </w:rPr>
            </w:rPrChange>
          </w:rPr>
          <w:t>-</w:t>
        </w:r>
      </w:ins>
      <w:del w:id="64" w:author="Dave Bridges" w:date="2019-04-03T14:27:00Z">
        <w:r w:rsidRPr="0098062C" w:rsidDel="0098062C">
          <w:rPr>
            <w:sz w:val="24"/>
            <w:szCs w:val="24"/>
            <w:vertAlign w:val="superscript"/>
            <w:rPrChange w:id="65" w:author="Dave Bridges" w:date="2019-04-03T14:27:00Z">
              <w:rPr>
                <w:sz w:val="24"/>
                <w:szCs w:val="24"/>
              </w:rPr>
            </w:rPrChange>
          </w:rPr>
          <w:delText>0</w:delText>
        </w:r>
      </w:del>
      <w:r w:rsidRPr="0098062C">
        <w:rPr>
          <w:sz w:val="24"/>
          <w:szCs w:val="24"/>
          <w:vertAlign w:val="superscript"/>
          <w:rPrChange w:id="66" w:author="Dave Bridges" w:date="2019-04-03T14:27:00Z">
            <w:rPr>
              <w:sz w:val="24"/>
              <w:szCs w:val="24"/>
            </w:rPr>
          </w:rPrChange>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2C2F113" w:rsidR="00BF40A8" w:rsidRDefault="00E161E7">
      <w:pPr>
        <w:spacing w:line="480" w:lineRule="auto"/>
        <w:ind w:firstLine="720"/>
        <w:rPr>
          <w:sz w:val="24"/>
          <w:szCs w:val="24"/>
        </w:rPr>
      </w:pPr>
      <w:r>
        <w:rPr>
          <w:sz w:val="24"/>
          <w:szCs w:val="24"/>
        </w:rPr>
        <w:t xml:space="preserve">In order to expand upon these results, we measured the force generated by </w:t>
      </w:r>
      <w:del w:id="67" w:author="Dave Bridges" w:date="2019-04-03T14:28:00Z">
        <w:r w:rsidDel="00F41436">
          <w:rPr>
            <w:sz w:val="24"/>
            <w:szCs w:val="24"/>
          </w:rPr>
          <w:delText xml:space="preserve">stimulation  nerve and </w:delText>
        </w:r>
      </w:del>
      <w:r>
        <w:rPr>
          <w:sz w:val="24"/>
          <w:szCs w:val="24"/>
        </w:rPr>
        <w:t>gastrocnemius muscle</w:t>
      </w:r>
      <w:ins w:id="68" w:author="Dave Bridges" w:date="2019-04-03T14:28:00Z">
        <w:r w:rsidR="00F41436">
          <w:rPr>
            <w:sz w:val="24"/>
            <w:szCs w:val="24"/>
          </w:rPr>
          <w:t xml:space="preserve"> </w:t>
        </w:r>
        <w:r w:rsidR="00F41436">
          <w:rPr>
            <w:i/>
            <w:sz w:val="24"/>
            <w:szCs w:val="24"/>
          </w:rPr>
          <w:t>in situ</w:t>
        </w:r>
      </w:ins>
      <w:ins w:id="69" w:author="Dave Bridges" w:date="2019-04-03T14:29:00Z">
        <w:r w:rsidR="00F41436">
          <w:rPr>
            <w:sz w:val="24"/>
            <w:szCs w:val="24"/>
          </w:rPr>
          <w:t xml:space="preserve"> both by stimulation of the</w:t>
        </w:r>
      </w:ins>
      <w:del w:id="70" w:author="Dave Bridges" w:date="2019-04-03T14:29:00Z">
        <w:r w:rsidDel="00F41436">
          <w:rPr>
            <w:sz w:val="24"/>
            <w:szCs w:val="24"/>
          </w:rPr>
          <w:delText>. Though we are specifically interested in muscle strength, stimulating</w:delText>
        </w:r>
      </w:del>
      <w:r>
        <w:rPr>
          <w:sz w:val="24"/>
          <w:szCs w:val="24"/>
        </w:rPr>
        <w:t xml:space="preserve"> </w:t>
      </w:r>
      <w:proofErr w:type="spellStart"/>
      <w:r>
        <w:rPr>
          <w:sz w:val="24"/>
          <w:szCs w:val="24"/>
        </w:rPr>
        <w:t>the</w:t>
      </w:r>
      <w:proofErr w:type="spellEnd"/>
      <w:r>
        <w:rPr>
          <w:sz w:val="24"/>
          <w:szCs w:val="24"/>
        </w:rPr>
        <w:t xml:space="preserve"> </w:t>
      </w:r>
      <w:commentRangeStart w:id="71"/>
      <w:r>
        <w:rPr>
          <w:sz w:val="24"/>
          <w:szCs w:val="24"/>
        </w:rPr>
        <w:t xml:space="preserve">XX </w:t>
      </w:r>
      <w:commentRangeEnd w:id="71"/>
      <w:r w:rsidR="0098062C">
        <w:rPr>
          <w:rStyle w:val="CommentReference"/>
        </w:rPr>
        <w:commentReference w:id="71"/>
      </w:r>
      <w:r>
        <w:rPr>
          <w:sz w:val="24"/>
          <w:szCs w:val="24"/>
        </w:rPr>
        <w:t xml:space="preserve">nerve </w:t>
      </w:r>
      <w:ins w:id="72" w:author="Dave Bridges" w:date="2019-04-03T14:29:00Z">
        <w:r w:rsidR="00F41436">
          <w:rPr>
            <w:sz w:val="24"/>
            <w:szCs w:val="24"/>
          </w:rPr>
          <w:t xml:space="preserve">and by direct electrical stimulation of the muscle.  </w:t>
        </w:r>
      </w:ins>
      <w:del w:id="73" w:author="Dave Bridges" w:date="2019-04-03T14:29:00Z">
        <w:r w:rsidDel="00F41436">
          <w:rPr>
            <w:sz w:val="24"/>
            <w:szCs w:val="24"/>
          </w:rPr>
          <w:delText xml:space="preserve">and assessing the resulting muscle force allows us to evaluate the potential effect of neuropathy. </w:delText>
        </w:r>
      </w:del>
      <w:r>
        <w:rPr>
          <w:sz w:val="24"/>
          <w:szCs w:val="24"/>
        </w:rPr>
        <w:t xml:space="preserve">In NCD animals, </w:t>
      </w:r>
      <w:ins w:id="74" w:author="Dave Bridges" w:date="2019-04-03T14:29:00Z">
        <w:r w:rsidR="00F41436">
          <w:rPr>
            <w:sz w:val="24"/>
            <w:szCs w:val="24"/>
          </w:rPr>
          <w:t xml:space="preserve">the </w:t>
        </w:r>
      </w:ins>
      <w:r>
        <w:rPr>
          <w:sz w:val="24"/>
          <w:szCs w:val="24"/>
        </w:rPr>
        <w:t xml:space="preserve">force generated by nerve stimulation was reduced </w:t>
      </w:r>
      <w:commentRangeStart w:id="75"/>
      <w:r>
        <w:rPr>
          <w:sz w:val="24"/>
          <w:szCs w:val="24"/>
        </w:rPr>
        <w:t xml:space="preserve">X% </w:t>
      </w:r>
      <w:commentRangeEnd w:id="75"/>
      <w:r w:rsidR="00F41436">
        <w:rPr>
          <w:rStyle w:val="CommentReference"/>
        </w:rPr>
        <w:commentReference w:id="75"/>
      </w:r>
      <w:r>
        <w:rPr>
          <w:sz w:val="24"/>
          <w:szCs w:val="24"/>
        </w:rPr>
        <w:t xml:space="preserve">when treated with dexamethasone. </w:t>
      </w:r>
      <w:proofErr w:type="gramStart"/>
      <w:r>
        <w:rPr>
          <w:sz w:val="24"/>
          <w:szCs w:val="24"/>
        </w:rPr>
        <w:t>However</w:t>
      </w:r>
      <w:proofErr w:type="gramEnd"/>
      <w:r>
        <w:rPr>
          <w:sz w:val="24"/>
          <w:szCs w:val="24"/>
        </w:rPr>
        <w:t xml:space="preserve"> in HFD </w:t>
      </w:r>
      <w:r>
        <w:rPr>
          <w:sz w:val="24"/>
          <w:szCs w:val="24"/>
        </w:rPr>
        <w:lastRenderedPageBreak/>
        <w:t>animals, force generated by nerve stimulation was reduced X% when treated with dexamethasone</w:t>
      </w:r>
      <w:ins w:id="76" w:author="Dave Bridges" w:date="2019-04-03T14:29:00Z">
        <w:r w:rsidR="00F41436">
          <w:rPr>
            <w:sz w:val="24"/>
            <w:szCs w:val="24"/>
          </w:rPr>
          <w:t xml:space="preserve">, with </w:t>
        </w:r>
      </w:ins>
      <w:del w:id="77" w:author="Dave Bridges" w:date="2019-04-03T14:29:00Z">
        <w:r w:rsidDel="00F41436">
          <w:rPr>
            <w:sz w:val="24"/>
            <w:szCs w:val="24"/>
          </w:rPr>
          <w:delText xml:space="preserve">. There was </w:delText>
        </w:r>
      </w:del>
      <w:r>
        <w:rPr>
          <w:sz w:val="24"/>
          <w:szCs w:val="24"/>
        </w:rPr>
        <w:t xml:space="preserve">a significant interaction between </w:t>
      </w:r>
      <w:del w:id="78" w:author="Dave Bridges" w:date="2019-04-03T14:29:00Z">
        <w:r w:rsidDel="00F41436">
          <w:rPr>
            <w:sz w:val="24"/>
            <w:szCs w:val="24"/>
          </w:rPr>
          <w:delText xml:space="preserve">diet </w:delText>
        </w:r>
      </w:del>
      <w:ins w:id="79" w:author="Dave Bridges" w:date="2019-04-03T14:29:00Z">
        <w:r w:rsidR="00F41436">
          <w:rPr>
            <w:sz w:val="24"/>
            <w:szCs w:val="24"/>
          </w:rPr>
          <w:t xml:space="preserve">pre-existing obesity </w:t>
        </w:r>
      </w:ins>
      <w:r>
        <w:rPr>
          <w:sz w:val="24"/>
          <w:szCs w:val="24"/>
        </w:rPr>
        <w:t xml:space="preserve">and </w:t>
      </w:r>
      <w:ins w:id="80" w:author="Dave Bridges" w:date="2019-04-03T14:29:00Z">
        <w:r w:rsidR="00F41436">
          <w:rPr>
            <w:sz w:val="24"/>
            <w:szCs w:val="24"/>
          </w:rPr>
          <w:t>de</w:t>
        </w:r>
      </w:ins>
      <w:ins w:id="81" w:author="Dave Bridges" w:date="2019-04-03T14:30:00Z">
        <w:r w:rsidR="00F41436">
          <w:rPr>
            <w:sz w:val="24"/>
            <w:szCs w:val="24"/>
          </w:rPr>
          <w:t xml:space="preserve">xamethasone treatment </w:t>
        </w:r>
      </w:ins>
      <w:proofErr w:type="spellStart"/>
      <w:r>
        <w:rPr>
          <w:sz w:val="24"/>
          <w:szCs w:val="24"/>
        </w:rPr>
        <w:t>treatment</w:t>
      </w:r>
      <w:proofErr w:type="spellEnd"/>
      <w:ins w:id="82" w:author="Dave Bridges" w:date="2019-04-03T14:30:00Z">
        <w:r w:rsidR="00F41436">
          <w:rPr>
            <w:sz w:val="24"/>
            <w:szCs w:val="24"/>
          </w:rPr>
          <w:t xml:space="preserve"> </w:t>
        </w:r>
      </w:ins>
      <w:del w:id="83" w:author="Dave Bridges" w:date="2019-04-03T14:30:00Z">
        <w:r w:rsidDel="00F41436">
          <w:rPr>
            <w:sz w:val="24"/>
            <w:szCs w:val="24"/>
          </w:rPr>
          <w:delText>,</w:delText>
        </w:r>
      </w:del>
      <w:ins w:id="84" w:author="Dave Bridges" w:date="2019-04-03T14:30:00Z">
        <w:r w:rsidR="00F41436">
          <w:rPr>
            <w:sz w:val="24"/>
            <w:szCs w:val="24"/>
          </w:rPr>
          <w:t>(</w:t>
        </w:r>
      </w:ins>
      <w:del w:id="85" w:author="Dave Bridges" w:date="2019-04-03T14:30:00Z">
        <w:r w:rsidDel="00F41436">
          <w:rPr>
            <w:sz w:val="24"/>
            <w:szCs w:val="24"/>
          </w:rPr>
          <w:delText xml:space="preserve"> </w:delText>
        </w:r>
      </w:del>
      <w:ins w:id="86" w:author="Dave Bridges" w:date="2019-04-03T14:29:00Z">
        <w:r w:rsidR="00F41436">
          <w:rPr>
            <w:sz w:val="24"/>
            <w:szCs w:val="24"/>
          </w:rPr>
          <w:t>p</w:t>
        </w:r>
      </w:ins>
      <w:del w:id="87" w:author="Dave Bridges" w:date="2019-04-03T14:29:00Z">
        <w:r w:rsidDel="00F41436">
          <w:rPr>
            <w:sz w:val="24"/>
            <w:szCs w:val="24"/>
          </w:rPr>
          <w:delText>P</w:delText>
        </w:r>
      </w:del>
      <w:r>
        <w:rPr>
          <w:sz w:val="24"/>
          <w:szCs w:val="24"/>
        </w:rPr>
        <w:t xml:space="preserve">=.009 </w:t>
      </w:r>
      <w:del w:id="88" w:author="Dave Bridges" w:date="2019-04-03T14:30:00Z">
        <w:r w:rsidDel="00F41436">
          <w:rPr>
            <w:sz w:val="24"/>
            <w:szCs w:val="24"/>
          </w:rPr>
          <w:delText>(</w:delText>
        </w:r>
      </w:del>
      <w:r>
        <w:rPr>
          <w:sz w:val="24"/>
          <w:szCs w:val="24"/>
        </w:rPr>
        <w:t>Figure 1</w:t>
      </w:r>
      <w:ins w:id="89" w:author="Dave Bridges" w:date="2019-04-03T14:30:00Z">
        <w:r w:rsidR="00F41436">
          <w:rPr>
            <w:sz w:val="24"/>
            <w:szCs w:val="24"/>
          </w:rPr>
          <w:t>C</w:t>
        </w:r>
      </w:ins>
      <w:del w:id="90" w:author="Dave Bridges" w:date="2019-04-03T14:30:00Z">
        <w:r w:rsidDel="00F41436">
          <w:rPr>
            <w:sz w:val="24"/>
            <w:szCs w:val="24"/>
          </w:rPr>
          <w:delText>c</w:delText>
        </w:r>
      </w:del>
      <w:r>
        <w:rPr>
          <w:sz w:val="24"/>
          <w:szCs w:val="24"/>
        </w:rPr>
        <w:t xml:space="preserve">). These results are </w:t>
      </w:r>
      <w:del w:id="91" w:author="Dave Bridges" w:date="2019-04-03T14:30:00Z">
        <w:r w:rsidDel="00F41436">
          <w:rPr>
            <w:sz w:val="24"/>
            <w:szCs w:val="24"/>
          </w:rPr>
          <w:delText xml:space="preserve">consistent </w:delText>
        </w:r>
      </w:del>
      <w:ins w:id="92" w:author="Dave Bridges" w:date="2019-04-03T14:30:00Z">
        <w:r w:rsidR="00F41436">
          <w:rPr>
            <w:sz w:val="24"/>
            <w:szCs w:val="24"/>
          </w:rPr>
          <w:t xml:space="preserve">concordant </w:t>
        </w:r>
      </w:ins>
      <w:r>
        <w:rPr>
          <w:sz w:val="24"/>
          <w:szCs w:val="24"/>
        </w:rPr>
        <w:t>with direct muscle stimulation</w:t>
      </w:r>
      <w:del w:id="93" w:author="Dave Bridges" w:date="2019-04-03T14:30:00Z">
        <w:r w:rsidDel="00F41436">
          <w:rPr>
            <w:sz w:val="24"/>
            <w:szCs w:val="24"/>
          </w:rPr>
          <w:delText xml:space="preserve"> where a electrode cuff is placed around the mid-belly of the gastrocnemius muscle in order to stimulate the whole muscle</w:delText>
        </w:r>
      </w:del>
      <w:r>
        <w:rPr>
          <w:sz w:val="24"/>
          <w:szCs w:val="24"/>
        </w:rPr>
        <w:t xml:space="preserv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stimulation was reduced X% when treated with dexamethasone</w:t>
      </w:r>
      <w:ins w:id="94" w:author="Dave Bridges" w:date="2019-04-03T14:30:00Z">
        <w:r w:rsidR="00F41436">
          <w:rPr>
            <w:sz w:val="24"/>
            <w:szCs w:val="24"/>
          </w:rPr>
          <w:t xml:space="preserve"> (</w:t>
        </w:r>
        <w:proofErr w:type="spellStart"/>
        <w:r w:rsidR="00F41436">
          <w:rPr>
            <w:sz w:val="24"/>
            <w:szCs w:val="24"/>
          </w:rPr>
          <w:t>p</w:t>
        </w:r>
      </w:ins>
      <w:ins w:id="95" w:author="Dave Bridges" w:date="2019-04-03T14:31:00Z">
        <w:r w:rsidR="00F41436" w:rsidRPr="00F41436">
          <w:rPr>
            <w:szCs w:val="24"/>
            <w:vertAlign w:val="subscript"/>
            <w:rPrChange w:id="96" w:author="Dave Bridges" w:date="2019-04-03T14:31:00Z">
              <w:rPr>
                <w:szCs w:val="24"/>
              </w:rPr>
            </w:rPrChange>
          </w:rPr>
          <w:t>interaction</w:t>
        </w:r>
        <w:proofErr w:type="spellEnd"/>
        <w:r w:rsidR="00F41436">
          <w:rPr>
            <w:szCs w:val="24"/>
          </w:rPr>
          <w:t>=</w:t>
        </w:r>
      </w:ins>
      <w:del w:id="97" w:author="Dave Bridges" w:date="2019-04-03T14:30:00Z">
        <w:r w:rsidDel="00F41436">
          <w:rPr>
            <w:sz w:val="24"/>
            <w:szCs w:val="24"/>
          </w:rPr>
          <w:delText>. There was a significant interaction between diet and treatment P=.</w:delText>
        </w:r>
      </w:del>
      <w:r>
        <w:rPr>
          <w:sz w:val="24"/>
          <w:szCs w:val="24"/>
        </w:rPr>
        <w:t>024</w:t>
      </w:r>
      <w:ins w:id="98" w:author="Dave Bridges" w:date="2019-04-03T14:30:00Z">
        <w:r w:rsidR="00F41436">
          <w:rPr>
            <w:sz w:val="24"/>
            <w:szCs w:val="24"/>
          </w:rPr>
          <w:t xml:space="preserve">, </w:t>
        </w:r>
      </w:ins>
      <w:del w:id="99" w:author="Dave Bridges" w:date="2019-04-03T14:30:00Z">
        <w:r w:rsidDel="00F41436">
          <w:rPr>
            <w:sz w:val="24"/>
            <w:szCs w:val="24"/>
          </w:rPr>
          <w:delText>(</w:delText>
        </w:r>
      </w:del>
      <w:r>
        <w:rPr>
          <w:sz w:val="24"/>
          <w:szCs w:val="24"/>
        </w:rPr>
        <w:t>Figure 1</w:t>
      </w:r>
      <w:ins w:id="100" w:author="Dave Bridges" w:date="2019-04-03T14:31:00Z">
        <w:r w:rsidR="00F41436">
          <w:rPr>
            <w:sz w:val="24"/>
            <w:szCs w:val="24"/>
          </w:rPr>
          <w:t>D</w:t>
        </w:r>
      </w:ins>
      <w:del w:id="101" w:author="Dave Bridges" w:date="2019-04-03T14:31:00Z">
        <w:r w:rsidDel="00F41436">
          <w:rPr>
            <w:sz w:val="24"/>
            <w:szCs w:val="24"/>
          </w:rPr>
          <w:delText>d</w:delText>
        </w:r>
      </w:del>
      <w:r>
        <w:rPr>
          <w:sz w:val="24"/>
          <w:szCs w:val="24"/>
        </w:rPr>
        <w:t>).</w:t>
      </w:r>
    </w:p>
    <w:p w14:paraId="5CBF98AA" w14:textId="63E68CB3" w:rsidR="00BF40A8" w:rsidDel="00F41436" w:rsidRDefault="00E161E7" w:rsidP="00F41436">
      <w:pPr>
        <w:spacing w:line="480" w:lineRule="auto"/>
        <w:ind w:firstLine="720"/>
        <w:rPr>
          <w:del w:id="102" w:author="Dave Bridges" w:date="2019-04-03T14:35:00Z"/>
          <w:sz w:val="24"/>
          <w:szCs w:val="24"/>
        </w:rPr>
        <w:pPrChange w:id="103" w:author="Dave Bridges" w:date="2019-04-03T14:35:00Z">
          <w:pPr>
            <w:spacing w:line="480" w:lineRule="auto"/>
            <w:ind w:firstLine="720"/>
          </w:pPr>
        </w:pPrChange>
      </w:pPr>
      <w:r>
        <w:rPr>
          <w:sz w:val="24"/>
          <w:szCs w:val="24"/>
        </w:rPr>
        <w:t xml:space="preserve">In order to examine whether changes in muscle strength were </w:t>
      </w:r>
      <w:del w:id="104" w:author="Dave Bridges" w:date="2019-04-03T14:31:00Z">
        <w:r w:rsidDel="00F41436">
          <w:rPr>
            <w:sz w:val="24"/>
            <w:szCs w:val="24"/>
          </w:rPr>
          <w:delText xml:space="preserve">correlated to changes in or </w:delText>
        </w:r>
      </w:del>
      <w:ins w:id="105" w:author="Dave Bridges" w:date="2019-04-03T14:31:00Z">
        <w:r w:rsidR="00F41436">
          <w:rPr>
            <w:sz w:val="24"/>
            <w:szCs w:val="24"/>
          </w:rPr>
          <w:t xml:space="preserve">proportional to </w:t>
        </w:r>
      </w:ins>
      <w:r>
        <w:rPr>
          <w:sz w:val="24"/>
          <w:szCs w:val="24"/>
        </w:rPr>
        <w:t>decline</w:t>
      </w:r>
      <w:ins w:id="106" w:author="Dave Bridges" w:date="2019-04-03T14:31:00Z">
        <w:r w:rsidR="00F41436">
          <w:rPr>
            <w:sz w:val="24"/>
            <w:szCs w:val="24"/>
          </w:rPr>
          <w:t>s</w:t>
        </w:r>
      </w:ins>
      <w:del w:id="107" w:author="Dave Bridges" w:date="2019-04-03T14:31:00Z">
        <w:r w:rsidDel="00F41436">
          <w:rPr>
            <w:sz w:val="24"/>
            <w:szCs w:val="24"/>
          </w:rPr>
          <w:delText>d</w:delText>
        </w:r>
      </w:del>
      <w:r>
        <w:rPr>
          <w:sz w:val="24"/>
          <w:szCs w:val="24"/>
        </w:rPr>
        <w:t xml:space="preserve"> in </w:t>
      </w:r>
      <w:del w:id="108" w:author="Dave Bridges" w:date="2019-04-03T14:31:00Z">
        <w:r w:rsidDel="00F41436">
          <w:rPr>
            <w:sz w:val="24"/>
            <w:szCs w:val="24"/>
          </w:rPr>
          <w:delText xml:space="preserve">proportion to </w:delText>
        </w:r>
      </w:del>
      <w:r>
        <w:rPr>
          <w:sz w:val="24"/>
          <w:szCs w:val="24"/>
        </w:rPr>
        <w:t>muscle size, we plotted a regression of force (</w:t>
      </w:r>
      <w:proofErr w:type="spellStart"/>
      <w:r>
        <w:rPr>
          <w:sz w:val="24"/>
          <w:szCs w:val="24"/>
        </w:rPr>
        <w:t>mN</w:t>
      </w:r>
      <w:proofErr w:type="spellEnd"/>
      <w:r>
        <w:rPr>
          <w:sz w:val="24"/>
          <w:szCs w:val="24"/>
        </w:rPr>
        <w:t xml:space="preserve">) versus whole-muscle cross-sectional area (CSA). </w:t>
      </w:r>
      <w:ins w:id="109" w:author="Dave Bridges" w:date="2019-04-03T14:33:00Z">
        <w:r w:rsidR="00F41436">
          <w:rPr>
            <w:sz w:val="24"/>
            <w:szCs w:val="24"/>
          </w:rPr>
          <w:t xml:space="preserve">The </w:t>
        </w:r>
        <w:proofErr w:type="gramStart"/>
        <w:r w:rsidR="00F41436">
          <w:rPr>
            <w:sz w:val="24"/>
            <w:szCs w:val="24"/>
          </w:rPr>
          <w:t>cross sectional</w:t>
        </w:r>
        <w:proofErr w:type="gramEnd"/>
        <w:r w:rsidR="00F41436">
          <w:rPr>
            <w:sz w:val="24"/>
            <w:szCs w:val="24"/>
          </w:rPr>
          <w:t xml:space="preserve"> area explained </w:t>
        </w:r>
        <w:commentRangeStart w:id="110"/>
        <w:r w:rsidR="00F41436">
          <w:rPr>
            <w:sz w:val="24"/>
            <w:szCs w:val="24"/>
          </w:rPr>
          <w:t xml:space="preserve">XXX </w:t>
        </w:r>
      </w:ins>
      <w:commentRangeEnd w:id="110"/>
      <w:ins w:id="111" w:author="Dave Bridges" w:date="2019-04-03T14:34:00Z">
        <w:r w:rsidR="00F41436">
          <w:rPr>
            <w:rStyle w:val="CommentReference"/>
          </w:rPr>
          <w:commentReference w:id="110"/>
        </w:r>
      </w:ins>
      <w:ins w:id="112" w:author="Dave Bridges" w:date="2019-04-03T14:33:00Z">
        <w:r w:rsidR="00F41436">
          <w:rPr>
            <w:sz w:val="24"/>
            <w:szCs w:val="24"/>
          </w:rPr>
          <w:t xml:space="preserve">and YYY percent of </w:t>
        </w:r>
      </w:ins>
      <w:ins w:id="113" w:author="Dave Bridges" w:date="2019-04-03T14:34:00Z">
        <w:r w:rsidR="00F41436">
          <w:rPr>
            <w:sz w:val="24"/>
            <w:szCs w:val="24"/>
          </w:rPr>
          <w:t xml:space="preserve">the variance in force.  </w:t>
        </w:r>
      </w:ins>
      <w:del w:id="114" w:author="Dave Bridges" w:date="2019-04-03T14:32:00Z">
        <w:r w:rsidDel="00F41436">
          <w:rPr>
            <w:sz w:val="24"/>
            <w:szCs w:val="24"/>
          </w:rPr>
          <w:delText>Mice appeared to follow a linear pattern in which animals with a larger CSA generated proportionally larger force for both nerve and direct muscle stimulation (Figure 1e-f)</w:delText>
        </w:r>
      </w:del>
      <w:ins w:id="115" w:author="Dave Bridges" w:date="2019-04-03T14:32:00Z">
        <w:r w:rsidR="00F41436">
          <w:rPr>
            <w:sz w:val="24"/>
            <w:szCs w:val="24"/>
          </w:rPr>
          <w:t xml:space="preserve">As cross-sectional area declined </w:t>
        </w:r>
      </w:ins>
      <w:ins w:id="116" w:author="Dave Bridges" w:date="2019-04-03T14:33:00Z">
        <w:r w:rsidR="00F41436">
          <w:rPr>
            <w:sz w:val="24"/>
            <w:szCs w:val="24"/>
          </w:rPr>
          <w:t>muscle force by both stimulations decreased in proportion</w:t>
        </w:r>
      </w:ins>
      <w:r>
        <w:rPr>
          <w:sz w:val="24"/>
          <w:szCs w:val="24"/>
        </w:rPr>
        <w:t xml:space="preserve">. </w:t>
      </w:r>
      <w:ins w:id="117" w:author="Dave Bridges" w:date="2019-04-03T14:34:00Z">
        <w:r w:rsidR="00F41436">
          <w:rPr>
            <w:sz w:val="24"/>
            <w:szCs w:val="24"/>
          </w:rPr>
          <w:t>Pre-existing obesity did not modify this force-area relationship (</w:t>
        </w:r>
        <w:commentRangeStart w:id="118"/>
        <w:r w:rsidR="00F41436">
          <w:rPr>
            <w:sz w:val="24"/>
            <w:szCs w:val="24"/>
          </w:rPr>
          <w:t>p</w:t>
        </w:r>
        <w:commentRangeEnd w:id="118"/>
        <w:r w:rsidR="00F41436">
          <w:rPr>
            <w:rStyle w:val="CommentReference"/>
          </w:rPr>
          <w:commentReference w:id="118"/>
        </w:r>
        <w:r w:rsidR="00F41436">
          <w:rPr>
            <w:sz w:val="24"/>
            <w:szCs w:val="24"/>
          </w:rPr>
          <w:t>=)</w:t>
        </w:r>
      </w:ins>
      <w:ins w:id="119" w:author="Dave Bridges" w:date="2019-04-03T14:35:00Z">
        <w:r w:rsidR="00F41436">
          <w:rPr>
            <w:sz w:val="24"/>
            <w:szCs w:val="24"/>
          </w:rPr>
          <w:t>.  These data indicate that pre-existing obesity causes more dramatic dexamethasone-induced muscle weakness, but this is largely explained by reductions in muscle si</w:t>
        </w:r>
      </w:ins>
      <w:ins w:id="120" w:author="Dave Bridges" w:date="2019-04-03T14:36:00Z">
        <w:r w:rsidR="00F41436">
          <w:rPr>
            <w:sz w:val="24"/>
            <w:szCs w:val="24"/>
          </w:rPr>
          <w:t>ze.</w:t>
        </w:r>
      </w:ins>
      <w:del w:id="121" w:author="Dave Bridges" w:date="2019-04-03T14:35:00Z">
        <w:r w:rsidDel="00F41436">
          <w:rPr>
            <w:sz w:val="24"/>
            <w:szCs w:val="24"/>
          </w:rPr>
          <w:delText>Equation of the line idk idk idk</w:delText>
        </w:r>
        <w:r w:rsidDel="00F41436">
          <w:rPr>
            <w:noProof/>
            <w:sz w:val="24"/>
            <w:szCs w:val="24"/>
            <w:lang w:val="en-US"/>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del>
    </w:p>
    <w:p w14:paraId="3D508E12" w14:textId="1828F96E" w:rsidR="00BF40A8" w:rsidDel="00F41436" w:rsidRDefault="00E161E7" w:rsidP="00F41436">
      <w:pPr>
        <w:spacing w:line="480" w:lineRule="auto"/>
        <w:ind w:firstLine="720"/>
        <w:rPr>
          <w:del w:id="122" w:author="Dave Bridges" w:date="2019-04-03T14:35:00Z"/>
          <w:sz w:val="24"/>
          <w:szCs w:val="24"/>
        </w:rPr>
        <w:pPrChange w:id="123" w:author="Dave Bridges" w:date="2019-04-03T14:35:00Z">
          <w:pPr>
            <w:spacing w:line="480" w:lineRule="auto"/>
          </w:pPr>
        </w:pPrChange>
      </w:pPr>
      <w:del w:id="124" w:author="Dave Bridges" w:date="2019-04-03T14:35:00Z">
        <w:r w:rsidDel="00F41436">
          <w:rPr>
            <w:sz w:val="24"/>
            <w:szCs w:val="24"/>
          </w:rPr>
          <w:delText xml:space="preserve"> Reduction is strength are significantly correlated to smaller whole-muscle CSA, P=.003. Report the adjusted R^2 for the model</w:delText>
        </w:r>
      </w:del>
    </w:p>
    <w:p w14:paraId="566719FC" w14:textId="6EADD786" w:rsidR="00BF40A8" w:rsidDel="00F41436" w:rsidRDefault="00E161E7" w:rsidP="00F41436">
      <w:pPr>
        <w:spacing w:line="480" w:lineRule="auto"/>
        <w:ind w:firstLine="720"/>
        <w:rPr>
          <w:del w:id="125" w:author="Dave Bridges" w:date="2019-04-03T14:36:00Z"/>
          <w:sz w:val="24"/>
          <w:szCs w:val="24"/>
        </w:rPr>
        <w:pPrChange w:id="126" w:author="Dave Bridges" w:date="2019-04-03T14:35:00Z">
          <w:pPr>
            <w:spacing w:line="480" w:lineRule="auto"/>
          </w:pPr>
        </w:pPrChange>
      </w:pPr>
      <w:del w:id="127" w:author="Dave Bridges" w:date="2019-04-03T14:35:00Z">
        <w:r w:rsidDel="00F41436">
          <w:rPr>
            <w:sz w:val="24"/>
            <w:szCs w:val="24"/>
          </w:rPr>
          <w:delText xml:space="preserve">Can explain percent of variance- of strength by knowing CSA </w:delText>
        </w:r>
        <w:r w:rsidDel="00F41436">
          <w:rPr>
            <w:sz w:val="24"/>
            <w:szCs w:val="24"/>
          </w:rPr>
          <w:tab/>
        </w:r>
      </w:del>
      <w:r>
        <w:rPr>
          <w:sz w:val="24"/>
          <w:szCs w:val="24"/>
        </w:rPr>
        <w:t xml:space="preserve"> </w:t>
      </w:r>
      <w:r>
        <w:rPr>
          <w:sz w:val="24"/>
          <w:szCs w:val="24"/>
        </w:rPr>
        <w:tab/>
        <w:t xml:space="preserve"> </w:t>
      </w:r>
      <w:r>
        <w:rPr>
          <w:sz w:val="24"/>
          <w:szCs w:val="24"/>
        </w:rPr>
        <w:tab/>
      </w:r>
      <w:r>
        <w:rPr>
          <w:sz w:val="24"/>
          <w:szCs w:val="24"/>
        </w:rPr>
        <w:tab/>
      </w:r>
    </w:p>
    <w:p w14:paraId="4C5CC365" w14:textId="77777777" w:rsidR="00BF40A8" w:rsidRDefault="00E161E7" w:rsidP="00F41436">
      <w:pPr>
        <w:spacing w:line="480" w:lineRule="auto"/>
        <w:ind w:firstLine="720"/>
        <w:rPr>
          <w:sz w:val="24"/>
          <w:szCs w:val="24"/>
        </w:rPr>
        <w:pPrChange w:id="128" w:author="Dave Bridges" w:date="2019-04-03T14:36:00Z">
          <w:pPr>
            <w:spacing w:line="480" w:lineRule="auto"/>
          </w:pPr>
        </w:pPrChange>
      </w:pPr>
      <w:del w:id="129" w:author="Dave Bridges" w:date="2019-04-03T14:36:00Z">
        <w:r w:rsidDel="00F41436">
          <w:rPr>
            <w:sz w:val="24"/>
            <w:szCs w:val="24"/>
          </w:rPr>
          <w:tab/>
        </w:r>
      </w:del>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53BAB3D7" w:rsidR="00BF40A8" w:rsidRDefault="00E161E7">
      <w:pPr>
        <w:spacing w:line="480" w:lineRule="auto"/>
        <w:ind w:firstLine="720"/>
        <w:rPr>
          <w:sz w:val="24"/>
          <w:szCs w:val="24"/>
        </w:rPr>
      </w:pPr>
      <w:r>
        <w:rPr>
          <w:sz w:val="24"/>
          <w:szCs w:val="24"/>
        </w:rPr>
        <w:t xml:space="preserve">To determine whether obesity </w:t>
      </w:r>
      <w:del w:id="130" w:author="Dave Bridges" w:date="2019-04-03T14:40:00Z">
        <w:r w:rsidDel="00446511">
          <w:rPr>
            <w:sz w:val="24"/>
            <w:szCs w:val="24"/>
          </w:rPr>
          <w:delText>interacts with long-term</w:delText>
        </w:r>
      </w:del>
      <w:ins w:id="131" w:author="Dave Bridges" w:date="2019-04-03T14:40:00Z">
        <w:r w:rsidR="00446511">
          <w:rPr>
            <w:sz w:val="24"/>
            <w:szCs w:val="24"/>
          </w:rPr>
          <w:t>and</w:t>
        </w:r>
      </w:ins>
      <w:r>
        <w:rPr>
          <w:sz w:val="24"/>
          <w:szCs w:val="24"/>
        </w:rPr>
        <w:t xml:space="preserve"> glucocorticoid treatment </w:t>
      </w:r>
      <w:del w:id="132" w:author="Dave Bridges" w:date="2019-04-03T14:40:00Z">
        <w:r w:rsidDel="00446511">
          <w:rPr>
            <w:sz w:val="24"/>
            <w:szCs w:val="24"/>
          </w:rPr>
          <w:delText xml:space="preserve">to </w:delText>
        </w:r>
      </w:del>
      <w:r>
        <w:rPr>
          <w:sz w:val="24"/>
          <w:szCs w:val="24"/>
        </w:rPr>
        <w:t xml:space="preserve">induce </w:t>
      </w:r>
      <w:ins w:id="133" w:author="Dave Bridges" w:date="2019-04-03T14:40:00Z">
        <w:r w:rsidR="00446511">
          <w:rPr>
            <w:sz w:val="24"/>
            <w:szCs w:val="24"/>
          </w:rPr>
          <w:t xml:space="preserve">increased </w:t>
        </w:r>
      </w:ins>
      <w:r>
        <w:rPr>
          <w:sz w:val="24"/>
          <w:szCs w:val="24"/>
        </w:rPr>
        <w:t xml:space="preserve">losses in muscle mass, we treated lean and obese male mice with dexamethasone for five weeks. Dexamethasone caused a reduction in </w:t>
      </w:r>
      <w:del w:id="134" w:author="Dave Bridges" w:date="2019-04-03T14:41:00Z">
        <w:r w:rsidDel="00446511">
          <w:rPr>
            <w:sz w:val="24"/>
            <w:szCs w:val="24"/>
          </w:rPr>
          <w:delText xml:space="preserve">total body </w:delText>
        </w:r>
      </w:del>
      <w:r>
        <w:rPr>
          <w:sz w:val="24"/>
          <w:szCs w:val="24"/>
        </w:rPr>
        <w:t xml:space="preserve">lean mass in both lean and obese mice. Consistent with losses in strength, obese-dexamethasone treated mice had greater losses in lean mass </w:t>
      </w:r>
      <w:del w:id="135" w:author="Dave Bridges" w:date="2019-04-03T14:41:00Z">
        <w:r w:rsidDel="00446511">
          <w:rPr>
            <w:sz w:val="24"/>
            <w:szCs w:val="24"/>
          </w:rPr>
          <w:delText>as assessed by echoMRI</w:delText>
        </w:r>
      </w:del>
      <w:r>
        <w:rPr>
          <w:sz w:val="24"/>
          <w:szCs w:val="24"/>
        </w:rPr>
        <w:t>(</w:t>
      </w:r>
      <w:commentRangeStart w:id="136"/>
      <w:r>
        <w:rPr>
          <w:sz w:val="24"/>
          <w:szCs w:val="24"/>
        </w:rPr>
        <w:t>Figure 2</w:t>
      </w:r>
      <w:ins w:id="137" w:author="Dave Bridges" w:date="2019-04-03T14:41:00Z">
        <w:r w:rsidR="00446511">
          <w:rPr>
            <w:sz w:val="24"/>
            <w:szCs w:val="24"/>
          </w:rPr>
          <w:t>A</w:t>
        </w:r>
      </w:ins>
      <w:del w:id="138" w:author="Dave Bridges" w:date="2019-04-03T14:41:00Z">
        <w:r w:rsidDel="00446511">
          <w:rPr>
            <w:sz w:val="24"/>
            <w:szCs w:val="24"/>
          </w:rPr>
          <w:delText>a</w:delText>
        </w:r>
      </w:del>
      <w:r>
        <w:rPr>
          <w:sz w:val="24"/>
          <w:szCs w:val="24"/>
        </w:rPr>
        <w:t xml:space="preserve">). </w:t>
      </w:r>
      <w:commentRangeEnd w:id="136"/>
      <w:r w:rsidR="00446511">
        <w:rPr>
          <w:rStyle w:val="CommentReference"/>
        </w:rPr>
        <w:commentReference w:id="136"/>
      </w:r>
      <w:r>
        <w:rPr>
          <w:sz w:val="24"/>
          <w:szCs w:val="24"/>
        </w:rPr>
        <w:t>This loss in lean mass is consistent with previously reported effects of glucocorticoids on muscle atrophy</w:t>
      </w:r>
      <w:r w:rsidR="006F36E9">
        <w:rPr>
          <w:sz w:val="24"/>
          <w:szCs w:val="24"/>
        </w:rPr>
        <w:t xml:space="preserve"> </w:t>
      </w:r>
      <w:r w:rsidR="006F36E9">
        <w:rPr>
          <w:sz w:val="24"/>
          <w:szCs w:val="24"/>
        </w:rPr>
        <w:fldChar w:fldCharType="begin" w:fldLock="1"/>
      </w:r>
      <w:r w:rsidR="00661656">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(7)","plainTextFormattedCitation":"(7)","previouslyFormattedCitation":"(6)"},"properties":{"noteIndex":0},"schema":"https://github.com/citation-style-language/schema/raw/master/csl-citation.json"}</w:instrText>
      </w:r>
      <w:r w:rsidR="006F36E9">
        <w:rPr>
          <w:sz w:val="24"/>
          <w:szCs w:val="24"/>
        </w:rPr>
        <w:fldChar w:fldCharType="separate"/>
      </w:r>
      <w:r w:rsidR="00661656" w:rsidRPr="00661656">
        <w:rPr>
          <w:noProof/>
          <w:sz w:val="24"/>
          <w:szCs w:val="24"/>
        </w:rPr>
        <w:t>(7)</w:t>
      </w:r>
      <w:r w:rsidR="006F36E9">
        <w:rPr>
          <w:sz w:val="24"/>
          <w:szCs w:val="24"/>
        </w:rPr>
        <w:fldChar w:fldCharType="end"/>
      </w:r>
      <w:r w:rsidR="006F36E9">
        <w:rPr>
          <w:sz w:val="24"/>
          <w:szCs w:val="24"/>
        </w:rPr>
        <w:t xml:space="preserve">.  </w:t>
      </w:r>
      <w:del w:id="139" w:author="Dave Bridges" w:date="2019-04-03T14:41:00Z">
        <w:r w:rsidDel="00570D66">
          <w:rPr>
            <w:sz w:val="24"/>
            <w:szCs w:val="24"/>
          </w:rPr>
          <w:delText xml:space="preserve">This loss was also observed in specific hindlimb muscles. </w:delText>
        </w:r>
      </w:del>
      <w:r>
        <w:rPr>
          <w:sz w:val="24"/>
          <w:szCs w:val="24"/>
        </w:rPr>
        <w:t xml:space="preserve">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w:t>
      </w:r>
      <w:commentRangeStart w:id="140"/>
      <w:r>
        <w:rPr>
          <w:sz w:val="24"/>
          <w:szCs w:val="24"/>
        </w:rPr>
        <w:t xml:space="preserve">X </w:t>
      </w:r>
      <w:commentRangeEnd w:id="140"/>
      <w:r w:rsidR="00570D66">
        <w:rPr>
          <w:rStyle w:val="CommentReference"/>
        </w:rPr>
        <w:commentReference w:id="140"/>
      </w:r>
      <w:proofErr w:type="gramStart"/>
      <w:r>
        <w:rPr>
          <w:sz w:val="24"/>
          <w:szCs w:val="24"/>
        </w:rPr>
        <w:t>percent  in</w:t>
      </w:r>
      <w:proofErr w:type="gramEnd"/>
      <w:r>
        <w:rPr>
          <w:sz w:val="24"/>
          <w:szCs w:val="24"/>
        </w:rPr>
        <w:t xml:space="preserve"> the </w:t>
      </w:r>
      <w:r>
        <w:rPr>
          <w:sz w:val="24"/>
          <w:szCs w:val="24"/>
        </w:rPr>
        <w:lastRenderedPageBreak/>
        <w:t xml:space="preserve">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w:t>
      </w:r>
      <w:commentRangeStart w:id="141"/>
      <w:r>
        <w:rPr>
          <w:sz w:val="24"/>
          <w:szCs w:val="24"/>
        </w:rPr>
        <w:t xml:space="preserve">X </w:t>
      </w:r>
      <w:commentRangeEnd w:id="141"/>
      <w:r w:rsidR="00570D66">
        <w:rPr>
          <w:rStyle w:val="CommentReference"/>
        </w:rPr>
        <w:commentReference w:id="141"/>
      </w:r>
      <w:r>
        <w:rPr>
          <w:sz w:val="24"/>
          <w:szCs w:val="24"/>
        </w:rPr>
        <w:t xml:space="preserve">percent </w:t>
      </w:r>
      <w:del w:id="142" w:author="Dave Bridges" w:date="2019-04-03T14:41:00Z">
        <w:r w:rsidDel="00570D66">
          <w:rPr>
            <w:sz w:val="24"/>
            <w:szCs w:val="24"/>
          </w:rPr>
          <w:delText xml:space="preserve"> </w:delText>
        </w:r>
      </w:del>
      <w:r>
        <w:rPr>
          <w:sz w:val="24"/>
          <w:szCs w:val="24"/>
        </w:rPr>
        <w:t xml:space="preserve">in the dexamethasone treated </w:t>
      </w:r>
      <w:ins w:id="143" w:author="Dave Bridges" w:date="2019-04-03T14:41:00Z">
        <w:r w:rsidR="00570D66">
          <w:rPr>
            <w:sz w:val="24"/>
            <w:szCs w:val="24"/>
          </w:rPr>
          <w:t xml:space="preserve">mice </w:t>
        </w:r>
      </w:ins>
      <w:r>
        <w:rPr>
          <w:sz w:val="24"/>
          <w:szCs w:val="24"/>
        </w:rPr>
        <w:t>(</w:t>
      </w:r>
      <w:proofErr w:type="spellStart"/>
      <w:ins w:id="144" w:author="Dave Bridges" w:date="2019-04-03T14:42:00Z">
        <w:r w:rsidR="00570D66">
          <w:rPr>
            <w:sz w:val="24"/>
            <w:szCs w:val="24"/>
          </w:rPr>
          <w:t>p</w:t>
        </w:r>
        <w:r w:rsidR="00570D66" w:rsidRPr="00570D66">
          <w:rPr>
            <w:sz w:val="24"/>
            <w:szCs w:val="24"/>
            <w:vertAlign w:val="subscript"/>
            <w:rPrChange w:id="145" w:author="Dave Bridges" w:date="2019-04-03T14:42:00Z">
              <w:rPr>
                <w:sz w:val="24"/>
                <w:szCs w:val="24"/>
              </w:rPr>
            </w:rPrChange>
          </w:rPr>
          <w:t>interaction</w:t>
        </w:r>
        <w:proofErr w:type="spellEnd"/>
        <w:r w:rsidR="00570D66">
          <w:rPr>
            <w:sz w:val="24"/>
            <w:szCs w:val="24"/>
          </w:rPr>
          <w:t xml:space="preserve"> = XXX, </w:t>
        </w:r>
      </w:ins>
      <w:r>
        <w:rPr>
          <w:sz w:val="24"/>
          <w:szCs w:val="24"/>
        </w:rPr>
        <w:t>Figure 2</w:t>
      </w:r>
      <w:ins w:id="146" w:author="Dave Bridges" w:date="2019-04-03T14:42:00Z">
        <w:r w:rsidR="00570D66">
          <w:rPr>
            <w:sz w:val="24"/>
            <w:szCs w:val="24"/>
          </w:rPr>
          <w:t>B</w:t>
        </w:r>
      </w:ins>
      <w:del w:id="147" w:author="Dave Bridges" w:date="2019-04-03T14:42:00Z">
        <w:r w:rsidDel="00570D66">
          <w:rPr>
            <w:sz w:val="24"/>
            <w:szCs w:val="24"/>
          </w:rPr>
          <w:delText>b</w:delText>
        </w:r>
      </w:del>
      <w:r>
        <w:rPr>
          <w:sz w:val="24"/>
          <w:szCs w:val="24"/>
        </w:rPr>
        <w:t>).</w:t>
      </w:r>
    </w:p>
    <w:p w14:paraId="579E2D90" w14:textId="123E0675" w:rsidR="00BF40A8" w:rsidRPr="00570D66" w:rsidRDefault="00E161E7">
      <w:pPr>
        <w:spacing w:line="480" w:lineRule="auto"/>
        <w:rPr>
          <w:sz w:val="24"/>
          <w:szCs w:val="24"/>
        </w:rPr>
      </w:pPr>
      <w:r>
        <w:rPr>
          <w:sz w:val="24"/>
          <w:szCs w:val="24"/>
        </w:rPr>
        <w:tab/>
        <w:t xml:space="preserve">We then evaluated short-term dexamethasone treated animals by placing male mice on vehicle or dexamethasone for two weeks. </w:t>
      </w:r>
      <w:del w:id="148" w:author="Dave Bridges" w:date="2019-04-03T14:43:00Z">
        <w:r w:rsidDel="00570D66">
          <w:rPr>
            <w:sz w:val="24"/>
            <w:szCs w:val="24"/>
          </w:rPr>
          <w:delText xml:space="preserve">These are the same animals and muscles used for all isometric force testing. </w:delText>
        </w:r>
      </w:del>
      <w:r>
        <w:rPr>
          <w:sz w:val="24"/>
          <w:szCs w:val="24"/>
        </w:rPr>
        <w:t>The obese</w:t>
      </w:r>
      <w:ins w:id="149" w:author="Dave Bridges" w:date="2019-04-03T14:43:00Z">
        <w:r w:rsidR="00570D66">
          <w:rPr>
            <w:sz w:val="24"/>
            <w:szCs w:val="24"/>
          </w:rPr>
          <w:t xml:space="preserve">, </w:t>
        </w:r>
      </w:ins>
      <w:del w:id="150" w:author="Dave Bridges" w:date="2019-04-03T14:43:00Z">
        <w:r w:rsidDel="00570D66">
          <w:rPr>
            <w:sz w:val="24"/>
            <w:szCs w:val="24"/>
          </w:rPr>
          <w:delText>-</w:delText>
        </w:r>
      </w:del>
      <w:r>
        <w:rPr>
          <w:sz w:val="24"/>
          <w:szCs w:val="24"/>
        </w:rPr>
        <w:t xml:space="preserve">dexamethasone treated animals had </w:t>
      </w:r>
      <w:del w:id="151" w:author="Dave Bridges" w:date="2019-04-03T14:43:00Z">
        <w:r w:rsidDel="00570D66">
          <w:rPr>
            <w:sz w:val="24"/>
            <w:szCs w:val="24"/>
          </w:rPr>
          <w:delText>the smallest</w:delText>
        </w:r>
      </w:del>
      <w:ins w:id="152" w:author="Dave Bridges" w:date="2019-04-03T14:44:00Z">
        <w:r w:rsidR="00570D66">
          <w:rPr>
            <w:sz w:val="24"/>
            <w:szCs w:val="24"/>
          </w:rPr>
          <w:t>enhanced</w:t>
        </w:r>
      </w:ins>
      <w:ins w:id="153" w:author="Dave Bridges" w:date="2019-04-03T14:43:00Z">
        <w:r w:rsidR="00570D66">
          <w:rPr>
            <w:sz w:val="24"/>
            <w:szCs w:val="24"/>
          </w:rPr>
          <w:t xml:space="preserve"> reductions</w:t>
        </w:r>
      </w:ins>
      <w:r>
        <w:rPr>
          <w:sz w:val="24"/>
          <w:szCs w:val="24"/>
        </w:rPr>
        <w:t xml:space="preserve"> gastrocnemius weights and whole-muscle </w:t>
      </w:r>
      <w:del w:id="154" w:author="Dave Bridges" w:date="2019-04-03T14:43:00Z">
        <w:r w:rsidDel="00570D66">
          <w:rPr>
            <w:sz w:val="24"/>
            <w:szCs w:val="24"/>
          </w:rPr>
          <w:delText xml:space="preserve">CSA </w:delText>
        </w:r>
      </w:del>
      <w:ins w:id="155" w:author="Dave Bridges" w:date="2019-04-03T14:43:00Z">
        <w:r w:rsidR="00570D66">
          <w:rPr>
            <w:sz w:val="24"/>
            <w:szCs w:val="24"/>
          </w:rPr>
          <w:t xml:space="preserve">cross-sectional area </w:t>
        </w:r>
      </w:ins>
      <w:r>
        <w:rPr>
          <w:sz w:val="24"/>
          <w:szCs w:val="24"/>
        </w:rPr>
        <w:t>(Figure 2</w:t>
      </w:r>
      <w:ins w:id="156" w:author="Dave Bridges" w:date="2019-04-03T14:44:00Z">
        <w:r w:rsidR="00570D66">
          <w:rPr>
            <w:sz w:val="24"/>
            <w:szCs w:val="24"/>
          </w:rPr>
          <w:t>C</w:t>
        </w:r>
      </w:ins>
      <w:del w:id="157" w:author="Dave Bridges" w:date="2019-04-03T14:44:00Z">
        <w:r w:rsidDel="00570D66">
          <w:rPr>
            <w:sz w:val="24"/>
            <w:szCs w:val="24"/>
          </w:rPr>
          <w:delText>c</w:delText>
        </w:r>
      </w:del>
      <w:r>
        <w:rPr>
          <w:sz w:val="24"/>
          <w:szCs w:val="24"/>
        </w:rPr>
        <w:t>-</w:t>
      </w:r>
      <w:ins w:id="158" w:author="Dave Bridges" w:date="2019-04-03T14:44:00Z">
        <w:r w:rsidR="00570D66">
          <w:rPr>
            <w:sz w:val="24"/>
            <w:szCs w:val="24"/>
          </w:rPr>
          <w:t>D</w:t>
        </w:r>
      </w:ins>
      <w:del w:id="159" w:author="Dave Bridges" w:date="2019-04-03T14:44:00Z">
        <w:r w:rsidDel="00570D66">
          <w:rPr>
            <w:sz w:val="24"/>
            <w:szCs w:val="24"/>
          </w:rPr>
          <w:delText>d</w:delText>
        </w:r>
      </w:del>
      <w:r>
        <w:rPr>
          <w:sz w:val="24"/>
          <w:szCs w:val="24"/>
        </w:rPr>
        <w:t>). At sacrifice, the NCD animals gastrocnemius weights were smaller by X percent  in the dexamethasone treated</w:t>
      </w:r>
      <w:ins w:id="160" w:author="Dave Bridges" w:date="2019-04-03T14:44:00Z">
        <w:r w:rsidR="00570D66">
          <w:rPr>
            <w:sz w:val="24"/>
            <w:szCs w:val="24"/>
          </w:rPr>
          <w:t xml:space="preserve"> group but </w:t>
        </w:r>
      </w:ins>
      <w:del w:id="161" w:author="Dave Bridges" w:date="2019-04-03T14:44:00Z">
        <w:r w:rsidDel="00570D66">
          <w:rPr>
            <w:sz w:val="24"/>
            <w:szCs w:val="24"/>
          </w:rPr>
          <w:delText>. While in</w:delText>
        </w:r>
      </w:del>
      <w:ins w:id="162" w:author="Dave Bridges" w:date="2019-04-03T14:44:00Z">
        <w:r w:rsidR="00570D66">
          <w:rPr>
            <w:sz w:val="24"/>
            <w:szCs w:val="24"/>
          </w:rPr>
          <w:t>Y% in the</w:t>
        </w:r>
      </w:ins>
      <w:r>
        <w:rPr>
          <w:sz w:val="24"/>
          <w:szCs w:val="24"/>
        </w:rPr>
        <w:t xml:space="preserve"> HFD </w:t>
      </w:r>
      <w:del w:id="163" w:author="Dave Bridges" w:date="2019-04-03T14:44:00Z">
        <w:r w:rsidDel="00570D66">
          <w:rPr>
            <w:sz w:val="24"/>
            <w:szCs w:val="24"/>
          </w:rPr>
          <w:delText>animals, gastrocnemius weights were smaller by X percent  in the dexamethasone treated</w:delText>
        </w:r>
      </w:del>
      <w:ins w:id="164" w:author="Dave Bridges" w:date="2019-04-03T14:44:00Z">
        <w:r w:rsidR="00570D66">
          <w:rPr>
            <w:sz w:val="24"/>
            <w:szCs w:val="24"/>
          </w:rPr>
          <w:t>group (</w:t>
        </w:r>
        <w:proofErr w:type="spellStart"/>
        <w:r w:rsidR="00570D66">
          <w:rPr>
            <w:sz w:val="24"/>
            <w:szCs w:val="24"/>
          </w:rPr>
          <w:t>p</w:t>
        </w:r>
        <w:r w:rsidR="00570D66" w:rsidRPr="00570D66">
          <w:rPr>
            <w:sz w:val="24"/>
            <w:szCs w:val="24"/>
            <w:vertAlign w:val="subscript"/>
            <w:rPrChange w:id="165" w:author="Dave Bridges" w:date="2019-04-03T14:45:00Z">
              <w:rPr>
                <w:sz w:val="24"/>
                <w:szCs w:val="24"/>
              </w:rPr>
            </w:rPrChange>
          </w:rPr>
          <w:t>interaction</w:t>
        </w:r>
        <w:proofErr w:type="spellEnd"/>
        <w:r w:rsidR="00570D66">
          <w:rPr>
            <w:sz w:val="24"/>
            <w:szCs w:val="24"/>
          </w:rPr>
          <w:t>=0.021)</w:t>
        </w:r>
      </w:ins>
      <w:r>
        <w:rPr>
          <w:sz w:val="24"/>
          <w:szCs w:val="24"/>
        </w:rPr>
        <w:t xml:space="preserve">. </w:t>
      </w:r>
      <w:del w:id="166" w:author="Dave Bridges" w:date="2019-04-03T14:45:00Z">
        <w:r w:rsidDel="00570D66">
          <w:rPr>
            <w:sz w:val="24"/>
            <w:szCs w:val="24"/>
          </w:rPr>
          <w:delText>There was a significant interaction between diet and treatment, P=.021.</w:delText>
        </w:r>
      </w:del>
      <w:ins w:id="167" w:author="Dave Bridges" w:date="2019-04-03T14:45:00Z">
        <w:r w:rsidR="00570D66">
          <w:rPr>
            <w:sz w:val="24"/>
            <w:szCs w:val="24"/>
          </w:rPr>
          <w:t>Similarly, cross-sectional area of the muscle was reduced XXX in the NCD group and YYY in the HFD group (</w:t>
        </w:r>
        <w:proofErr w:type="spellStart"/>
        <w:r w:rsidR="00570D66">
          <w:rPr>
            <w:sz w:val="24"/>
            <w:szCs w:val="24"/>
          </w:rPr>
          <w:t>p</w:t>
        </w:r>
        <w:r w:rsidR="00570D66" w:rsidRPr="00570D66">
          <w:rPr>
            <w:sz w:val="24"/>
            <w:szCs w:val="24"/>
            <w:vertAlign w:val="subscript"/>
            <w:rPrChange w:id="168" w:author="Dave Bridges" w:date="2019-04-03T14:45:00Z">
              <w:rPr>
                <w:sz w:val="24"/>
                <w:szCs w:val="24"/>
              </w:rPr>
            </w:rPrChange>
          </w:rPr>
          <w:t>interaction</w:t>
        </w:r>
        <w:proofErr w:type="spellEnd"/>
        <w:r w:rsidR="00570D66">
          <w:rPr>
            <w:sz w:val="24"/>
            <w:szCs w:val="24"/>
          </w:rPr>
          <w:t>=XXX).</w:t>
        </w:r>
      </w:ins>
    </w:p>
    <w:p w14:paraId="6A46BF48" w14:textId="77777777" w:rsidR="00BF40A8" w:rsidRDefault="00BF40A8">
      <w:pPr>
        <w:spacing w:line="480" w:lineRule="auto"/>
        <w:rPr>
          <w:sz w:val="24"/>
          <w:szCs w:val="24"/>
        </w:rPr>
      </w:pPr>
    </w:p>
    <w:p w14:paraId="3725226B" w14:textId="4FB6666E" w:rsidR="00BF40A8" w:rsidRDefault="00E161E7" w:rsidP="00A866A1">
      <w:pPr>
        <w:pStyle w:val="Heading2"/>
      </w:pPr>
      <w:r>
        <w:t xml:space="preserve">Obesity </w:t>
      </w:r>
      <w:del w:id="169" w:author="Dave Bridges" w:date="2019-04-03T14:51:00Z">
        <w:r w:rsidDel="00D821F4">
          <w:delText xml:space="preserve">and </w:delText>
        </w:r>
      </w:del>
      <w:ins w:id="170" w:author="Dave Bridges" w:date="2019-04-03T14:51:00Z">
        <w:r w:rsidR="00D821F4">
          <w:t>with</w:t>
        </w:r>
        <w:r w:rsidR="00D821F4">
          <w:t xml:space="preserve"> </w:t>
        </w:r>
      </w:ins>
      <w:r>
        <w:t xml:space="preserve">Dexamethasone Treatment Resulted in </w:t>
      </w:r>
      <w:ins w:id="171" w:author="Dave Bridges" w:date="2019-04-03T14:50:00Z">
        <w:r w:rsidR="00D821F4">
          <w:t xml:space="preserve">Smaller </w:t>
        </w:r>
      </w:ins>
      <w:r>
        <w:t>Muscle Fiber</w:t>
      </w:r>
      <w:ins w:id="172" w:author="Dave Bridges" w:date="2019-04-03T14:50:00Z">
        <w:r w:rsidR="00D821F4">
          <w:t>s</w:t>
        </w:r>
      </w:ins>
      <w:r>
        <w:t xml:space="preserve"> </w:t>
      </w:r>
      <w:del w:id="173" w:author="Dave Bridges" w:date="2019-04-03T14:50:00Z">
        <w:r w:rsidDel="00D821F4">
          <w:delText>Degradation</w:delText>
        </w:r>
      </w:del>
    </w:p>
    <w:p w14:paraId="26A646FA" w14:textId="485F65DD" w:rsidR="00BF40A8" w:rsidRDefault="00E161E7">
      <w:pPr>
        <w:spacing w:line="480" w:lineRule="auto"/>
        <w:ind w:firstLine="720"/>
        <w:rPr>
          <w:sz w:val="24"/>
          <w:szCs w:val="24"/>
        </w:rPr>
      </w:pPr>
      <w:r>
        <w:rPr>
          <w:sz w:val="24"/>
          <w:szCs w:val="24"/>
        </w:rPr>
        <w:t xml:space="preserve">In order to assess changes </w:t>
      </w:r>
      <w:del w:id="174" w:author="Dave Bridges" w:date="2019-04-03T14:45:00Z">
        <w:r w:rsidDel="00D828A0">
          <w:rPr>
            <w:sz w:val="24"/>
            <w:szCs w:val="24"/>
          </w:rPr>
          <w:delText>in muscle size at</w:delText>
        </w:r>
      </w:del>
      <w:ins w:id="175" w:author="Dave Bridges" w:date="2019-04-03T14:45:00Z">
        <w:r w:rsidR="00D828A0">
          <w:rPr>
            <w:sz w:val="24"/>
            <w:szCs w:val="24"/>
          </w:rPr>
          <w:t>at</w:t>
        </w:r>
      </w:ins>
      <w:r>
        <w:rPr>
          <w:sz w:val="24"/>
          <w:szCs w:val="24"/>
        </w:rPr>
        <w:t xml:space="preserve"> the </w:t>
      </w:r>
      <w:ins w:id="176" w:author="Dave Bridges" w:date="2019-04-03T14:46:00Z">
        <w:r w:rsidR="00D828A0">
          <w:rPr>
            <w:sz w:val="24"/>
            <w:szCs w:val="24"/>
          </w:rPr>
          <w:t xml:space="preserve">individual muscle </w:t>
        </w:r>
      </w:ins>
      <w:r>
        <w:rPr>
          <w:sz w:val="24"/>
          <w:szCs w:val="24"/>
        </w:rPr>
        <w:t xml:space="preserve">fiber-level, we sectioned the 5-week dexamethasone-treated mice quadriceps at the mid-belly and H&amp;E stained </w:t>
      </w:r>
      <w:del w:id="177" w:author="Dave Bridges" w:date="2019-04-03T14:52:00Z">
        <w:r w:rsidDel="00282CE0">
          <w:rPr>
            <w:sz w:val="24"/>
            <w:szCs w:val="24"/>
          </w:rPr>
          <w:delText>the sections</w:delText>
        </w:r>
      </w:del>
      <w:r>
        <w:rPr>
          <w:sz w:val="24"/>
          <w:szCs w:val="24"/>
        </w:rPr>
        <w:t>(Figure 2</w:t>
      </w:r>
      <w:ins w:id="178" w:author="Dave Bridges" w:date="2019-04-03T14:51:00Z">
        <w:r w:rsidR="000628E8">
          <w:rPr>
            <w:sz w:val="24"/>
            <w:szCs w:val="24"/>
          </w:rPr>
          <w:t>E</w:t>
        </w:r>
      </w:ins>
      <w:del w:id="179" w:author="Dave Bridges" w:date="2019-04-03T14:46:00Z">
        <w:r w:rsidDel="00D828A0">
          <w:rPr>
            <w:sz w:val="24"/>
            <w:szCs w:val="24"/>
          </w:rPr>
          <w:delText>e</w:delText>
        </w:r>
      </w:del>
      <w:r>
        <w:rPr>
          <w:sz w:val="24"/>
          <w:szCs w:val="24"/>
        </w:rPr>
        <w:t xml:space="preserve">).  The NCD animal’s muscle fibers were smaller by </w:t>
      </w:r>
      <w:commentRangeStart w:id="180"/>
      <w:r>
        <w:rPr>
          <w:sz w:val="24"/>
          <w:szCs w:val="24"/>
        </w:rPr>
        <w:t>X</w:t>
      </w:r>
      <w:del w:id="181" w:author="Dave Bridges" w:date="2019-04-03T14:51:00Z">
        <w:r w:rsidDel="000628E8">
          <w:rPr>
            <w:sz w:val="24"/>
            <w:szCs w:val="24"/>
          </w:rPr>
          <w:delText xml:space="preserve"> </w:delText>
        </w:r>
      </w:del>
      <w:ins w:id="182" w:author="Dave Bridges" w:date="2019-04-03T14:51:00Z">
        <w:r w:rsidR="000628E8">
          <w:rPr>
            <w:sz w:val="24"/>
            <w:szCs w:val="24"/>
          </w:rPr>
          <w:t xml:space="preserve">% </w:t>
        </w:r>
        <w:commentRangeEnd w:id="180"/>
        <w:r w:rsidR="000628E8">
          <w:rPr>
            <w:rStyle w:val="CommentReference"/>
          </w:rPr>
          <w:commentReference w:id="180"/>
        </w:r>
      </w:ins>
      <w:del w:id="183" w:author="Dave Bridges" w:date="2019-04-03T14:51:00Z">
        <w:r w:rsidDel="000628E8">
          <w:rPr>
            <w:sz w:val="24"/>
            <w:szCs w:val="24"/>
          </w:rPr>
          <w:delText xml:space="preserve">percent  </w:delText>
        </w:r>
      </w:del>
      <w:r>
        <w:rPr>
          <w:sz w:val="24"/>
          <w:szCs w:val="24"/>
        </w:rPr>
        <w:t xml:space="preserve">in the dexamethasone treated and in HFD animals muscle fibers were smaller by </w:t>
      </w:r>
      <w:commentRangeStart w:id="184"/>
      <w:r>
        <w:rPr>
          <w:sz w:val="24"/>
          <w:szCs w:val="24"/>
        </w:rPr>
        <w:t>X</w:t>
      </w:r>
      <w:ins w:id="185" w:author="Dave Bridges" w:date="2019-04-03T14:51:00Z">
        <w:r w:rsidR="000628E8">
          <w:rPr>
            <w:sz w:val="24"/>
            <w:szCs w:val="24"/>
          </w:rPr>
          <w:t>%</w:t>
        </w:r>
      </w:ins>
      <w:r>
        <w:rPr>
          <w:sz w:val="24"/>
          <w:szCs w:val="24"/>
        </w:rPr>
        <w:t xml:space="preserve"> </w:t>
      </w:r>
      <w:commentRangeEnd w:id="184"/>
      <w:r w:rsidR="000628E8">
        <w:rPr>
          <w:rStyle w:val="CommentReference"/>
        </w:rPr>
        <w:commentReference w:id="184"/>
      </w:r>
      <w:del w:id="186" w:author="Dave Bridges" w:date="2019-04-03T14:51:00Z">
        <w:r w:rsidDel="000628E8">
          <w:rPr>
            <w:sz w:val="24"/>
            <w:szCs w:val="24"/>
          </w:rPr>
          <w:delText xml:space="preserve">percent </w:delText>
        </w:r>
      </w:del>
      <w:r>
        <w:rPr>
          <w:sz w:val="24"/>
          <w:szCs w:val="24"/>
        </w:rPr>
        <w:t>in the dexamethasone treated</w:t>
      </w:r>
      <w:ins w:id="187" w:author="Dave Bridges" w:date="2019-04-03T14:51:00Z">
        <w:r w:rsidR="000628E8">
          <w:rPr>
            <w:sz w:val="24"/>
            <w:szCs w:val="24"/>
          </w:rPr>
          <w:t xml:space="preserve"> mice </w:t>
        </w:r>
      </w:ins>
      <w:del w:id="188" w:author="Dave Bridges" w:date="2019-04-03T14:46:00Z">
        <w:r w:rsidDel="00D828A0">
          <w:rPr>
            <w:sz w:val="24"/>
            <w:szCs w:val="24"/>
          </w:rPr>
          <w:delText>. There was a significant interaction between diet and treatment, P</w:delText>
        </w:r>
      </w:del>
      <w:ins w:id="189" w:author="Dave Bridges" w:date="2019-04-03T14:46:00Z">
        <w:r w:rsidR="00D828A0">
          <w:rPr>
            <w:sz w:val="24"/>
            <w:szCs w:val="24"/>
          </w:rPr>
          <w:t>(</w:t>
        </w:r>
        <w:proofErr w:type="spellStart"/>
        <w:r w:rsidR="00D828A0">
          <w:rPr>
            <w:sz w:val="24"/>
            <w:szCs w:val="24"/>
          </w:rPr>
          <w:t>p</w:t>
        </w:r>
        <w:r w:rsidR="00D828A0" w:rsidRPr="00D828A0">
          <w:rPr>
            <w:sz w:val="24"/>
            <w:szCs w:val="24"/>
            <w:vertAlign w:val="subscript"/>
            <w:rPrChange w:id="190" w:author="Dave Bridges" w:date="2019-04-03T14:46:00Z">
              <w:rPr>
                <w:sz w:val="24"/>
                <w:szCs w:val="24"/>
              </w:rPr>
            </w:rPrChange>
          </w:rPr>
          <w:t>interaction</w:t>
        </w:r>
      </w:ins>
      <w:proofErr w:type="spellEnd"/>
      <w:r>
        <w:rPr>
          <w:sz w:val="24"/>
          <w:szCs w:val="24"/>
        </w:rPr>
        <w:t>=.001</w:t>
      </w:r>
      <w:ins w:id="191" w:author="Dave Bridges" w:date="2019-04-03T14:46:00Z">
        <w:r w:rsidR="00D828A0">
          <w:rPr>
            <w:sz w:val="24"/>
            <w:szCs w:val="24"/>
          </w:rPr>
          <w:t xml:space="preserve">; </w:t>
        </w:r>
      </w:ins>
      <w:del w:id="192" w:author="Dave Bridges" w:date="2019-04-03T14:46:00Z">
        <w:r w:rsidDel="00D828A0">
          <w:rPr>
            <w:sz w:val="24"/>
            <w:szCs w:val="24"/>
          </w:rPr>
          <w:delText xml:space="preserve"> (</w:delText>
        </w:r>
      </w:del>
      <w:r>
        <w:rPr>
          <w:sz w:val="24"/>
          <w:szCs w:val="24"/>
        </w:rPr>
        <w:t>Figure 2</w:t>
      </w:r>
      <w:ins w:id="193" w:author="Dave Bridges" w:date="2019-04-03T14:46:00Z">
        <w:r w:rsidR="00D828A0">
          <w:rPr>
            <w:sz w:val="24"/>
            <w:szCs w:val="24"/>
          </w:rPr>
          <w:t>F</w:t>
        </w:r>
      </w:ins>
      <w:del w:id="194" w:author="Dave Bridges" w:date="2019-04-03T14:46:00Z">
        <w:r w:rsidDel="00D828A0">
          <w:rPr>
            <w:sz w:val="24"/>
            <w:szCs w:val="24"/>
          </w:rPr>
          <w:delText>f</w:delText>
        </w:r>
      </w:del>
      <w:r>
        <w:rPr>
          <w:sz w:val="24"/>
          <w:szCs w:val="24"/>
        </w:rPr>
        <w:t>).</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t>Dexamethasone did not Induce Changes Fiber-Type Composition</w:t>
      </w:r>
    </w:p>
    <w:p w14:paraId="4CB386EF" w14:textId="01AD708A" w:rsidR="00BF40A8" w:rsidRDefault="00E161E7">
      <w:pPr>
        <w:spacing w:line="480" w:lineRule="auto"/>
        <w:ind w:firstLine="720"/>
        <w:rPr>
          <w:sz w:val="24"/>
          <w:szCs w:val="24"/>
        </w:rPr>
      </w:pPr>
      <w:r>
        <w:rPr>
          <w:sz w:val="24"/>
          <w:szCs w:val="24"/>
        </w:rPr>
        <w:t>In order to assess any changes in the ratio of oxidative versus non-oxidative fiber-types,</w:t>
      </w:r>
      <w:del w:id="195" w:author="Dave Bridges" w:date="2019-04-03T14:52:00Z">
        <w:r w:rsidDel="00282CE0">
          <w:rPr>
            <w:sz w:val="24"/>
            <w:szCs w:val="24"/>
          </w:rPr>
          <w:delText xml:space="preserve"> </w:delText>
        </w:r>
      </w:del>
      <w:r>
        <w:rPr>
          <w:sz w:val="24"/>
          <w:szCs w:val="24"/>
        </w:rPr>
        <w:t xml:space="preserve"> we stained muscle sections and quantified the muscle fibers based upon </w:t>
      </w:r>
      <w:r>
        <w:rPr>
          <w:sz w:val="24"/>
          <w:szCs w:val="24"/>
        </w:rPr>
        <w:lastRenderedPageBreak/>
        <w:t xml:space="preserve">their oxidative capacity. </w:t>
      </w:r>
      <w:del w:id="196" w:author="Dave Bridges" w:date="2019-04-03T14:52:00Z">
        <w:r w:rsidDel="00282CE0">
          <w:rPr>
            <w:sz w:val="24"/>
            <w:szCs w:val="24"/>
          </w:rPr>
          <w:delText>These are the same section from the quadriceps used ….. Mice</w:delText>
        </w:r>
      </w:del>
      <w:ins w:id="197" w:author="Dave Bridges" w:date="2019-04-03T14:52:00Z">
        <w:r w:rsidR="00282CE0">
          <w:rPr>
            <w:sz w:val="24"/>
            <w:szCs w:val="24"/>
          </w:rPr>
          <w:t>Mouse</w:t>
        </w:r>
      </w:ins>
      <w:r>
        <w:rPr>
          <w:sz w:val="24"/>
          <w:szCs w:val="24"/>
        </w:rPr>
        <w:t xml:space="preserv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w:t>
      </w:r>
      <w:commentRangeStart w:id="198"/>
      <w:r>
        <w:rPr>
          <w:sz w:val="24"/>
          <w:szCs w:val="24"/>
        </w:rPr>
        <w:t>fibers</w:t>
      </w:r>
      <w:commentRangeEnd w:id="198"/>
      <w:r w:rsidR="00282CE0">
        <w:rPr>
          <w:rStyle w:val="CommentReference"/>
        </w:rPr>
        <w:commentReference w:id="198"/>
      </w:r>
      <w:r>
        <w:rPr>
          <w:sz w:val="24"/>
          <w:szCs w:val="24"/>
        </w:rPr>
        <w:t xml:space="preserve">. Oxidative fibers or Type I fibers </w:t>
      </w:r>
      <w:del w:id="199" w:author="Dave Bridges" w:date="2019-04-03T14:52:00Z">
        <w:r w:rsidDel="00282CE0">
          <w:rPr>
            <w:sz w:val="24"/>
            <w:szCs w:val="24"/>
          </w:rPr>
          <w:delText xml:space="preserve">stained </w:delText>
        </w:r>
      </w:del>
      <w:ins w:id="200" w:author="Dave Bridges" w:date="2019-04-03T14:52:00Z">
        <w:r w:rsidR="00282CE0">
          <w:rPr>
            <w:sz w:val="24"/>
            <w:szCs w:val="24"/>
          </w:rPr>
          <w:t>stain</w:t>
        </w:r>
        <w:r w:rsidR="00282CE0">
          <w:rPr>
            <w:sz w:val="24"/>
            <w:szCs w:val="24"/>
          </w:rPr>
          <w:t xml:space="preserve"> </w:t>
        </w:r>
      </w:ins>
      <w:r>
        <w:rPr>
          <w:sz w:val="24"/>
          <w:szCs w:val="24"/>
        </w:rPr>
        <w:t>the darkest (Figure 2</w:t>
      </w:r>
      <w:ins w:id="201" w:author="Dave Bridges" w:date="2019-04-03T14:52:00Z">
        <w:r w:rsidR="00282CE0">
          <w:rPr>
            <w:sz w:val="24"/>
            <w:szCs w:val="24"/>
          </w:rPr>
          <w:t>G</w:t>
        </w:r>
      </w:ins>
      <w:del w:id="202" w:author="Dave Bridges" w:date="2019-04-03T14:52:00Z">
        <w:r w:rsidDel="00282CE0">
          <w:rPr>
            <w:sz w:val="24"/>
            <w:szCs w:val="24"/>
          </w:rPr>
          <w:delText>g</w:delText>
        </w:r>
      </w:del>
      <w:r>
        <w:rPr>
          <w:sz w:val="24"/>
          <w:szCs w:val="24"/>
        </w:rPr>
        <w:t>).  We found no significant change in the ratio of oxidative to total fibers in the mice quadriceps in lean or obese. (Figure 2</w:t>
      </w:r>
      <w:ins w:id="203" w:author="Dave Bridges" w:date="2019-04-03T14:52:00Z">
        <w:r w:rsidR="00282CE0">
          <w:rPr>
            <w:sz w:val="24"/>
            <w:szCs w:val="24"/>
          </w:rPr>
          <w:t>H</w:t>
        </w:r>
      </w:ins>
      <w:del w:id="204" w:author="Dave Bridges" w:date="2019-04-03T14:52:00Z">
        <w:r w:rsidDel="00282CE0">
          <w:rPr>
            <w:sz w:val="24"/>
            <w:szCs w:val="24"/>
          </w:rPr>
          <w:delText>h</w:delText>
        </w:r>
      </w:del>
      <w:r>
        <w:rPr>
          <w:sz w:val="24"/>
          <w:szCs w:val="24"/>
        </w:rPr>
        <w:t xml:space="preserve">) </w:t>
      </w:r>
      <w:commentRangeStart w:id="205"/>
      <w:r>
        <w:rPr>
          <w:sz w:val="24"/>
          <w:szCs w:val="24"/>
        </w:rPr>
        <w:t>This result may be different in other types of muscles within the hindlimb because quadriceps have fairly high oxidative capacity due their mitochondrial content (Jacobs et al., 2012).</w:t>
      </w:r>
      <w:commentRangeEnd w:id="205"/>
      <w:r w:rsidR="00282CE0">
        <w:rPr>
          <w:rStyle w:val="CommentReference"/>
        </w:rPr>
        <w:commentReference w:id="205"/>
      </w:r>
    </w:p>
    <w:p w14:paraId="1E4C5AD7" w14:textId="6C9BE22B" w:rsidR="00BF40A8" w:rsidRDefault="00E161E7" w:rsidP="00A866A1">
      <w:pPr>
        <w:pStyle w:val="Heading2"/>
      </w:pPr>
      <w:r>
        <w:t xml:space="preserve">Dexamethasone Reduced Type II Fiber </w:t>
      </w:r>
      <w:del w:id="206" w:author="Dave Bridges" w:date="2019-04-03T14:53:00Z">
        <w:r w:rsidDel="00956304">
          <w:delText xml:space="preserve">CSA </w:delText>
        </w:r>
      </w:del>
      <w:ins w:id="207" w:author="Dave Bridges" w:date="2019-04-03T14:53:00Z">
        <w:r w:rsidR="00956304">
          <w:t>Cross-Sectional Area</w:t>
        </w:r>
        <w:r w:rsidR="00956304">
          <w:t xml:space="preserve"> </w:t>
        </w:r>
      </w:ins>
    </w:p>
    <w:p w14:paraId="72459FAD" w14:textId="62D4875B" w:rsidR="00BF40A8" w:rsidRDefault="00E161E7">
      <w:pPr>
        <w:spacing w:line="480" w:lineRule="auto"/>
        <w:ind w:firstLine="720"/>
        <w:rPr>
          <w:sz w:val="24"/>
          <w:szCs w:val="24"/>
        </w:rPr>
      </w:pPr>
      <w:r>
        <w:rPr>
          <w:sz w:val="24"/>
          <w:szCs w:val="24"/>
        </w:rPr>
        <w:t xml:space="preserve">Though we did not see changes in composition of fiber types, we </w:t>
      </w:r>
      <w:del w:id="208" w:author="Dave Bridges" w:date="2019-04-03T14:53:00Z">
        <w:r w:rsidDel="00956304">
          <w:rPr>
            <w:sz w:val="24"/>
            <w:szCs w:val="24"/>
          </w:rPr>
          <w:delText xml:space="preserve">wanted to investigate changes in </w:delText>
        </w:r>
      </w:del>
      <w:r>
        <w:rPr>
          <w:sz w:val="24"/>
          <w:szCs w:val="24"/>
        </w:rPr>
        <w:t xml:space="preserve">fiber-type </w:t>
      </w:r>
      <w:ins w:id="209" w:author="Dave Bridges" w:date="2019-04-03T14:53:00Z">
        <w:r w:rsidR="00956304">
          <w:rPr>
            <w:sz w:val="24"/>
            <w:szCs w:val="24"/>
          </w:rPr>
          <w:t>specific reductions in area</w:t>
        </w:r>
      </w:ins>
      <w:del w:id="210" w:author="Dave Bridges" w:date="2019-04-03T14:53:00Z">
        <w:r w:rsidDel="00956304">
          <w:rPr>
            <w:sz w:val="24"/>
            <w:szCs w:val="24"/>
          </w:rPr>
          <w:delText>size</w:delText>
        </w:r>
      </w:del>
      <w:r>
        <w:rPr>
          <w:sz w:val="24"/>
          <w:szCs w:val="24"/>
        </w:rPr>
        <w:t xml:space="preserve">. </w:t>
      </w:r>
      <w:del w:id="211" w:author="Dave Bridges" w:date="2019-04-03T14:53:00Z">
        <w:r w:rsidDel="00956304">
          <w:rPr>
            <w:sz w:val="24"/>
            <w:szCs w:val="24"/>
          </w:rPr>
          <w:delText xml:space="preserve">In order to evaluate fiber-type specific atrophy, we labeled fiber types based on their stained color and measured their CSA. Type I fibers stained darkest, Type IIb stained intermediate, and Type IIa stained the lightest (Figure 2g). </w:delText>
        </w:r>
      </w:del>
      <w:r>
        <w:rPr>
          <w:sz w:val="24"/>
          <w:szCs w:val="24"/>
        </w:rPr>
        <w:t xml:space="preserve">Dexamethasone-treatment reduced Type </w:t>
      </w:r>
      <w:proofErr w:type="spellStart"/>
      <w:r>
        <w:rPr>
          <w:sz w:val="24"/>
          <w:szCs w:val="24"/>
        </w:rPr>
        <w:t>IIa</w:t>
      </w:r>
      <w:proofErr w:type="spellEnd"/>
      <w:r>
        <w:rPr>
          <w:sz w:val="24"/>
          <w:szCs w:val="24"/>
        </w:rPr>
        <w:t xml:space="preserve"> fibers CSA in lean and obese mice by X% and X% respectively</w:t>
      </w:r>
      <w:ins w:id="212" w:author="Dave Bridges" w:date="2019-04-03T14:53:00Z">
        <w:r w:rsidR="00956304">
          <w:rPr>
            <w:sz w:val="24"/>
            <w:szCs w:val="24"/>
          </w:rPr>
          <w:t xml:space="preserve"> (</w:t>
        </w:r>
        <w:proofErr w:type="spellStart"/>
        <w:r w:rsidR="00956304">
          <w:rPr>
            <w:sz w:val="24"/>
            <w:szCs w:val="24"/>
          </w:rPr>
          <w:t>p</w:t>
        </w:r>
        <w:r w:rsidR="00956304" w:rsidRPr="00956304">
          <w:rPr>
            <w:sz w:val="24"/>
            <w:szCs w:val="24"/>
            <w:vertAlign w:val="subscript"/>
            <w:rPrChange w:id="213" w:author="Dave Bridges" w:date="2019-04-03T14:54:00Z">
              <w:rPr>
                <w:sz w:val="24"/>
                <w:szCs w:val="24"/>
              </w:rPr>
            </w:rPrChange>
          </w:rPr>
          <w:t>interaction</w:t>
        </w:r>
        <w:proofErr w:type="spellEnd"/>
        <w:r w:rsidR="00956304">
          <w:rPr>
            <w:sz w:val="24"/>
            <w:szCs w:val="24"/>
          </w:rPr>
          <w:t>=xxx)</w:t>
        </w:r>
      </w:ins>
      <w:r>
        <w:rPr>
          <w:sz w:val="24"/>
          <w:szCs w:val="24"/>
        </w:rPr>
        <w:t>. Dexamethasone-treatment also reduced Type IIb fibers CSA in lean and obese by X% and X% respectively</w:t>
      </w:r>
      <w:ins w:id="214" w:author="Dave Bridges" w:date="2019-04-03T14:54:00Z">
        <w:r w:rsidR="00956304">
          <w:rPr>
            <w:sz w:val="24"/>
            <w:szCs w:val="24"/>
          </w:rPr>
          <w:t xml:space="preserve"> (</w:t>
        </w:r>
        <w:proofErr w:type="spellStart"/>
        <w:r w:rsidR="00956304">
          <w:rPr>
            <w:sz w:val="24"/>
            <w:szCs w:val="24"/>
          </w:rPr>
          <w:t>p</w:t>
        </w:r>
        <w:r w:rsidR="00956304" w:rsidRPr="00956304">
          <w:rPr>
            <w:sz w:val="24"/>
            <w:szCs w:val="24"/>
            <w:vertAlign w:val="subscript"/>
            <w:rPrChange w:id="215" w:author="Dave Bridges" w:date="2019-04-03T14:54:00Z">
              <w:rPr>
                <w:sz w:val="24"/>
                <w:szCs w:val="24"/>
              </w:rPr>
            </w:rPrChange>
          </w:rPr>
          <w:t>interaction</w:t>
        </w:r>
        <w:proofErr w:type="spellEnd"/>
        <w:r w:rsidR="00956304">
          <w:rPr>
            <w:sz w:val="24"/>
            <w:szCs w:val="24"/>
          </w:rPr>
          <w:t>=xxx)</w:t>
        </w:r>
      </w:ins>
      <w:r>
        <w:rPr>
          <w:sz w:val="24"/>
          <w:szCs w:val="24"/>
        </w:rPr>
        <w:t>. As for Type I Fibers, dexamethasone treatments only reduced fiber CSA in NCD animals. There was no significant effect of dexamethasone on Type I fibers in obese mice (Figure 2</w:t>
      </w:r>
      <w:ins w:id="216" w:author="Dave Bridges" w:date="2019-04-03T14:54:00Z">
        <w:r w:rsidR="00956304">
          <w:rPr>
            <w:sz w:val="24"/>
            <w:szCs w:val="24"/>
          </w:rPr>
          <w:t>I</w:t>
        </w:r>
      </w:ins>
      <w:del w:id="217" w:author="Dave Bridges" w:date="2019-04-03T14:54:00Z">
        <w:r w:rsidDel="00956304">
          <w:rPr>
            <w:sz w:val="24"/>
            <w:szCs w:val="24"/>
          </w:rPr>
          <w:delText>i</w:delText>
        </w:r>
      </w:del>
      <w:r>
        <w:rPr>
          <w:sz w:val="24"/>
          <w:szCs w:val="24"/>
        </w:rPr>
        <w:t xml:space="preserve">). This outcome is consistent with previous data shown in which plantares muscles from mice treated with dexamethasone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sidR="00661656">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1866A2">
        <w:rPr>
          <w:sz w:val="24"/>
          <w:szCs w:val="24"/>
        </w:rPr>
        <w:fldChar w:fldCharType="separate"/>
      </w:r>
      <w:r w:rsidR="00661656" w:rsidRPr="00661656">
        <w:rPr>
          <w:noProof/>
          <w:sz w:val="24"/>
          <w:szCs w:val="24"/>
        </w:rPr>
        <w:t>(10)</w:t>
      </w:r>
      <w:r w:rsidR="001866A2">
        <w:rPr>
          <w:sz w:val="24"/>
          <w:szCs w:val="24"/>
        </w:rPr>
        <w:fldChar w:fldCharType="end"/>
      </w:r>
      <w:r w:rsidR="001866A2">
        <w:rPr>
          <w:sz w:val="24"/>
          <w:szCs w:val="24"/>
        </w:rPr>
        <w:t>.</w:t>
      </w:r>
      <w:bookmarkStart w:id="218" w:name="_GoBack"/>
      <w:bookmarkEnd w:id="218"/>
    </w:p>
    <w:p w14:paraId="740BAB2D" w14:textId="77777777" w:rsidR="00BF40A8" w:rsidRDefault="00BF40A8">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14B97952"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661656">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syndrome","type":"article-journal","volume":"312"},"uris":["http://www.mendeley.com/documents/?uuid=0847b4da-d489-4996-b32d-4a53009a11c3"]}],"mendeley":{"formattedCitation":"(5, 11, 13)","plainTextFormattedCitation":"(5, 11, 13)","previouslyFormattedCitation":"(4, 10, 12)"},"properties":{"noteIndex":0},"schema":"https://github.com/citation-style-language/schema/raw/master/csl-citation.json"}</w:instrText>
      </w:r>
      <w:r w:rsidR="001866A2">
        <w:rPr>
          <w:sz w:val="24"/>
          <w:szCs w:val="24"/>
        </w:rPr>
        <w:fldChar w:fldCharType="separate"/>
      </w:r>
      <w:r w:rsidR="00661656" w:rsidRPr="00661656">
        <w:rPr>
          <w:noProof/>
          <w:sz w:val="24"/>
          <w:szCs w:val="24"/>
        </w:rPr>
        <w:t>(5, 11, 13)</w:t>
      </w:r>
      <w:r w:rsidR="001866A2">
        <w:rPr>
          <w:sz w:val="24"/>
          <w:szCs w:val="24"/>
        </w:rPr>
        <w:fldChar w:fldCharType="end"/>
      </w:r>
      <w:r w:rsidR="001866A2">
        <w:rPr>
          <w:sz w:val="24"/>
          <w:szCs w:val="24"/>
        </w:rPr>
        <w:t xml:space="preserve">.  </w:t>
      </w:r>
      <w:r>
        <w:rPr>
          <w:sz w:val="24"/>
          <w:szCs w:val="24"/>
        </w:rPr>
        <w:t xml:space="preserve"> We chose to treat C2C12 myotubes with dexamethasone overtime in order to assess the expression of Foxo1, Foxo3, and well-</w:t>
      </w:r>
      <w:r>
        <w:rPr>
          <w:sz w:val="24"/>
          <w:szCs w:val="24"/>
        </w:rPr>
        <w:lastRenderedPageBreak/>
        <w:t xml:space="preserve">established </w:t>
      </w:r>
      <w:proofErr w:type="spellStart"/>
      <w:r>
        <w:rPr>
          <w:sz w:val="24"/>
          <w:szCs w:val="24"/>
        </w:rPr>
        <w:t>atrogenes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 time-course at 24 hours of dexamethasone.</w:t>
      </w:r>
    </w:p>
    <w:p w14:paraId="78D82A66" w14:textId="77777777"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E161E7" w:rsidP="00A866A1">
      <w:pPr>
        <w:pStyle w:val="Heading3"/>
      </w:pPr>
      <w:r>
        <w:t>Obese Dexamethasone-Treated Mice are Profoundly Insulin Resistant</w:t>
      </w:r>
    </w:p>
    <w:p w14:paraId="2D3D6C9A" w14:textId="77777777" w:rsidR="00BF40A8" w:rsidRDefault="00E161E7">
      <w:pPr>
        <w:spacing w:line="480" w:lineRule="auto"/>
        <w:ind w:firstLine="720"/>
        <w:rPr>
          <w:sz w:val="24"/>
          <w:szCs w:val="24"/>
        </w:rPr>
      </w:pPr>
      <w:r>
        <w:rPr>
          <w:sz w:val="24"/>
          <w:szCs w:val="24"/>
        </w:rPr>
        <w:t xml:space="preserve">Since we have highlighted that obesity can enhance skeletal muscle atrophy generated by glucocorticoids, we wanted to take a look at the role of insulin and insulin sensitivity in this muscle atrophy model. Insulin is central to glucose-uptake in skeletal muscle, where the majority of all glucose uptake occurs within the body. Both dexamethasone and obesity are known to cause insulin resistance (references) In order 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 xml:space="preserve">FBG). In lean animals, there was no significant change in FBG between treatment groups however there was a X% increase in obese animals given dexamethasone (Figure 4a). </w:t>
      </w:r>
      <w:r>
        <w:rPr>
          <w:sz w:val="24"/>
          <w:szCs w:val="24"/>
        </w:rPr>
        <w:lastRenderedPageBreak/>
        <w:t xml:space="preserve">There was a synergistic effect of obesity and dexamethasone on fasted blood glucose, P=.033. </w:t>
      </w:r>
    </w:p>
    <w:p w14:paraId="287C27FD" w14:textId="77777777" w:rsidR="00BF40A8" w:rsidRDefault="00E161E7">
      <w:pPr>
        <w:spacing w:line="480" w:lineRule="auto"/>
        <w:ind w:firstLine="720"/>
        <w:rPr>
          <w:sz w:val="24"/>
          <w:szCs w:val="24"/>
        </w:rPr>
      </w:pPr>
      <w:r>
        <w:rPr>
          <w:sz w:val="24"/>
          <w:szCs w:val="24"/>
        </w:rPr>
        <w:t>In order to evaluate whether the dexamethasone-treated animals were insulin resistant, we treated the same lean and obese mice with insulin and monitored with blood glucose overtime. Insulin doses were given dependent on their lean mass composition to account for their difference in size between chow-fed and high-fat diet fed mice. In both NCD and HFD animals, dexamethasone induced insulin resistance (Figure 4b). This is consistent with prior research in which insulin-stimulated glucose-uptake is significantly reduced in lean and obese dexamethasone-treated muscles when compared to controls.</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commentRangeStart w:id="219"/>
      <w:r>
        <w:t>Discussion</w:t>
      </w:r>
      <w:commentRangeEnd w:id="219"/>
      <w:r w:rsidR="00496D03">
        <w:rPr>
          <w:rStyle w:val="CommentReference"/>
        </w:rPr>
        <w:commentReference w:id="219"/>
      </w:r>
    </w:p>
    <w:p w14:paraId="2EC28FA9" w14:textId="7FEB6537"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w:t>
      </w:r>
      <w:del w:id="220" w:author="Dave Bridges" w:date="2019-04-03T14:23:00Z">
        <w:r w:rsidR="00E54028" w:rsidDel="00E106D6">
          <w:rPr>
            <w:sz w:val="24"/>
            <w:szCs w:val="24"/>
          </w:rPr>
          <w:delText xml:space="preserve">significant </w:delText>
        </w:r>
      </w:del>
      <w:r w:rsidR="00E54028">
        <w:rPr>
          <w:sz w:val="24"/>
          <w:szCs w:val="24"/>
        </w:rPr>
        <w:t>insulin</w:t>
      </w:r>
      <w:ins w:id="221" w:author="Dave Bridges" w:date="2019-04-03T14:23:00Z">
        <w:r w:rsidR="00E106D6">
          <w:rPr>
            <w:sz w:val="24"/>
            <w:szCs w:val="24"/>
          </w:rPr>
          <w:t xml:space="preserve"> resistance</w:t>
        </w:r>
      </w:ins>
      <w:r w:rsidR="00E161E7">
        <w:rPr>
          <w:sz w:val="24"/>
          <w:szCs w:val="24"/>
        </w:rPr>
        <w:t xml:space="preserve">. </w:t>
      </w:r>
      <w:del w:id="222" w:author="Dave Bridges" w:date="2019-04-03T14:23:00Z">
        <w:r w:rsidR="00E161E7" w:rsidDel="00E106D6">
          <w:rPr>
            <w:sz w:val="24"/>
            <w:szCs w:val="24"/>
          </w:rPr>
          <w:delText>This is supported by that fact that m</w:delText>
        </w:r>
      </w:del>
      <w:ins w:id="223"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224" w:author="Dave Bridges" w:date="2019-04-03T14:24:00Z">
        <w:r w:rsidR="00E106D6">
          <w:rPr>
            <w:sz w:val="24"/>
            <w:szCs w:val="24"/>
          </w:rPr>
          <w:t xml:space="preserve"> </w:t>
        </w:r>
        <w:commentRangeStart w:id="225"/>
        <w:r w:rsidR="00E106D6">
          <w:rPr>
            <w:sz w:val="24"/>
            <w:szCs w:val="24"/>
          </w:rPr>
          <w:t>glucocorticoids</w:t>
        </w:r>
        <w:commentRangeEnd w:id="225"/>
        <w:r w:rsidR="00E106D6">
          <w:rPr>
            <w:rStyle w:val="CommentReference"/>
          </w:rPr>
          <w:commentReference w:id="225"/>
        </w:r>
        <w:r w:rsidR="00E106D6">
          <w:rPr>
            <w:sz w:val="24"/>
            <w:szCs w:val="24"/>
          </w:rPr>
          <w:t xml:space="preserve"> </w:t>
        </w:r>
      </w:ins>
      <w:del w:id="226" w:author="Dave Bridges" w:date="2019-04-03T14:24:00Z">
        <w:r w:rsidR="00E161E7" w:rsidDel="00E106D6">
          <w:rPr>
            <w:sz w:val="24"/>
            <w:szCs w:val="24"/>
          </w:rPr>
          <w:delText xml:space="preserve"> hormones</w:delText>
        </w:r>
      </w:del>
      <w:ins w:id="227" w:author="Dave Bridges" w:date="2019-03-30T11:30:00Z">
        <w:r>
          <w:rPr>
            <w:sz w:val="24"/>
            <w:szCs w:val="24"/>
          </w:rPr>
          <w:t>.</w:t>
        </w:r>
      </w:ins>
      <w:r w:rsidR="00E161E7">
        <w:rPr>
          <w:sz w:val="24"/>
          <w:szCs w:val="24"/>
        </w:rPr>
        <w:t xml:space="preserve"> </w:t>
      </w:r>
      <w:del w:id="228" w:author="Dave Bridges" w:date="2019-03-30T11:31:00Z">
        <w:r w:rsidR="00E161E7" w:rsidDel="00EC2233">
          <w:rPr>
            <w:sz w:val="24"/>
            <w:szCs w:val="24"/>
          </w:rPr>
          <w:delText xml:space="preserve">By evaluating the effects of glucocorticoids on muscles within obese animals, this may give us insights into reviewing muscle atrophy in humans afflicted with obesity. </w:delText>
        </w:r>
      </w:del>
      <w:r w:rsidR="00E161E7">
        <w:rPr>
          <w:sz w:val="24"/>
          <w:szCs w:val="24"/>
        </w:rPr>
        <w:t xml:space="preserve">This research could be particularly important because those </w:t>
      </w:r>
      <w:del w:id="229" w:author="Dave Bridges" w:date="2019-03-30T11:31:00Z">
        <w:r w:rsidR="00E161E7" w:rsidDel="00EC2233">
          <w:rPr>
            <w:sz w:val="24"/>
            <w:szCs w:val="24"/>
          </w:rPr>
          <w:delText xml:space="preserve">suffering </w:delText>
        </w:r>
      </w:del>
      <w:r w:rsidR="00E161E7">
        <w:rPr>
          <w:sz w:val="24"/>
          <w:szCs w:val="24"/>
        </w:rPr>
        <w:t xml:space="preserve">with obesity are </w:t>
      </w:r>
      <w:del w:id="230" w:author="Dave Bridges" w:date="2019-03-30T11:31:00Z">
        <w:r w:rsidR="00E161E7" w:rsidDel="00EC2233">
          <w:rPr>
            <w:sz w:val="24"/>
            <w:szCs w:val="24"/>
          </w:rPr>
          <w:delText xml:space="preserve">shown </w:delText>
        </w:r>
      </w:del>
      <w:r w:rsidR="00EC2233">
        <w:rPr>
          <w:sz w:val="24"/>
          <w:szCs w:val="24"/>
        </w:rPr>
        <w:t xml:space="preserve">more likely </w:t>
      </w:r>
      <w:r w:rsidR="00E161E7">
        <w:rPr>
          <w:sz w:val="24"/>
          <w:szCs w:val="24"/>
        </w:rPr>
        <w:t xml:space="preserve">to have reduced </w:t>
      </w:r>
      <w:commentRangeStart w:id="231"/>
      <w:r w:rsidR="00E161E7">
        <w:rPr>
          <w:sz w:val="24"/>
          <w:szCs w:val="24"/>
        </w:rPr>
        <w:t>muscle function</w:t>
      </w:r>
      <w:r w:rsidR="00E11584">
        <w:rPr>
          <w:sz w:val="24"/>
          <w:szCs w:val="24"/>
        </w:rPr>
        <w:t xml:space="preserve"> </w:t>
      </w:r>
      <w:r w:rsidR="00E161E7">
        <w:rPr>
          <w:sz w:val="24"/>
          <w:szCs w:val="24"/>
        </w:rPr>
        <w:t xml:space="preserve"> </w:t>
      </w:r>
      <w:commentRangeEnd w:id="231"/>
      <w:r w:rsidR="00EC2233">
        <w:rPr>
          <w:rStyle w:val="CommentReference"/>
        </w:rPr>
        <w:commentReference w:id="231"/>
      </w:r>
      <w:commentRangeStart w:id="232"/>
      <w:r w:rsidR="00E161E7">
        <w:rPr>
          <w:sz w:val="24"/>
          <w:szCs w:val="24"/>
        </w:rPr>
        <w:t>(</w:t>
      </w:r>
      <w:proofErr w:type="spellStart"/>
      <w:r w:rsidR="00E161E7">
        <w:rPr>
          <w:sz w:val="24"/>
          <w:szCs w:val="24"/>
        </w:rPr>
        <w:t>Maffiuletti</w:t>
      </w:r>
      <w:proofErr w:type="spellEnd"/>
      <w:r w:rsidR="00E161E7">
        <w:rPr>
          <w:sz w:val="24"/>
          <w:szCs w:val="24"/>
        </w:rPr>
        <w:t xml:space="preserve"> et al. 2007; Blimkie, Sale, and Bar-Or 1990; </w:t>
      </w:r>
      <w:proofErr w:type="spellStart"/>
      <w:r w:rsidR="00E161E7">
        <w:rPr>
          <w:sz w:val="24"/>
          <w:szCs w:val="24"/>
        </w:rPr>
        <w:t>Hulens</w:t>
      </w:r>
      <w:proofErr w:type="spellEnd"/>
      <w:r w:rsidR="00E161E7">
        <w:rPr>
          <w:sz w:val="24"/>
          <w:szCs w:val="24"/>
        </w:rPr>
        <w:t xml:space="preserve"> et al. 2001; </w:t>
      </w:r>
      <w:proofErr w:type="spellStart"/>
      <w:r w:rsidR="00E161E7">
        <w:rPr>
          <w:sz w:val="24"/>
          <w:szCs w:val="24"/>
        </w:rPr>
        <w:t>Zoico</w:t>
      </w:r>
      <w:proofErr w:type="spellEnd"/>
      <w:r w:rsidR="00E161E7">
        <w:rPr>
          <w:sz w:val="24"/>
          <w:szCs w:val="24"/>
        </w:rPr>
        <w:t xml:space="preserve"> et al. 2004)</w:t>
      </w:r>
      <w:ins w:id="233" w:author="Dave Bridges" w:date="2019-03-30T11:47:00Z">
        <w:r w:rsidR="00AF1EB2">
          <w:rPr>
            <w:sz w:val="24"/>
            <w:szCs w:val="24"/>
          </w:rPr>
          <w:t>.  Importantly people with obesity are also more likely to</w:t>
        </w:r>
      </w:ins>
      <w:ins w:id="234" w:author="Dave Bridges" w:date="2019-03-30T11:32:00Z">
        <w:r w:rsidR="00EC2233">
          <w:rPr>
            <w:sz w:val="24"/>
            <w:szCs w:val="24"/>
          </w:rPr>
          <w:t xml:space="preserve"> </w:t>
        </w:r>
      </w:ins>
      <w:ins w:id="235" w:author="Dave Bridges" w:date="2019-03-30T11:47:00Z">
        <w:r w:rsidR="00AF1EB2">
          <w:rPr>
            <w:sz w:val="24"/>
            <w:szCs w:val="24"/>
          </w:rPr>
          <w:t>have</w:t>
        </w:r>
      </w:ins>
      <w:ins w:id="236"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237" w:author="Dave Bridges" w:date="2019-03-30T11:33:00Z">
        <w:r w:rsidR="00AE6E44">
          <w:rPr>
            <w:sz w:val="24"/>
            <w:szCs w:val="24"/>
          </w:rPr>
          <w:fldChar w:fldCharType="begin" w:fldLock="1"/>
        </w:r>
      </w:ins>
      <w:r w:rsidR="00661656">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Axis","type":"article-journal"},"uris":["http://www.mendeley.com/documents/?uuid=67531df4-de24-4ad7-bb10-1443def35a76"]}],"mendeley":{"formattedCitation":"(9, 14)","plainTextFormattedCitation":"(9, 14)","previouslyFormattedCitation":"(8, 13)"},"properties":{"noteIndex":0},"schema":"https://github.com/citation-style-language/schema/raw/master/csl-citation.json"}</w:instrText>
      </w:r>
      <w:r w:rsidR="00AE6E44">
        <w:rPr>
          <w:sz w:val="24"/>
          <w:szCs w:val="24"/>
        </w:rPr>
        <w:fldChar w:fldCharType="separate"/>
      </w:r>
      <w:r w:rsidR="00661656" w:rsidRPr="00661656">
        <w:rPr>
          <w:noProof/>
          <w:sz w:val="24"/>
          <w:szCs w:val="24"/>
        </w:rPr>
        <w:t>(9, 14)</w:t>
      </w:r>
      <w:ins w:id="238" w:author="Dave Bridges" w:date="2019-03-30T11:33:00Z">
        <w:r w:rsidR="00AE6E44">
          <w:rPr>
            <w:sz w:val="24"/>
            <w:szCs w:val="24"/>
          </w:rPr>
          <w:fldChar w:fldCharType="end"/>
        </w:r>
      </w:ins>
      <w:r w:rsidR="00E161E7">
        <w:rPr>
          <w:sz w:val="24"/>
          <w:szCs w:val="24"/>
        </w:rPr>
        <w:t xml:space="preserve">. </w:t>
      </w:r>
      <w:commentRangeEnd w:id="232"/>
      <w:r w:rsidR="00E11584">
        <w:rPr>
          <w:rStyle w:val="CommentReference"/>
        </w:rPr>
        <w:commentReference w:id="232"/>
      </w:r>
    </w:p>
    <w:p w14:paraId="790E19F0" w14:textId="1CF9A925" w:rsidR="00BF40A8" w:rsidRDefault="00AF1EB2">
      <w:pPr>
        <w:spacing w:line="480" w:lineRule="auto"/>
        <w:ind w:firstLine="720"/>
        <w:rPr>
          <w:sz w:val="24"/>
          <w:szCs w:val="24"/>
        </w:rPr>
      </w:pPr>
      <w:r>
        <w:rPr>
          <w:sz w:val="24"/>
          <w:szCs w:val="24"/>
        </w:rPr>
        <w:t xml:space="preserve">We show, consistent with previous reports that glucocorticoid-dependent reductions are more dramatic </w:t>
      </w:r>
      <w:r w:rsidR="00E161E7">
        <w:rPr>
          <w:sz w:val="24"/>
          <w:szCs w:val="24"/>
        </w:rPr>
        <w:t xml:space="preserve">in type II muscle </w:t>
      </w:r>
      <w:commentRangeStart w:id="239"/>
      <w:r w:rsidR="00E161E7">
        <w:rPr>
          <w:sz w:val="24"/>
          <w:szCs w:val="24"/>
        </w:rPr>
        <w:t>fibers</w:t>
      </w:r>
      <w:commentRangeEnd w:id="239"/>
      <w:r w:rsidR="00691209">
        <w:rPr>
          <w:rStyle w:val="CommentReference"/>
        </w:rPr>
        <w:commentReference w:id="239"/>
      </w:r>
      <w:r w:rsidR="00691209">
        <w:rPr>
          <w:sz w:val="24"/>
          <w:szCs w:val="24"/>
        </w:rPr>
        <w:t xml:space="preserve"> </w:t>
      </w:r>
      <w:r w:rsidR="00A6530B">
        <w:rPr>
          <w:sz w:val="24"/>
          <w:szCs w:val="24"/>
        </w:rPr>
        <w:t>(</w:t>
      </w:r>
      <w:proofErr w:type="spellStart"/>
      <w:r w:rsidR="00231DC5">
        <w:rPr>
          <w:sz w:val="24"/>
          <w:szCs w:val="24"/>
        </w:rPr>
        <w:t>Falduto</w:t>
      </w:r>
      <w:proofErr w:type="spellEnd"/>
      <w:r w:rsidR="00231DC5">
        <w:rPr>
          <w:sz w:val="24"/>
          <w:szCs w:val="24"/>
        </w:rPr>
        <w:t xml:space="preserve"> et al., Rouleau et al., 1987)</w:t>
      </w:r>
      <w:r w:rsidR="00691209">
        <w:rPr>
          <w:sz w:val="24"/>
          <w:szCs w:val="24"/>
        </w:rPr>
        <w:t>.  In addition to steroid-induced atrophy, t</w:t>
      </w:r>
      <w:r w:rsidR="00E161E7">
        <w:rPr>
          <w:sz w:val="24"/>
          <w:szCs w:val="24"/>
        </w:rPr>
        <w:t xml:space="preserve">here are a variety of conditions and </w:t>
      </w:r>
      <w:r w:rsidR="00E161E7">
        <w:rPr>
          <w:sz w:val="24"/>
          <w:szCs w:val="24"/>
        </w:rPr>
        <w:lastRenderedPageBreak/>
        <w:t xml:space="preserve">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 mass </w:t>
      </w:r>
      <w:commentRangeStart w:id="240"/>
      <w:r w:rsidR="00E161E7">
        <w:rPr>
          <w:sz w:val="24"/>
          <w:szCs w:val="24"/>
        </w:rPr>
        <w:t xml:space="preserve">(Nicks et. al., 1989, Rouleau et al., 1987, Trappe et al., 2004). </w:t>
      </w:r>
      <w:commentRangeEnd w:id="240"/>
      <w:r w:rsidR="00E11584">
        <w:rPr>
          <w:rStyle w:val="CommentReference"/>
        </w:rPr>
        <w:commentReference w:id="240"/>
      </w:r>
      <w:r w:rsidR="00691209">
        <w:rPr>
          <w:sz w:val="24"/>
          <w:szCs w:val="24"/>
        </w:rPr>
        <w:t>While this targets a different fiber type, t</w:t>
      </w:r>
      <w:r w:rsidR="00E161E7">
        <w:rPr>
          <w:sz w:val="24"/>
          <w:szCs w:val="24"/>
        </w:rPr>
        <w:t xml:space="preserve">hese changes are consistent with our 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241"/>
      <w:r w:rsidR="00E161E7">
        <w:rPr>
          <w:sz w:val="24"/>
          <w:szCs w:val="24"/>
        </w:rPr>
        <w:t xml:space="preserve">Disuse atrophy has </w:t>
      </w:r>
      <w:r w:rsidR="003C0A5C">
        <w:rPr>
          <w:sz w:val="24"/>
          <w:szCs w:val="24"/>
        </w:rPr>
        <w:t xml:space="preserve">also </w:t>
      </w:r>
      <w:r w:rsidR="00E161E7">
        <w:rPr>
          <w:sz w:val="24"/>
          <w:szCs w:val="24"/>
        </w:rPr>
        <w:t xml:space="preserve">been shown to generate fiber plasticity where type I fibers or oxidative fibers take on characteristics of fast-twitch, non-oxidative fibers or change completely to type II </w:t>
      </w:r>
      <w:proofErr w:type="gramStart"/>
      <w:r w:rsidR="00E161E7">
        <w:rPr>
          <w:sz w:val="24"/>
          <w:szCs w:val="24"/>
        </w:rPr>
        <w:t>fibers</w:t>
      </w:r>
      <w:r w:rsidR="00E11584">
        <w:rPr>
          <w:sz w:val="24"/>
          <w:szCs w:val="24"/>
        </w:rPr>
        <w:t xml:space="preserve"> </w:t>
      </w:r>
      <w:r w:rsidR="00E161E7">
        <w:rPr>
          <w:sz w:val="24"/>
          <w:szCs w:val="24"/>
        </w:rPr>
        <w:t>.</w:t>
      </w:r>
      <w:proofErr w:type="gramEnd"/>
      <w:r w:rsidR="00E161E7">
        <w:rPr>
          <w:sz w:val="24"/>
          <w:szCs w:val="24"/>
        </w:rPr>
        <w:t xml:space="preserve"> </w:t>
      </w:r>
      <w:commentRangeStart w:id="242"/>
      <w:r w:rsidR="00E161E7">
        <w:rPr>
          <w:sz w:val="24"/>
          <w:szCs w:val="24"/>
        </w:rPr>
        <w:t>(</w:t>
      </w:r>
      <w:proofErr w:type="spellStart"/>
      <w:r w:rsidR="00E161E7">
        <w:rPr>
          <w:sz w:val="24"/>
          <w:szCs w:val="24"/>
        </w:rPr>
        <w:t>Debré</w:t>
      </w:r>
      <w:proofErr w:type="spellEnd"/>
      <w:r w:rsidR="00E161E7">
        <w:rPr>
          <w:sz w:val="24"/>
          <w:szCs w:val="24"/>
        </w:rPr>
        <w:t xml:space="preserve"> et al., 2016, Stevenson et al., 2003) </w:t>
      </w:r>
      <w:commentRangeEnd w:id="242"/>
      <w:r w:rsidR="00E11584">
        <w:rPr>
          <w:rStyle w:val="CommentReference"/>
        </w:rPr>
        <w:commentReference w:id="242"/>
      </w:r>
      <w:commentRangeEnd w:id="241"/>
      <w:r w:rsidR="003C0A5C">
        <w:rPr>
          <w:rStyle w:val="CommentReference"/>
        </w:rPr>
        <w:commentReference w:id="241"/>
      </w:r>
      <w:r w:rsidR="00E161E7">
        <w:rPr>
          <w:sz w:val="24"/>
          <w:szCs w:val="24"/>
        </w:rPr>
        <w:t xml:space="preserve">Even though we saw no change in fiber composition when treating animals with dexamethasone, </w:t>
      </w:r>
      <w:proofErr w:type="spellStart"/>
      <w:proofErr w:type="gramStart"/>
      <w:r w:rsidR="00C90803">
        <w:rPr>
          <w:sz w:val="24"/>
          <w:szCs w:val="24"/>
        </w:rPr>
        <w:t>a</w:t>
      </w:r>
      <w:r w:rsidR="00FE315D">
        <w:rPr>
          <w:sz w:val="24"/>
          <w:szCs w:val="24"/>
        </w:rPr>
        <w:t>n</w:t>
      </w:r>
      <w:r w:rsidR="00C90803">
        <w:rPr>
          <w:sz w:val="24"/>
          <w:szCs w:val="24"/>
        </w:rPr>
        <w:t xml:space="preserve"> other</w:t>
      </w:r>
      <w:proofErr w:type="spellEnd"/>
      <w:proofErr w:type="gramEnd"/>
      <w:r w:rsidR="00C90803">
        <w:rPr>
          <w:sz w:val="24"/>
          <w:szCs w:val="24"/>
        </w:rPr>
        <w:t xml:space="preserve">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Type 2 fibers in muscles </w:t>
      </w:r>
      <w:r w:rsidR="00C90803">
        <w:rPr>
          <w:sz w:val="24"/>
          <w:szCs w:val="24"/>
        </w:rPr>
        <w:t>in</w:t>
      </w:r>
      <w:r w:rsidR="00E161E7">
        <w:rPr>
          <w:sz w:val="24"/>
          <w:szCs w:val="24"/>
        </w:rPr>
        <w:t xml:space="preserve"> rats </w:t>
      </w:r>
      <w:commentRangeStart w:id="243"/>
      <w:r w:rsidR="00E161E7">
        <w:rPr>
          <w:sz w:val="24"/>
          <w:szCs w:val="24"/>
        </w:rPr>
        <w:t xml:space="preserve">(Ma et al., 2003). </w:t>
      </w:r>
      <w:commentRangeEnd w:id="243"/>
      <w:r w:rsidR="00E11584">
        <w:rPr>
          <w:rStyle w:val="CommentReference"/>
        </w:rPr>
        <w:commentReference w:id="243"/>
      </w:r>
      <w:r w:rsidR="00E161E7">
        <w:rPr>
          <w:sz w:val="24"/>
          <w:szCs w:val="24"/>
        </w:rPr>
        <w:t xml:space="preserve">This </w:t>
      </w:r>
      <w:r w:rsidR="00FC0967">
        <w:rPr>
          <w:sz w:val="24"/>
          <w:szCs w:val="24"/>
        </w:rPr>
        <w:t xml:space="preserve">discrepancy </w:t>
      </w:r>
      <w:r w:rsidR="00E161E7">
        <w:rPr>
          <w:sz w:val="24"/>
          <w:szCs w:val="24"/>
        </w:rPr>
        <w:t>could be due to quantity of dexamethasone provided to the animals; our dose which is consistent with human under constant stress or taking a high prescription dose</w:t>
      </w:r>
      <w:r w:rsidR="00FE315D">
        <w:rPr>
          <w:sz w:val="24"/>
          <w:szCs w:val="24"/>
        </w:rPr>
        <w:t xml:space="preserve">. The </w:t>
      </w:r>
      <w:proofErr w:type="spellStart"/>
      <w:r w:rsidR="00FE315D">
        <w:rPr>
          <w:sz w:val="24"/>
          <w:szCs w:val="24"/>
        </w:rPr>
        <w:t>discrepencey</w:t>
      </w:r>
      <w:proofErr w:type="spellEnd"/>
      <w:r w:rsidR="00FE315D">
        <w:rPr>
          <w:sz w:val="24"/>
          <w:szCs w:val="24"/>
        </w:rPr>
        <w:t xml:space="preserve"> could also be due to </w:t>
      </w:r>
      <w:r w:rsidR="00C90803">
        <w:rPr>
          <w:sz w:val="24"/>
          <w:szCs w:val="24"/>
        </w:rPr>
        <w:t>the</w:t>
      </w:r>
      <w:r w:rsidR="00FE315D">
        <w:rPr>
          <w:sz w:val="24"/>
          <w:szCs w:val="24"/>
        </w:rPr>
        <w:t xml:space="preserve"> </w:t>
      </w:r>
      <w:proofErr w:type="spellStart"/>
      <w:r w:rsidR="00FE315D">
        <w:rPr>
          <w:sz w:val="24"/>
          <w:szCs w:val="24"/>
        </w:rPr>
        <w:t>specifc</w:t>
      </w:r>
      <w:proofErr w:type="spellEnd"/>
      <w:r w:rsidR="00FE315D">
        <w:rPr>
          <w:sz w:val="24"/>
          <w:szCs w:val="24"/>
        </w:rPr>
        <w:t xml:space="preserve"> muscle chosen to test</w:t>
      </w:r>
      <w:r w:rsidR="00E161E7">
        <w:rPr>
          <w:sz w:val="24"/>
          <w:szCs w:val="24"/>
        </w:rPr>
        <w:t>.</w:t>
      </w:r>
    </w:p>
    <w:p w14:paraId="2D05FA55" w14:textId="6F714F28"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It is also important to note that glucocorticoids induce muscle atrophy in a muscle specific manner. Researchers often test on mouse hindlimb muscle because they are fairly large and accessible load bearing muscles. Specifically, type II fibers are more prone to the effect of glucocorticoids</w:t>
      </w:r>
      <w:r w:rsidR="00E11584" w:rsidRPr="00C90803">
        <w:rPr>
          <w:sz w:val="24"/>
          <w:szCs w:val="24"/>
        </w:rPr>
        <w:t xml:space="preserve"> </w:t>
      </w:r>
      <w:r w:rsidR="00E11584" w:rsidRPr="00C90803">
        <w:rPr>
          <w:sz w:val="24"/>
          <w:szCs w:val="24"/>
        </w:rPr>
        <w:fldChar w:fldCharType="begin" w:fldLock="1"/>
      </w:r>
      <w:r w:rsidR="00E11584" w:rsidRPr="00C9080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sidR="00E11584" w:rsidRPr="00E106D6">
        <w:rPr>
          <w:sz w:val="24"/>
          <w:szCs w:val="24"/>
        </w:rPr>
        <w:fldChar w:fldCharType="separate"/>
      </w:r>
      <w:r w:rsidR="00E11584" w:rsidRPr="00C90803">
        <w:rPr>
          <w:noProof/>
          <w:sz w:val="24"/>
          <w:szCs w:val="24"/>
        </w:rPr>
        <w:t>(1)</w:t>
      </w:r>
      <w:r w:rsidR="00E11584" w:rsidRPr="00C90803">
        <w:rPr>
          <w:sz w:val="24"/>
          <w:szCs w:val="24"/>
        </w:rPr>
        <w:fldChar w:fldCharType="end"/>
      </w:r>
      <w:r w:rsidRPr="00C90803">
        <w:rPr>
          <w:sz w:val="24"/>
          <w:szCs w:val="24"/>
        </w:rPr>
        <w:t xml:space="preserve"> </w:t>
      </w:r>
      <w:commentRangeStart w:id="244"/>
      <w:r w:rsidRPr="00C90803">
        <w:rPr>
          <w:sz w:val="24"/>
          <w:szCs w:val="24"/>
        </w:rPr>
        <w:t>(</w:t>
      </w:r>
      <w:proofErr w:type="spellStart"/>
      <w:r w:rsidRPr="00C90803">
        <w:rPr>
          <w:sz w:val="24"/>
          <w:szCs w:val="24"/>
        </w:rPr>
        <w:t>Falduto</w:t>
      </w:r>
      <w:proofErr w:type="spellEnd"/>
      <w:r w:rsidRPr="00C90803">
        <w:rPr>
          <w:sz w:val="24"/>
          <w:szCs w:val="24"/>
        </w:rPr>
        <w:t xml:space="preserve"> et al., 1990, Kelly and </w:t>
      </w:r>
      <w:proofErr w:type="spellStart"/>
      <w:r w:rsidRPr="00C90803">
        <w:rPr>
          <w:sz w:val="24"/>
          <w:szCs w:val="24"/>
        </w:rPr>
        <w:t>Goldspink</w:t>
      </w:r>
      <w:proofErr w:type="spellEnd"/>
      <w:r w:rsidRPr="00C90803">
        <w:rPr>
          <w:sz w:val="24"/>
          <w:szCs w:val="24"/>
        </w:rPr>
        <w:t>, 1982, Livingstone et al., 1981)</w:t>
      </w:r>
      <w:commentRangeEnd w:id="244"/>
      <w:r w:rsidR="00E11584" w:rsidRPr="00E106D6">
        <w:rPr>
          <w:rStyle w:val="CommentReference"/>
          <w:sz w:val="24"/>
          <w:szCs w:val="24"/>
        </w:rPr>
        <w:commentReference w:id="244"/>
      </w:r>
      <w:r w:rsidRPr="00C90803">
        <w:rPr>
          <w:sz w:val="24"/>
          <w:szCs w:val="24"/>
        </w:rPr>
        <w:t xml:space="preserve">, 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w:t>
      </w:r>
      <w:r w:rsidRPr="00C90803">
        <w:rPr>
          <w:sz w:val="24"/>
          <w:szCs w:val="24"/>
        </w:rPr>
        <w:lastRenderedPageBreak/>
        <w:t xml:space="preserve">fiber composition </w:t>
      </w:r>
      <w:r w:rsidR="00E11584" w:rsidRPr="00C90803">
        <w:rPr>
          <w:sz w:val="24"/>
          <w:szCs w:val="24"/>
        </w:rPr>
        <w:fldChar w:fldCharType="begin" w:fldLock="1"/>
      </w:r>
      <w:r w:rsidR="00661656">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E11584" w:rsidRPr="00E106D6">
        <w:rPr>
          <w:sz w:val="24"/>
          <w:szCs w:val="24"/>
        </w:rPr>
        <w:fldChar w:fldCharType="separate"/>
      </w:r>
      <w:r w:rsidR="00661656" w:rsidRPr="00661656">
        <w:rPr>
          <w:noProof/>
          <w:sz w:val="24"/>
          <w:szCs w:val="24"/>
        </w:rPr>
        <w:t>(10)</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w:t>
      </w:r>
      <w:proofErr w:type="gramStart"/>
      <w:r w:rsidR="001329A4" w:rsidRPr="00C90803">
        <w:rPr>
          <w:color w:val="000000"/>
          <w:sz w:val="24"/>
          <w:szCs w:val="24"/>
          <w:lang w:val="en-US"/>
        </w:rPr>
        <w:t xml:space="preserve">composition </w:t>
      </w:r>
      <w:r w:rsidRPr="00C90803">
        <w:rPr>
          <w:sz w:val="24"/>
          <w:szCs w:val="24"/>
          <w:highlight w:val="white"/>
        </w:rPr>
        <w:t xml:space="preserve"> </w:t>
      </w:r>
      <w:commentRangeStart w:id="245"/>
      <w:r w:rsidRPr="00C90803">
        <w:rPr>
          <w:sz w:val="24"/>
          <w:szCs w:val="24"/>
          <w:highlight w:val="white"/>
        </w:rPr>
        <w:t>(</w:t>
      </w:r>
      <w:proofErr w:type="spellStart"/>
      <w:proofErr w:type="gramEnd"/>
      <w:r w:rsidRPr="00C90803">
        <w:rPr>
          <w:sz w:val="24"/>
          <w:szCs w:val="24"/>
          <w:highlight w:val="white"/>
        </w:rPr>
        <w:t>Mänttäri</w:t>
      </w:r>
      <w:proofErr w:type="spellEnd"/>
      <w:r w:rsidRPr="00C90803">
        <w:rPr>
          <w:sz w:val="24"/>
          <w:szCs w:val="24"/>
          <w:highlight w:val="white"/>
        </w:rPr>
        <w:t xml:space="preserve"> et al., 2005)</w:t>
      </w:r>
      <w:commentRangeEnd w:id="245"/>
      <w:r w:rsidR="00E11584" w:rsidRPr="00C90803">
        <w:rPr>
          <w:rStyle w:val="CommentReference"/>
          <w:sz w:val="24"/>
          <w:szCs w:val="24"/>
        </w:rPr>
        <w:commentReference w:id="245"/>
      </w:r>
      <w:r w:rsidR="00BC4EEE" w:rsidRPr="00C90803">
        <w:rPr>
          <w:sz w:val="24"/>
          <w:szCs w:val="24"/>
          <w:highlight w:val="white"/>
        </w:rPr>
        <w:t>.</w:t>
      </w:r>
      <w:r w:rsidR="00FC0967" w:rsidRPr="00C90803">
        <w:rPr>
          <w:sz w:val="24"/>
          <w:szCs w:val="24"/>
          <w:highlight w:val="white"/>
        </w:rPr>
        <w:t xml:space="preserve"> 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7F0E8B03"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commentRangeStart w:id="246"/>
      <w:r w:rsidR="007E48CF" w:rsidRPr="00FE315D">
        <w:rPr>
          <w:color w:val="333333"/>
          <w:sz w:val="24"/>
          <w:szCs w:val="24"/>
        </w:rPr>
        <w:t xml:space="preserve">A third </w:t>
      </w:r>
      <w:r w:rsidR="00E161E7" w:rsidRPr="00FE315D">
        <w:rPr>
          <w:color w:val="333333"/>
          <w:sz w:val="24"/>
          <w:szCs w:val="24"/>
        </w:rPr>
        <w:t>possible theory is that glucocorticoids increase sensitivity to pro-inflammatory cytokines and separately glucocorticoids and excess adiposity exacerbate levels of these cytokines circulating in the body and act upon skeletal muscle</w:t>
      </w:r>
      <w:r w:rsidR="00E161E7" w:rsidRPr="00B708D2">
        <w:rPr>
          <w:color w:val="333333"/>
          <w:sz w:val="24"/>
          <w:szCs w:val="24"/>
        </w:rPr>
        <w:t xml:space="preserve">.  </w:t>
      </w:r>
      <w:commentRangeEnd w:id="246"/>
      <w:r w:rsidR="007E48CF" w:rsidRPr="00D60A58">
        <w:rPr>
          <w:rStyle w:val="CommentReference"/>
          <w:sz w:val="24"/>
          <w:szCs w:val="24"/>
        </w:rPr>
        <w:commentReference w:id="246"/>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B708D2">
        <w:rPr>
          <w:color w:val="333333"/>
          <w:sz w:val="24"/>
          <w:szCs w:val="24"/>
          <w:highlight w:val="white"/>
        </w:rPr>
        <w:t xml:space="preserve">tumor necrosis factor </w:t>
      </w:r>
      <w:proofErr w:type="gramStart"/>
      <w:r w:rsidR="00B708D2">
        <w:rPr>
          <w:color w:val="333333"/>
          <w:sz w:val="24"/>
          <w:szCs w:val="24"/>
          <w:highlight w:val="white"/>
        </w:rPr>
        <w:t>alpha(</w:t>
      </w:r>
      <w:proofErr w:type="spellStart"/>
      <w:proofErr w:type="gramEnd"/>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has been shown to directly act on muscle cells to induce protein degradation in C2C12 myotubes</w:t>
      </w:r>
      <w:r w:rsidR="00B708D2">
        <w:rPr>
          <w:color w:val="1A1718"/>
          <w:sz w:val="26"/>
          <w:szCs w:val="26"/>
          <w:lang w:val="en-US"/>
        </w:rPr>
        <w:t>(Lee and Reid 2000)</w:t>
      </w:r>
      <w:r w:rsidR="00E628D8" w:rsidRPr="00D60A58">
        <w:rPr>
          <w:color w:val="1A1718"/>
          <w:sz w:val="26"/>
          <w:szCs w:val="26"/>
          <w:lang w:val="en-US"/>
        </w:rPr>
        <w:t xml:space="preserve">. </w:t>
      </w:r>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commentRangeStart w:id="247"/>
      <w:r w:rsidR="00E628D8" w:rsidRPr="00E628D8">
        <w:rPr>
          <w:color w:val="333333"/>
          <w:sz w:val="24"/>
          <w:szCs w:val="24"/>
          <w:highlight w:val="white"/>
        </w:rPr>
        <w:t xml:space="preserve">and </w:t>
      </w:r>
      <w:r w:rsidR="00FE315D">
        <w:rPr>
          <w:color w:val="333333"/>
          <w:sz w:val="24"/>
          <w:szCs w:val="24"/>
          <w:highlight w:val="white"/>
        </w:rPr>
        <w:t>obesity</w:t>
      </w:r>
      <w:r w:rsidR="00E628D8" w:rsidRPr="00E628D8">
        <w:rPr>
          <w:color w:val="333333"/>
          <w:sz w:val="24"/>
          <w:szCs w:val="24"/>
          <w:highlight w:val="white"/>
        </w:rPr>
        <w:t xml:space="preserve"> </w:t>
      </w:r>
      <w:commentRangeEnd w:id="247"/>
      <w:r w:rsidR="00E628D8" w:rsidRPr="00E628D8">
        <w:rPr>
          <w:rStyle w:val="CommentReference"/>
        </w:rPr>
        <w:commentReference w:id="247"/>
      </w:r>
      <w:r w:rsidR="00E628D8" w:rsidRPr="00E628D8">
        <w:rPr>
          <w:color w:val="333333"/>
          <w:sz w:val="24"/>
          <w:szCs w:val="24"/>
          <w:highlight w:val="white"/>
        </w:rPr>
        <w:t>c</w:t>
      </w:r>
      <w:r w:rsidR="00E628D8" w:rsidRPr="00FE315D">
        <w:rPr>
          <w:color w:val="333333"/>
          <w:sz w:val="24"/>
          <w:szCs w:val="24"/>
          <w:highlight w:val="white"/>
        </w:rPr>
        <w:t>ould coregulate genes associated with atrophy and make muscle more susceptible to breakdown</w:t>
      </w:r>
      <w:r w:rsidR="00E628D8">
        <w:rPr>
          <w:color w:val="333333"/>
          <w:sz w:val="24"/>
          <w:szCs w:val="24"/>
          <w:highlight w:val="white"/>
        </w:rPr>
        <w:t xml:space="preserve">.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 </w:t>
      </w:r>
      <w:proofErr w:type="gramStart"/>
      <w:r w:rsidR="00FE315D">
        <w:rPr>
          <w:color w:val="333333"/>
          <w:sz w:val="24"/>
          <w:szCs w:val="24"/>
          <w:highlight w:val="white"/>
        </w:rPr>
        <w:t xml:space="preserve">and </w:t>
      </w:r>
      <w:r w:rsidR="00E161E7">
        <w:rPr>
          <w:color w:val="333333"/>
          <w:sz w:val="24"/>
          <w:szCs w:val="24"/>
          <w:highlight w:val="white"/>
        </w:rPr>
        <w:t xml:space="preserve"> </w:t>
      </w:r>
      <w:r w:rsidR="00B708D2">
        <w:rPr>
          <w:color w:val="333333"/>
          <w:sz w:val="24"/>
          <w:szCs w:val="24"/>
          <w:highlight w:val="white"/>
        </w:rPr>
        <w:t>a</w:t>
      </w:r>
      <w:proofErr w:type="gramEnd"/>
      <w:r w:rsidR="00B708D2">
        <w:rPr>
          <w:color w:val="333333"/>
          <w:sz w:val="24"/>
          <w:szCs w:val="24"/>
          <w:highlight w:val="white"/>
        </w:rPr>
        <w:t xml:space="preserve"> </w:t>
      </w:r>
      <w:r w:rsidR="00E161E7">
        <w:rPr>
          <w:color w:val="333333"/>
          <w:sz w:val="24"/>
          <w:szCs w:val="24"/>
          <w:highlight w:val="white"/>
        </w:rPr>
        <w:t>lowered threshold for release of pro-inflammatory cytokines.</w:t>
      </w:r>
      <w:commentRangeStart w:id="248"/>
      <w:r w:rsidR="00E161E7">
        <w:rPr>
          <w:color w:val="333333"/>
          <w:sz w:val="24"/>
          <w:szCs w:val="24"/>
          <w:highlight w:val="white"/>
        </w:rPr>
        <w:t xml:space="preserve"> (</w:t>
      </w:r>
      <w:proofErr w:type="spellStart"/>
      <w:r w:rsidR="00E161E7">
        <w:rPr>
          <w:color w:val="333333"/>
          <w:sz w:val="24"/>
          <w:szCs w:val="24"/>
          <w:highlight w:val="white"/>
        </w:rPr>
        <w:t>Dey</w:t>
      </w:r>
      <w:proofErr w:type="spellEnd"/>
      <w:r w:rsidR="00E161E7">
        <w:rPr>
          <w:color w:val="333333"/>
          <w:sz w:val="24"/>
          <w:szCs w:val="24"/>
          <w:highlight w:val="white"/>
        </w:rPr>
        <w:t xml:space="preserve"> at al. 2014) </w:t>
      </w:r>
      <w:commentRangeEnd w:id="248"/>
      <w:r w:rsidR="00E11584">
        <w:rPr>
          <w:rStyle w:val="CommentReference"/>
        </w:rPr>
        <w:commentReference w:id="248"/>
      </w:r>
      <w:r w:rsidR="00E161E7">
        <w:rPr>
          <w:color w:val="333333"/>
          <w:sz w:val="24"/>
          <w:szCs w:val="24"/>
          <w:highlight w:val="white"/>
        </w:rPr>
        <w:t xml:space="preserve"> </w:t>
      </w:r>
    </w:p>
    <w:p w14:paraId="770F5A02" w14:textId="22FD0945" w:rsidR="00FE315D" w:rsidRDefault="00FE315D" w:rsidP="00D60A58">
      <w:pPr>
        <w:spacing w:line="480" w:lineRule="auto"/>
        <w:ind w:firstLine="720"/>
        <w:rPr>
          <w:color w:val="333333"/>
          <w:sz w:val="24"/>
          <w:szCs w:val="24"/>
          <w:highlight w:val="white"/>
        </w:rPr>
      </w:pPr>
      <w:r>
        <w:rPr>
          <w:color w:val="333333"/>
          <w:sz w:val="24"/>
          <w:szCs w:val="24"/>
          <w:highlight w:val="white"/>
        </w:rPr>
        <w:lastRenderedPageBreak/>
        <w:t>Lastly there are deleterious health effects associated with loss of skeletal muscle.</w:t>
      </w:r>
    </w:p>
    <w:p w14:paraId="7A6E10FE" w14:textId="77777777" w:rsidR="00E54028" w:rsidRDefault="00E54028">
      <w:pPr>
        <w:spacing w:line="480" w:lineRule="auto"/>
        <w:ind w:firstLine="720"/>
        <w:rPr>
          <w:color w:val="333333"/>
          <w:sz w:val="24"/>
          <w:szCs w:val="24"/>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01284DB7" w:rsidR="005B3CA8" w:rsidRPr="005B3CA8" w:rsidRDefault="00DA6F60" w:rsidP="005B3CA8">
      <w:pPr>
        <w:spacing w:line="480" w:lineRule="auto"/>
        <w:rPr>
          <w:highlight w:val="white"/>
          <w:lang w:val="en-US"/>
        </w:rPr>
      </w:pPr>
      <w:r>
        <w:rPr>
          <w:highlight w:val="white"/>
        </w:rPr>
        <w:t xml:space="preserve">This work was supported by </w:t>
      </w:r>
      <w:commentRangeStart w:id="249"/>
      <w:r>
        <w:rPr>
          <w:highlight w:val="white"/>
        </w:rPr>
        <w:t>XX</w:t>
      </w:r>
      <w:r w:rsidR="005B3CA8">
        <w:rPr>
          <w:highlight w:val="white"/>
        </w:rPr>
        <w:t>X</w:t>
      </w:r>
      <w:commentRangeEnd w:id="249"/>
      <w:r w:rsidR="005B3CA8">
        <w:rPr>
          <w:rStyle w:val="CommentReference"/>
        </w:rPr>
        <w:commentReference w:id="249"/>
      </w:r>
      <w:r w:rsidR="005B3CA8">
        <w:rPr>
          <w:highlight w:val="white"/>
        </w:rPr>
        <w:t>, R01DK017535, a pilot and feasibility grant from the Michigan Diabetes Research Center (</w:t>
      </w:r>
      <w:r w:rsidR="005B3CA8" w:rsidRPr="005B3CA8">
        <w:rPr>
          <w:highlight w:val="white"/>
          <w:lang w:val="en-US"/>
        </w:rPr>
        <w:t>P30DK020572</w:t>
      </w:r>
      <w:r w:rsidR="005B3CA8">
        <w:rPr>
          <w:highlight w:val="white"/>
          <w:lang w:val="en-US"/>
        </w:rPr>
        <w:t xml:space="preserve">) and the Functional Assessment Core of the </w:t>
      </w:r>
      <w:r w:rsidR="005B3CA8" w:rsidRPr="005B3CA8">
        <w:rPr>
          <w:highlight w:val="white"/>
          <w:lang w:val="en-US"/>
        </w:rPr>
        <w:t>Michigan Integrative Musculoskeletal Health Core Center</w:t>
      </w:r>
      <w:r w:rsidR="005B3CA8">
        <w:rPr>
          <w:highlight w:val="white"/>
          <w:lang w:val="en-US"/>
        </w:rPr>
        <w:t xml:space="preserve"> (</w:t>
      </w:r>
      <w:commentRangeStart w:id="250"/>
      <w:r w:rsidR="005B3CA8" w:rsidRPr="005B3CA8">
        <w:rPr>
          <w:highlight w:val="white"/>
          <w:lang w:val="en-US"/>
        </w:rPr>
        <w:t>P30AR069620</w:t>
      </w:r>
      <w:commentRangeEnd w:id="250"/>
      <w:r w:rsidR="005B3CA8">
        <w:rPr>
          <w:rStyle w:val="CommentReference"/>
        </w:rPr>
        <w:commentReference w:id="250"/>
      </w:r>
      <w:r w:rsidR="005B3CA8">
        <w:rPr>
          <w:highlight w:val="white"/>
          <w:lang w:val="en-US"/>
        </w:rPr>
        <w:t>).</w:t>
      </w:r>
    </w:p>
    <w:p w14:paraId="7F7E317E" w14:textId="0C100646" w:rsidR="005B3CA8" w:rsidRPr="005B3CA8" w:rsidRDefault="005B3CA8" w:rsidP="00E106D6">
      <w:pPr>
        <w:spacing w:line="480" w:lineRule="auto"/>
        <w:rPr>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commentRangeStart w:id="251"/>
      <w:r>
        <w:rPr>
          <w:highlight w:val="white"/>
        </w:rPr>
        <w:t>Acknowledgements</w:t>
      </w:r>
      <w:commentRangeEnd w:id="251"/>
      <w:r>
        <w:rPr>
          <w:rStyle w:val="CommentReference"/>
        </w:rPr>
        <w:commentReference w:id="251"/>
      </w: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F1E47E4" w14:textId="2D9FC9F8" w:rsidR="00661656" w:rsidRPr="00661656" w:rsidRDefault="002A4533" w:rsidP="00661656">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661656" w:rsidRPr="00661656">
        <w:rPr>
          <w:noProof/>
          <w:sz w:val="24"/>
        </w:rPr>
        <w:t xml:space="preserve">1. </w:t>
      </w:r>
      <w:r w:rsidR="00661656" w:rsidRPr="00661656">
        <w:rPr>
          <w:noProof/>
          <w:sz w:val="24"/>
        </w:rPr>
        <w:tab/>
      </w:r>
      <w:r w:rsidR="00661656" w:rsidRPr="00661656">
        <w:rPr>
          <w:b/>
          <w:bCs/>
          <w:noProof/>
          <w:sz w:val="24"/>
        </w:rPr>
        <w:t>Falduto MT</w:t>
      </w:r>
      <w:r w:rsidR="00661656" w:rsidRPr="00661656">
        <w:rPr>
          <w:noProof/>
          <w:sz w:val="24"/>
        </w:rPr>
        <w:t xml:space="preserve">, </w:t>
      </w:r>
      <w:r w:rsidR="00661656" w:rsidRPr="00661656">
        <w:rPr>
          <w:b/>
          <w:bCs/>
          <w:noProof/>
          <w:sz w:val="24"/>
        </w:rPr>
        <w:t>Czerwinski SM</w:t>
      </w:r>
      <w:r w:rsidR="00661656" w:rsidRPr="00661656">
        <w:rPr>
          <w:noProof/>
          <w:sz w:val="24"/>
        </w:rPr>
        <w:t xml:space="preserve">, </w:t>
      </w:r>
      <w:r w:rsidR="00661656" w:rsidRPr="00661656">
        <w:rPr>
          <w:b/>
          <w:bCs/>
          <w:noProof/>
          <w:sz w:val="24"/>
        </w:rPr>
        <w:t>Hickson RC</w:t>
      </w:r>
      <w:r w:rsidR="00661656" w:rsidRPr="00661656">
        <w:rPr>
          <w:noProof/>
          <w:sz w:val="24"/>
        </w:rPr>
        <w:t xml:space="preserve">. Glucocorticoid-induced muscle atrophy prevention by exercise in fast-twitch fibers. </w:t>
      </w:r>
      <w:r w:rsidR="00661656" w:rsidRPr="00661656">
        <w:rPr>
          <w:i/>
          <w:iCs/>
          <w:noProof/>
          <w:sz w:val="24"/>
        </w:rPr>
        <w:t>J Appl Physiol</w:t>
      </w:r>
      <w:r w:rsidR="00661656" w:rsidRPr="00661656">
        <w:rPr>
          <w:noProof/>
          <w:sz w:val="24"/>
        </w:rPr>
        <w:t xml:space="preserve"> 69: 1058–1062, 2017.</w:t>
      </w:r>
    </w:p>
    <w:p w14:paraId="17B8AA81"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2. </w:t>
      </w:r>
      <w:r w:rsidRPr="00661656">
        <w:rPr>
          <w:noProof/>
          <w:sz w:val="24"/>
        </w:rPr>
        <w:tab/>
      </w:r>
      <w:r w:rsidRPr="00661656">
        <w:rPr>
          <w:b/>
          <w:bCs/>
          <w:noProof/>
          <w:sz w:val="24"/>
        </w:rPr>
        <w:t>Flegal KM</w:t>
      </w:r>
      <w:r w:rsidRPr="00661656">
        <w:rPr>
          <w:noProof/>
          <w:sz w:val="24"/>
        </w:rPr>
        <w:t xml:space="preserve">, </w:t>
      </w:r>
      <w:r w:rsidRPr="00661656">
        <w:rPr>
          <w:b/>
          <w:bCs/>
          <w:noProof/>
          <w:sz w:val="24"/>
        </w:rPr>
        <w:t>Kruszon-Moran D</w:t>
      </w:r>
      <w:r w:rsidRPr="00661656">
        <w:rPr>
          <w:noProof/>
          <w:sz w:val="24"/>
        </w:rPr>
        <w:t xml:space="preserve">, </w:t>
      </w:r>
      <w:r w:rsidRPr="00661656">
        <w:rPr>
          <w:b/>
          <w:bCs/>
          <w:noProof/>
          <w:sz w:val="24"/>
        </w:rPr>
        <w:t>Carroll MD</w:t>
      </w:r>
      <w:r w:rsidRPr="00661656">
        <w:rPr>
          <w:noProof/>
          <w:sz w:val="24"/>
        </w:rPr>
        <w:t xml:space="preserve">, </w:t>
      </w:r>
      <w:r w:rsidRPr="00661656">
        <w:rPr>
          <w:b/>
          <w:bCs/>
          <w:noProof/>
          <w:sz w:val="24"/>
        </w:rPr>
        <w:t>Fryar CD</w:t>
      </w:r>
      <w:r w:rsidRPr="00661656">
        <w:rPr>
          <w:noProof/>
          <w:sz w:val="24"/>
        </w:rPr>
        <w:t xml:space="preserve">, </w:t>
      </w:r>
      <w:r w:rsidRPr="00661656">
        <w:rPr>
          <w:b/>
          <w:bCs/>
          <w:noProof/>
          <w:sz w:val="24"/>
        </w:rPr>
        <w:t>Ogden CL</w:t>
      </w:r>
      <w:r w:rsidRPr="00661656">
        <w:rPr>
          <w:noProof/>
          <w:sz w:val="24"/>
        </w:rPr>
        <w:t xml:space="preserve">. Trends in Obesity Among Adults in the United States, 2005 to 2014. </w:t>
      </w:r>
      <w:r w:rsidRPr="00661656">
        <w:rPr>
          <w:i/>
          <w:iCs/>
          <w:noProof/>
          <w:sz w:val="24"/>
        </w:rPr>
        <w:t>JAMA</w:t>
      </w:r>
      <w:r w:rsidRPr="00661656">
        <w:rPr>
          <w:noProof/>
          <w:sz w:val="24"/>
        </w:rPr>
        <w:t xml:space="preserve"> 315: 2284, 2016.</w:t>
      </w:r>
    </w:p>
    <w:p w14:paraId="2271E4F1"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3. </w:t>
      </w:r>
      <w:r w:rsidRPr="00661656">
        <w:rPr>
          <w:noProof/>
          <w:sz w:val="24"/>
        </w:rPr>
        <w:tab/>
      </w:r>
      <w:r w:rsidRPr="00661656">
        <w:rPr>
          <w:b/>
          <w:bCs/>
          <w:noProof/>
          <w:sz w:val="24"/>
        </w:rPr>
        <w:t>Harvey I</w:t>
      </w:r>
      <w:r w:rsidRPr="00661656">
        <w:rPr>
          <w:noProof/>
          <w:sz w:val="24"/>
        </w:rPr>
        <w:t xml:space="preserve">, </w:t>
      </w:r>
      <w:r w:rsidRPr="00661656">
        <w:rPr>
          <w:b/>
          <w:bCs/>
          <w:noProof/>
          <w:sz w:val="24"/>
        </w:rPr>
        <w:t>Stephenson EJEJ</w:t>
      </w:r>
      <w:r w:rsidRPr="00661656">
        <w:rPr>
          <w:noProof/>
          <w:sz w:val="24"/>
        </w:rPr>
        <w:t xml:space="preserve">, </w:t>
      </w:r>
      <w:r w:rsidRPr="00661656">
        <w:rPr>
          <w:b/>
          <w:bCs/>
          <w:noProof/>
          <w:sz w:val="24"/>
        </w:rPr>
        <w:t>Redd JRJR</w:t>
      </w:r>
      <w:r w:rsidRPr="00661656">
        <w:rPr>
          <w:noProof/>
          <w:sz w:val="24"/>
        </w:rPr>
        <w:t xml:space="preserve">, </w:t>
      </w:r>
      <w:r w:rsidRPr="00661656">
        <w:rPr>
          <w:b/>
          <w:bCs/>
          <w:noProof/>
          <w:sz w:val="24"/>
        </w:rPr>
        <w:t>Tran QT</w:t>
      </w:r>
      <w:r w:rsidRPr="00661656">
        <w:rPr>
          <w:noProof/>
          <w:sz w:val="24"/>
        </w:rPr>
        <w:t xml:space="preserve">, </w:t>
      </w:r>
      <w:r w:rsidRPr="00661656">
        <w:rPr>
          <w:b/>
          <w:bCs/>
          <w:noProof/>
          <w:sz w:val="24"/>
        </w:rPr>
        <w:t>Hochberg I</w:t>
      </w:r>
      <w:r w:rsidRPr="00661656">
        <w:rPr>
          <w:noProof/>
          <w:sz w:val="24"/>
        </w:rPr>
        <w:t xml:space="preserve">, </w:t>
      </w:r>
      <w:r w:rsidRPr="00661656">
        <w:rPr>
          <w:b/>
          <w:bCs/>
          <w:noProof/>
          <w:sz w:val="24"/>
        </w:rPr>
        <w:t>Qi N</w:t>
      </w:r>
      <w:r w:rsidRPr="00661656">
        <w:rPr>
          <w:noProof/>
          <w:sz w:val="24"/>
        </w:rPr>
        <w:t xml:space="preserve">, </w:t>
      </w:r>
      <w:r w:rsidRPr="00661656">
        <w:rPr>
          <w:b/>
          <w:bCs/>
          <w:noProof/>
          <w:sz w:val="24"/>
        </w:rPr>
        <w:t>Bridges D</w:t>
      </w:r>
      <w:r w:rsidRPr="00661656">
        <w:rPr>
          <w:noProof/>
          <w:sz w:val="24"/>
        </w:rPr>
        <w:t xml:space="preserve">. Glucocorticoid-Induced Metabolic Disturbances are Exacerbated in Obese Male Mice. </w:t>
      </w:r>
      <w:r w:rsidRPr="00661656">
        <w:rPr>
          <w:i/>
          <w:iCs/>
          <w:noProof/>
          <w:sz w:val="24"/>
        </w:rPr>
        <w:t>Endocrinology</w:t>
      </w:r>
      <w:r w:rsidRPr="00661656">
        <w:rPr>
          <w:noProof/>
          <w:sz w:val="24"/>
        </w:rPr>
        <w:t xml:space="preserve"> 159: 2275–2287, 2018.</w:t>
      </w:r>
    </w:p>
    <w:p w14:paraId="0668AF5F"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lastRenderedPageBreak/>
        <w:t xml:space="preserve">4. </w:t>
      </w:r>
      <w:r w:rsidRPr="00661656">
        <w:rPr>
          <w:noProof/>
          <w:sz w:val="24"/>
        </w:rPr>
        <w:tab/>
      </w:r>
      <w:r w:rsidRPr="00661656">
        <w:rPr>
          <w:b/>
          <w:bCs/>
          <w:noProof/>
          <w:sz w:val="24"/>
        </w:rPr>
        <w:t>Hochberg I</w:t>
      </w:r>
      <w:r w:rsidRPr="00661656">
        <w:rPr>
          <w:noProof/>
          <w:sz w:val="24"/>
        </w:rPr>
        <w:t xml:space="preserve">, </w:t>
      </w:r>
      <w:r w:rsidRPr="00661656">
        <w:rPr>
          <w:b/>
          <w:bCs/>
          <w:noProof/>
          <w:sz w:val="24"/>
        </w:rPr>
        <w:t>Harvey I</w:t>
      </w:r>
      <w:r w:rsidRPr="00661656">
        <w:rPr>
          <w:noProof/>
          <w:sz w:val="24"/>
        </w:rPr>
        <w:t xml:space="preserve">, </w:t>
      </w:r>
      <w:r w:rsidRPr="00661656">
        <w:rPr>
          <w:b/>
          <w:bCs/>
          <w:noProof/>
          <w:sz w:val="24"/>
        </w:rPr>
        <w:t>Tran QT</w:t>
      </w:r>
      <w:r w:rsidRPr="00661656">
        <w:rPr>
          <w:noProof/>
          <w:sz w:val="24"/>
        </w:rPr>
        <w:t xml:space="preserve">, </w:t>
      </w:r>
      <w:r w:rsidRPr="00661656">
        <w:rPr>
          <w:b/>
          <w:bCs/>
          <w:noProof/>
          <w:sz w:val="24"/>
        </w:rPr>
        <w:t>Stephenson EJ</w:t>
      </w:r>
      <w:r w:rsidRPr="00661656">
        <w:rPr>
          <w:noProof/>
          <w:sz w:val="24"/>
        </w:rPr>
        <w:t xml:space="preserve">, </w:t>
      </w:r>
      <w:r w:rsidRPr="00661656">
        <w:rPr>
          <w:b/>
          <w:bCs/>
          <w:noProof/>
          <w:sz w:val="24"/>
        </w:rPr>
        <w:t>Barkan AL</w:t>
      </w:r>
      <w:r w:rsidRPr="00661656">
        <w:rPr>
          <w:noProof/>
          <w:sz w:val="24"/>
        </w:rPr>
        <w:t xml:space="preserve">, </w:t>
      </w:r>
      <w:r w:rsidRPr="00661656">
        <w:rPr>
          <w:b/>
          <w:bCs/>
          <w:noProof/>
          <w:sz w:val="24"/>
        </w:rPr>
        <w:t>Saltiel AR</w:t>
      </w:r>
      <w:r w:rsidRPr="00661656">
        <w:rPr>
          <w:noProof/>
          <w:sz w:val="24"/>
        </w:rPr>
        <w:t xml:space="preserve">, </w:t>
      </w:r>
      <w:r w:rsidRPr="00661656">
        <w:rPr>
          <w:b/>
          <w:bCs/>
          <w:noProof/>
          <w:sz w:val="24"/>
        </w:rPr>
        <w:t>Chandler WF</w:t>
      </w:r>
      <w:r w:rsidRPr="00661656">
        <w:rPr>
          <w:noProof/>
          <w:sz w:val="24"/>
        </w:rPr>
        <w:t xml:space="preserve">, </w:t>
      </w:r>
      <w:r w:rsidRPr="00661656">
        <w:rPr>
          <w:b/>
          <w:bCs/>
          <w:noProof/>
          <w:sz w:val="24"/>
        </w:rPr>
        <w:t>Bridges D</w:t>
      </w:r>
      <w:r w:rsidRPr="00661656">
        <w:rPr>
          <w:noProof/>
          <w:sz w:val="24"/>
        </w:rPr>
        <w:t xml:space="preserve">. Gene expression changes in subcutaneous adipose tissue due to Cushing’s disease. </w:t>
      </w:r>
      <w:r w:rsidRPr="00661656">
        <w:rPr>
          <w:i/>
          <w:iCs/>
          <w:noProof/>
          <w:sz w:val="24"/>
        </w:rPr>
        <w:t>J Mol Endocrinol</w:t>
      </w:r>
      <w:r w:rsidRPr="00661656">
        <w:rPr>
          <w:noProof/>
          <w:sz w:val="24"/>
        </w:rPr>
        <w:t xml:space="preserve"> 55: 81–94, 2015.</w:t>
      </w:r>
    </w:p>
    <w:p w14:paraId="791C7D5D"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5. </w:t>
      </w:r>
      <w:r w:rsidRPr="00661656">
        <w:rPr>
          <w:noProof/>
          <w:sz w:val="24"/>
        </w:rPr>
        <w:tab/>
      </w:r>
      <w:r w:rsidRPr="00661656">
        <w:rPr>
          <w:b/>
          <w:bCs/>
          <w:noProof/>
          <w:sz w:val="24"/>
        </w:rPr>
        <w:t>Kang S-H</w:t>
      </w:r>
      <w:r w:rsidRPr="00661656">
        <w:rPr>
          <w:noProof/>
          <w:sz w:val="24"/>
        </w:rPr>
        <w:t xml:space="preserve">, </w:t>
      </w:r>
      <w:r w:rsidRPr="00661656">
        <w:rPr>
          <w:b/>
          <w:bCs/>
          <w:noProof/>
          <w:sz w:val="24"/>
        </w:rPr>
        <w:t>Lee H-A</w:t>
      </w:r>
      <w:r w:rsidRPr="00661656">
        <w:rPr>
          <w:noProof/>
          <w:sz w:val="24"/>
        </w:rPr>
        <w:t xml:space="preserve">, </w:t>
      </w:r>
      <w:r w:rsidRPr="00661656">
        <w:rPr>
          <w:b/>
          <w:bCs/>
          <w:noProof/>
          <w:sz w:val="24"/>
        </w:rPr>
        <w:t>Kim M</w:t>
      </w:r>
      <w:r w:rsidRPr="00661656">
        <w:rPr>
          <w:noProof/>
          <w:sz w:val="24"/>
        </w:rPr>
        <w:t xml:space="preserve">, </w:t>
      </w:r>
      <w:r w:rsidRPr="00661656">
        <w:rPr>
          <w:b/>
          <w:bCs/>
          <w:noProof/>
          <w:sz w:val="24"/>
        </w:rPr>
        <w:t>Lee E</w:t>
      </w:r>
      <w:r w:rsidRPr="00661656">
        <w:rPr>
          <w:noProof/>
          <w:sz w:val="24"/>
        </w:rPr>
        <w:t xml:space="preserve">, </w:t>
      </w:r>
      <w:r w:rsidRPr="00661656">
        <w:rPr>
          <w:b/>
          <w:bCs/>
          <w:noProof/>
          <w:sz w:val="24"/>
        </w:rPr>
        <w:t>Sohn UD</w:t>
      </w:r>
      <w:r w:rsidRPr="00661656">
        <w:rPr>
          <w:noProof/>
          <w:sz w:val="24"/>
        </w:rPr>
        <w:t xml:space="preserve">, </w:t>
      </w:r>
      <w:r w:rsidRPr="00661656">
        <w:rPr>
          <w:b/>
          <w:bCs/>
          <w:noProof/>
          <w:sz w:val="24"/>
        </w:rPr>
        <w:t>Kim I</w:t>
      </w:r>
      <w:r w:rsidRPr="00661656">
        <w:rPr>
          <w:noProof/>
          <w:sz w:val="24"/>
        </w:rPr>
        <w:t xml:space="preserve">. Forkhead box O3 plays a role in skeletal muscle atrophy through expression of E3 ubiquitin ligases MuRF-1 and atrogin-1 in Cushing’s syndrome. </w:t>
      </w:r>
      <w:r w:rsidRPr="00661656">
        <w:rPr>
          <w:i/>
          <w:iCs/>
          <w:noProof/>
          <w:sz w:val="24"/>
        </w:rPr>
        <w:t>Am J Physiol Metab</w:t>
      </w:r>
      <w:r w:rsidRPr="00661656">
        <w:rPr>
          <w:noProof/>
          <w:sz w:val="24"/>
        </w:rPr>
        <w:t xml:space="preserve"> 312: E495–E507, 2017.</w:t>
      </w:r>
    </w:p>
    <w:p w14:paraId="55025F4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6. </w:t>
      </w:r>
      <w:r w:rsidRPr="00661656">
        <w:rPr>
          <w:noProof/>
          <w:sz w:val="24"/>
        </w:rPr>
        <w:tab/>
      </w:r>
      <w:r w:rsidRPr="00661656">
        <w:rPr>
          <w:b/>
          <w:bCs/>
          <w:noProof/>
          <w:sz w:val="24"/>
        </w:rPr>
        <w:t>Overman RA</w:t>
      </w:r>
      <w:r w:rsidRPr="00661656">
        <w:rPr>
          <w:noProof/>
          <w:sz w:val="24"/>
        </w:rPr>
        <w:t xml:space="preserve">, </w:t>
      </w:r>
      <w:r w:rsidRPr="00661656">
        <w:rPr>
          <w:b/>
          <w:bCs/>
          <w:noProof/>
          <w:sz w:val="24"/>
        </w:rPr>
        <w:t>Yeh JY</w:t>
      </w:r>
      <w:r w:rsidRPr="00661656">
        <w:rPr>
          <w:noProof/>
          <w:sz w:val="24"/>
        </w:rPr>
        <w:t xml:space="preserve">, </w:t>
      </w:r>
      <w:r w:rsidRPr="00661656">
        <w:rPr>
          <w:b/>
          <w:bCs/>
          <w:noProof/>
          <w:sz w:val="24"/>
        </w:rPr>
        <w:t>Deal CL</w:t>
      </w:r>
      <w:r w:rsidRPr="00661656">
        <w:rPr>
          <w:noProof/>
          <w:sz w:val="24"/>
        </w:rPr>
        <w:t xml:space="preserve">. Prevalence of oral glucocorticoid usage in the United States: A general population perspective. </w:t>
      </w:r>
      <w:r w:rsidRPr="00661656">
        <w:rPr>
          <w:i/>
          <w:iCs/>
          <w:noProof/>
          <w:sz w:val="24"/>
        </w:rPr>
        <w:t>Arthritis Care Res</w:t>
      </w:r>
      <w:r w:rsidRPr="00661656">
        <w:rPr>
          <w:noProof/>
          <w:sz w:val="24"/>
        </w:rPr>
        <w:t xml:space="preserve"> 65: 294–298, 2013.</w:t>
      </w:r>
    </w:p>
    <w:p w14:paraId="570E28CB"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7. </w:t>
      </w:r>
      <w:r w:rsidRPr="00661656">
        <w:rPr>
          <w:noProof/>
          <w:sz w:val="24"/>
        </w:rPr>
        <w:tab/>
      </w:r>
      <w:r w:rsidRPr="00661656">
        <w:rPr>
          <w:b/>
          <w:bCs/>
          <w:noProof/>
          <w:sz w:val="24"/>
        </w:rPr>
        <w:t>Pleasure DE</w:t>
      </w:r>
      <w:r w:rsidRPr="00661656">
        <w:rPr>
          <w:noProof/>
          <w:sz w:val="24"/>
        </w:rPr>
        <w:t xml:space="preserve">, </w:t>
      </w:r>
      <w:r w:rsidRPr="00661656">
        <w:rPr>
          <w:b/>
          <w:bCs/>
          <w:noProof/>
          <w:sz w:val="24"/>
        </w:rPr>
        <w:t>Walsh GO</w:t>
      </w:r>
      <w:r w:rsidRPr="00661656">
        <w:rPr>
          <w:noProof/>
          <w:sz w:val="24"/>
        </w:rPr>
        <w:t xml:space="preserve">, </w:t>
      </w:r>
      <w:r w:rsidRPr="00661656">
        <w:rPr>
          <w:b/>
          <w:bCs/>
          <w:noProof/>
          <w:sz w:val="24"/>
        </w:rPr>
        <w:t>Engel WK</w:t>
      </w:r>
      <w:r w:rsidRPr="00661656">
        <w:rPr>
          <w:noProof/>
          <w:sz w:val="24"/>
        </w:rPr>
        <w:t xml:space="preserve">, </w:t>
      </w:r>
      <w:r w:rsidRPr="00661656">
        <w:rPr>
          <w:b/>
          <w:bCs/>
          <w:noProof/>
          <w:sz w:val="24"/>
        </w:rPr>
        <w:t>Pleasure DE</w:t>
      </w:r>
      <w:r w:rsidRPr="00661656">
        <w:rPr>
          <w:noProof/>
          <w:sz w:val="24"/>
        </w:rPr>
        <w:t xml:space="preserve">, </w:t>
      </w:r>
      <w:r w:rsidRPr="00661656">
        <w:rPr>
          <w:b/>
          <w:bCs/>
          <w:noProof/>
          <w:sz w:val="24"/>
        </w:rPr>
        <w:t>Walsh GO</w:t>
      </w:r>
      <w:r w:rsidRPr="00661656">
        <w:rPr>
          <w:noProof/>
          <w:sz w:val="24"/>
        </w:rPr>
        <w:t xml:space="preserve">, </w:t>
      </w:r>
      <w:r w:rsidRPr="00661656">
        <w:rPr>
          <w:b/>
          <w:bCs/>
          <w:noProof/>
          <w:sz w:val="24"/>
        </w:rPr>
        <w:t>Engel W</w:t>
      </w:r>
      <w:r w:rsidRPr="00661656">
        <w:rPr>
          <w:noProof/>
          <w:sz w:val="24"/>
        </w:rPr>
        <w:t xml:space="preserve">. ATrophy of skeletal muscle in patients with cushing’s syndrome. </w:t>
      </w:r>
      <w:r w:rsidRPr="00661656">
        <w:rPr>
          <w:i/>
          <w:iCs/>
          <w:noProof/>
          <w:sz w:val="24"/>
        </w:rPr>
        <w:t>Arch Neurol</w:t>
      </w:r>
      <w:r w:rsidRPr="00661656">
        <w:rPr>
          <w:noProof/>
          <w:sz w:val="24"/>
        </w:rPr>
        <w:t xml:space="preserve"> 22: 118–125, 1970.</w:t>
      </w:r>
    </w:p>
    <w:p w14:paraId="553FD334"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8. </w:t>
      </w:r>
      <w:r w:rsidRPr="00661656">
        <w:rPr>
          <w:noProof/>
          <w:sz w:val="24"/>
        </w:rPr>
        <w:tab/>
      </w:r>
      <w:r w:rsidRPr="00661656">
        <w:rPr>
          <w:b/>
          <w:bCs/>
          <w:noProof/>
          <w:sz w:val="24"/>
        </w:rPr>
        <w:t>R Core Team</w:t>
      </w:r>
      <w:r w:rsidRPr="00661656">
        <w:rPr>
          <w:noProof/>
          <w:sz w:val="24"/>
        </w:rPr>
        <w:t>. R: A Language and Environment for Statistical Computing. .</w:t>
      </w:r>
    </w:p>
    <w:p w14:paraId="0C965B7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9. </w:t>
      </w:r>
      <w:r w:rsidRPr="00661656">
        <w:rPr>
          <w:noProof/>
          <w:sz w:val="24"/>
        </w:rPr>
        <w:tab/>
      </w:r>
      <w:r w:rsidRPr="00661656">
        <w:rPr>
          <w:b/>
          <w:bCs/>
          <w:noProof/>
          <w:sz w:val="24"/>
        </w:rPr>
        <w:t>Rosmond R</w:t>
      </w:r>
      <w:r w:rsidRPr="00661656">
        <w:rPr>
          <w:noProof/>
          <w:sz w:val="24"/>
        </w:rPr>
        <w:t xml:space="preserve">, </w:t>
      </w:r>
      <w:r w:rsidRPr="00661656">
        <w:rPr>
          <w:b/>
          <w:bCs/>
          <w:noProof/>
          <w:sz w:val="24"/>
        </w:rPr>
        <w:t>Chagnon YC</w:t>
      </w:r>
      <w:r w:rsidRPr="00661656">
        <w:rPr>
          <w:noProof/>
          <w:sz w:val="24"/>
        </w:rPr>
        <w:t xml:space="preserve">, </w:t>
      </w:r>
      <w:r w:rsidRPr="00661656">
        <w:rPr>
          <w:b/>
          <w:bCs/>
          <w:noProof/>
          <w:sz w:val="24"/>
        </w:rPr>
        <w:t>Chagnon M</w:t>
      </w:r>
      <w:r w:rsidRPr="00661656">
        <w:rPr>
          <w:noProof/>
          <w:sz w:val="24"/>
        </w:rPr>
        <w:t xml:space="preserve">, </w:t>
      </w:r>
      <w:r w:rsidRPr="00661656">
        <w:rPr>
          <w:b/>
          <w:bCs/>
          <w:noProof/>
          <w:sz w:val="24"/>
        </w:rPr>
        <w:t>Pe L</w:t>
      </w:r>
      <w:r w:rsidRPr="00661656">
        <w:rPr>
          <w:noProof/>
          <w:sz w:val="24"/>
        </w:rPr>
        <w:t xml:space="preserve">, </w:t>
      </w:r>
      <w:r w:rsidRPr="00661656">
        <w:rPr>
          <w:b/>
          <w:bCs/>
          <w:noProof/>
          <w:sz w:val="24"/>
        </w:rPr>
        <w:t>Chagnon M</w:t>
      </w:r>
      <w:r w:rsidRPr="00661656">
        <w:rPr>
          <w:noProof/>
          <w:sz w:val="24"/>
        </w:rPr>
        <w:t xml:space="preserve">, </w:t>
      </w:r>
      <w:r w:rsidRPr="00661656">
        <w:rPr>
          <w:b/>
          <w:bCs/>
          <w:noProof/>
          <w:sz w:val="24"/>
        </w:rPr>
        <w:t>Russe LPE</w:t>
      </w:r>
      <w:r w:rsidRPr="00661656">
        <w:rPr>
          <w:noProof/>
          <w:sz w:val="24"/>
        </w:rPr>
        <w:t xml:space="preserve">, </w:t>
      </w:r>
      <w:r w:rsidRPr="00661656">
        <w:rPr>
          <w:b/>
          <w:bCs/>
          <w:noProof/>
          <w:sz w:val="24"/>
        </w:rPr>
        <w:t>Carlsson RN</w:t>
      </w:r>
      <w:r w:rsidRPr="00661656">
        <w:rPr>
          <w:noProof/>
          <w:sz w:val="24"/>
        </w:rPr>
        <w:t xml:space="preserve">, </w:t>
      </w:r>
      <w:r w:rsidRPr="00661656">
        <w:rPr>
          <w:b/>
          <w:bCs/>
          <w:noProof/>
          <w:sz w:val="24"/>
        </w:rPr>
        <w:t>Lindell K</w:t>
      </w:r>
      <w:r w:rsidRPr="00661656">
        <w:rPr>
          <w:noProof/>
          <w:sz w:val="24"/>
        </w:rPr>
        <w:t>. A Glucocorticoid Receptor Gene Marker Is Associated with Abdominal Obesity , Leptin , and Dysregulation of the Hypothalamic- Pituitary-Adrenal Axis. .</w:t>
      </w:r>
    </w:p>
    <w:p w14:paraId="7F3FBB72"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10. </w:t>
      </w:r>
      <w:r w:rsidRPr="00661656">
        <w:rPr>
          <w:noProof/>
          <w:sz w:val="24"/>
        </w:rPr>
        <w:tab/>
      </w:r>
      <w:r w:rsidRPr="00661656">
        <w:rPr>
          <w:b/>
          <w:bCs/>
          <w:noProof/>
          <w:sz w:val="24"/>
        </w:rPr>
        <w:t>Rouleau G</w:t>
      </w:r>
      <w:r w:rsidRPr="00661656">
        <w:rPr>
          <w:noProof/>
          <w:sz w:val="24"/>
        </w:rPr>
        <w:t xml:space="preserve">, </w:t>
      </w:r>
      <w:r w:rsidRPr="00661656">
        <w:rPr>
          <w:b/>
          <w:bCs/>
          <w:noProof/>
          <w:sz w:val="24"/>
        </w:rPr>
        <w:t>Karpati G</w:t>
      </w:r>
      <w:r w:rsidRPr="00661656">
        <w:rPr>
          <w:noProof/>
          <w:sz w:val="24"/>
        </w:rPr>
        <w:t xml:space="preserve">, </w:t>
      </w:r>
      <w:r w:rsidRPr="00661656">
        <w:rPr>
          <w:b/>
          <w:bCs/>
          <w:noProof/>
          <w:sz w:val="24"/>
        </w:rPr>
        <w:t>Carpenter S</w:t>
      </w:r>
      <w:r w:rsidRPr="00661656">
        <w:rPr>
          <w:noProof/>
          <w:sz w:val="24"/>
        </w:rPr>
        <w:t xml:space="preserve">, </w:t>
      </w:r>
      <w:r w:rsidRPr="00661656">
        <w:rPr>
          <w:b/>
          <w:bCs/>
          <w:noProof/>
          <w:sz w:val="24"/>
        </w:rPr>
        <w:t>Soza M</w:t>
      </w:r>
      <w:r w:rsidRPr="00661656">
        <w:rPr>
          <w:noProof/>
          <w:sz w:val="24"/>
        </w:rPr>
        <w:t xml:space="preserve">, </w:t>
      </w:r>
      <w:r w:rsidRPr="00661656">
        <w:rPr>
          <w:b/>
          <w:bCs/>
          <w:noProof/>
          <w:sz w:val="24"/>
        </w:rPr>
        <w:t>Prescott S</w:t>
      </w:r>
      <w:r w:rsidRPr="00661656">
        <w:rPr>
          <w:noProof/>
          <w:sz w:val="24"/>
        </w:rPr>
        <w:t xml:space="preserve">, </w:t>
      </w:r>
      <w:r w:rsidRPr="00661656">
        <w:rPr>
          <w:b/>
          <w:bCs/>
          <w:noProof/>
          <w:sz w:val="24"/>
        </w:rPr>
        <w:t>Holland P</w:t>
      </w:r>
      <w:r w:rsidRPr="00661656">
        <w:rPr>
          <w:noProof/>
          <w:sz w:val="24"/>
        </w:rPr>
        <w:t xml:space="preserve">. Glucocorticoid excess induces preferential depletion of myosin in denervated skeletal muscle fibers. </w:t>
      </w:r>
      <w:r w:rsidRPr="00661656">
        <w:rPr>
          <w:i/>
          <w:iCs/>
          <w:noProof/>
          <w:sz w:val="24"/>
        </w:rPr>
        <w:t>Muscle Nerve</w:t>
      </w:r>
      <w:r w:rsidRPr="00661656">
        <w:rPr>
          <w:noProof/>
          <w:sz w:val="24"/>
        </w:rPr>
        <w:t xml:space="preserve"> 10: 428–438, 1987.</w:t>
      </w:r>
    </w:p>
    <w:p w14:paraId="4B06EEBD"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11. </w:t>
      </w:r>
      <w:r w:rsidRPr="00661656">
        <w:rPr>
          <w:noProof/>
          <w:sz w:val="24"/>
        </w:rPr>
        <w:tab/>
      </w:r>
      <w:r w:rsidRPr="00661656">
        <w:rPr>
          <w:b/>
          <w:bCs/>
          <w:noProof/>
          <w:sz w:val="24"/>
        </w:rPr>
        <w:t>Sandri M</w:t>
      </w:r>
      <w:r w:rsidRPr="00661656">
        <w:rPr>
          <w:noProof/>
          <w:sz w:val="24"/>
        </w:rPr>
        <w:t xml:space="preserve">, </w:t>
      </w:r>
      <w:r w:rsidRPr="00661656">
        <w:rPr>
          <w:b/>
          <w:bCs/>
          <w:noProof/>
          <w:sz w:val="24"/>
        </w:rPr>
        <w:t>Sandri C</w:t>
      </w:r>
      <w:r w:rsidRPr="00661656">
        <w:rPr>
          <w:noProof/>
          <w:sz w:val="24"/>
        </w:rPr>
        <w:t xml:space="preserve">, </w:t>
      </w:r>
      <w:r w:rsidRPr="00661656">
        <w:rPr>
          <w:b/>
          <w:bCs/>
          <w:noProof/>
          <w:sz w:val="24"/>
        </w:rPr>
        <w:t>Gilbert A</w:t>
      </w:r>
      <w:r w:rsidRPr="00661656">
        <w:rPr>
          <w:noProof/>
          <w:sz w:val="24"/>
        </w:rPr>
        <w:t xml:space="preserve">, </w:t>
      </w:r>
      <w:r w:rsidRPr="00661656">
        <w:rPr>
          <w:b/>
          <w:bCs/>
          <w:noProof/>
          <w:sz w:val="24"/>
        </w:rPr>
        <w:t>Skurk C</w:t>
      </w:r>
      <w:r w:rsidRPr="00661656">
        <w:rPr>
          <w:noProof/>
          <w:sz w:val="24"/>
        </w:rPr>
        <w:t xml:space="preserve">, </w:t>
      </w:r>
      <w:r w:rsidRPr="00661656">
        <w:rPr>
          <w:b/>
          <w:bCs/>
          <w:noProof/>
          <w:sz w:val="24"/>
        </w:rPr>
        <w:t>Calabria E</w:t>
      </w:r>
      <w:r w:rsidRPr="00661656">
        <w:rPr>
          <w:noProof/>
          <w:sz w:val="24"/>
        </w:rPr>
        <w:t xml:space="preserve">, </w:t>
      </w:r>
      <w:r w:rsidRPr="00661656">
        <w:rPr>
          <w:b/>
          <w:bCs/>
          <w:noProof/>
          <w:sz w:val="24"/>
        </w:rPr>
        <w:t>Picard A</w:t>
      </w:r>
      <w:r w:rsidRPr="00661656">
        <w:rPr>
          <w:noProof/>
          <w:sz w:val="24"/>
        </w:rPr>
        <w:t xml:space="preserve">, </w:t>
      </w:r>
      <w:r w:rsidRPr="00661656">
        <w:rPr>
          <w:b/>
          <w:bCs/>
          <w:noProof/>
          <w:sz w:val="24"/>
        </w:rPr>
        <w:t>Walsh K</w:t>
      </w:r>
      <w:r w:rsidRPr="00661656">
        <w:rPr>
          <w:noProof/>
          <w:sz w:val="24"/>
        </w:rPr>
        <w:t xml:space="preserve">, </w:t>
      </w:r>
      <w:r w:rsidRPr="00661656">
        <w:rPr>
          <w:b/>
          <w:bCs/>
          <w:noProof/>
          <w:sz w:val="24"/>
        </w:rPr>
        <w:t>Schiaffino S</w:t>
      </w:r>
      <w:r w:rsidRPr="00661656">
        <w:rPr>
          <w:noProof/>
          <w:sz w:val="24"/>
        </w:rPr>
        <w:t xml:space="preserve">, </w:t>
      </w:r>
      <w:r w:rsidRPr="00661656">
        <w:rPr>
          <w:b/>
          <w:bCs/>
          <w:noProof/>
          <w:sz w:val="24"/>
        </w:rPr>
        <w:t>Lecker SH</w:t>
      </w:r>
      <w:r w:rsidRPr="00661656">
        <w:rPr>
          <w:noProof/>
          <w:sz w:val="24"/>
        </w:rPr>
        <w:t xml:space="preserve">, </w:t>
      </w:r>
      <w:r w:rsidRPr="00661656">
        <w:rPr>
          <w:b/>
          <w:bCs/>
          <w:noProof/>
          <w:sz w:val="24"/>
        </w:rPr>
        <w:t>Goldberg AL</w:t>
      </w:r>
      <w:r w:rsidRPr="00661656">
        <w:rPr>
          <w:noProof/>
          <w:sz w:val="24"/>
        </w:rPr>
        <w:t xml:space="preserve">. Foxo transcription factors induce the </w:t>
      </w:r>
      <w:r w:rsidRPr="00661656">
        <w:rPr>
          <w:noProof/>
          <w:sz w:val="24"/>
        </w:rPr>
        <w:lastRenderedPageBreak/>
        <w:t xml:space="preserve">atrophy-related ubiquitin ligase atrogin-1 and cause skeletal muscle atrophy. </w:t>
      </w:r>
      <w:r w:rsidRPr="00661656">
        <w:rPr>
          <w:i/>
          <w:iCs/>
          <w:noProof/>
          <w:sz w:val="24"/>
        </w:rPr>
        <w:t>Cell</w:t>
      </w:r>
      <w:r w:rsidRPr="00661656">
        <w:rPr>
          <w:noProof/>
          <w:sz w:val="24"/>
        </w:rPr>
        <w:t xml:space="preserve"> 117: 399–412, 2004.</w:t>
      </w:r>
    </w:p>
    <w:p w14:paraId="640198E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12. </w:t>
      </w:r>
      <w:r w:rsidRPr="00661656">
        <w:rPr>
          <w:noProof/>
          <w:sz w:val="24"/>
        </w:rPr>
        <w:tab/>
      </w:r>
      <w:r w:rsidRPr="00661656">
        <w:rPr>
          <w:b/>
          <w:bCs/>
          <w:noProof/>
          <w:sz w:val="24"/>
        </w:rPr>
        <w:t>Schakman O</w:t>
      </w:r>
      <w:r w:rsidRPr="00661656">
        <w:rPr>
          <w:noProof/>
          <w:sz w:val="24"/>
        </w:rPr>
        <w:t xml:space="preserve">, </w:t>
      </w:r>
      <w:r w:rsidRPr="00661656">
        <w:rPr>
          <w:b/>
          <w:bCs/>
          <w:noProof/>
          <w:sz w:val="24"/>
        </w:rPr>
        <w:t>Kalista S</w:t>
      </w:r>
      <w:r w:rsidRPr="00661656">
        <w:rPr>
          <w:noProof/>
          <w:sz w:val="24"/>
        </w:rPr>
        <w:t xml:space="preserve">, </w:t>
      </w:r>
      <w:r w:rsidRPr="00661656">
        <w:rPr>
          <w:b/>
          <w:bCs/>
          <w:noProof/>
          <w:sz w:val="24"/>
        </w:rPr>
        <w:t>Barbé C</w:t>
      </w:r>
      <w:r w:rsidRPr="00661656">
        <w:rPr>
          <w:noProof/>
          <w:sz w:val="24"/>
        </w:rPr>
        <w:t xml:space="preserve">, </w:t>
      </w:r>
      <w:r w:rsidRPr="00661656">
        <w:rPr>
          <w:b/>
          <w:bCs/>
          <w:noProof/>
          <w:sz w:val="24"/>
        </w:rPr>
        <w:t>Loumaye  a</w:t>
      </w:r>
      <w:r w:rsidRPr="00661656">
        <w:rPr>
          <w:noProof/>
          <w:sz w:val="24"/>
        </w:rPr>
        <w:t xml:space="preserve">, </w:t>
      </w:r>
      <w:r w:rsidRPr="00661656">
        <w:rPr>
          <w:b/>
          <w:bCs/>
          <w:noProof/>
          <w:sz w:val="24"/>
        </w:rPr>
        <w:t>Thissen JPP</w:t>
      </w:r>
      <w:r w:rsidRPr="00661656">
        <w:rPr>
          <w:noProof/>
          <w:sz w:val="24"/>
        </w:rPr>
        <w:t xml:space="preserve">. Glucocorticoid-induced skeletal muscle atrophy. </w:t>
      </w:r>
      <w:r w:rsidRPr="00661656">
        <w:rPr>
          <w:i/>
          <w:iCs/>
          <w:noProof/>
          <w:sz w:val="24"/>
        </w:rPr>
        <w:t>Int J Biochem Cell Biol</w:t>
      </w:r>
      <w:r w:rsidRPr="00661656">
        <w:rPr>
          <w:noProof/>
          <w:sz w:val="24"/>
        </w:rPr>
        <w:t xml:space="preserve"> 45: 2163–2172, 2013.</w:t>
      </w:r>
    </w:p>
    <w:p w14:paraId="2C53EABA"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13. </w:t>
      </w:r>
      <w:r w:rsidRPr="00661656">
        <w:rPr>
          <w:noProof/>
          <w:sz w:val="24"/>
        </w:rPr>
        <w:tab/>
      </w:r>
      <w:r w:rsidRPr="00661656">
        <w:rPr>
          <w:b/>
          <w:bCs/>
          <w:noProof/>
          <w:sz w:val="24"/>
        </w:rPr>
        <w:t>Waddell DS</w:t>
      </w:r>
      <w:r w:rsidRPr="00661656">
        <w:rPr>
          <w:noProof/>
          <w:sz w:val="24"/>
        </w:rPr>
        <w:t xml:space="preserve">, </w:t>
      </w:r>
      <w:r w:rsidRPr="00661656">
        <w:rPr>
          <w:b/>
          <w:bCs/>
          <w:noProof/>
          <w:sz w:val="24"/>
        </w:rPr>
        <w:t>Baehr LM</w:t>
      </w:r>
      <w:r w:rsidRPr="00661656">
        <w:rPr>
          <w:noProof/>
          <w:sz w:val="24"/>
        </w:rPr>
        <w:t xml:space="preserve">, </w:t>
      </w:r>
      <w:r w:rsidRPr="00661656">
        <w:rPr>
          <w:b/>
          <w:bCs/>
          <w:noProof/>
          <w:sz w:val="24"/>
        </w:rPr>
        <w:t>van den Brandt J</w:t>
      </w:r>
      <w:r w:rsidRPr="00661656">
        <w:rPr>
          <w:noProof/>
          <w:sz w:val="24"/>
        </w:rPr>
        <w:t xml:space="preserve">, </w:t>
      </w:r>
      <w:r w:rsidRPr="00661656">
        <w:rPr>
          <w:b/>
          <w:bCs/>
          <w:noProof/>
          <w:sz w:val="24"/>
        </w:rPr>
        <w:t>Johnsen SA</w:t>
      </w:r>
      <w:r w:rsidRPr="00661656">
        <w:rPr>
          <w:noProof/>
          <w:sz w:val="24"/>
        </w:rPr>
        <w:t xml:space="preserve">, </w:t>
      </w:r>
      <w:r w:rsidRPr="00661656">
        <w:rPr>
          <w:b/>
          <w:bCs/>
          <w:noProof/>
          <w:sz w:val="24"/>
        </w:rPr>
        <w:t>Reichardt HM</w:t>
      </w:r>
      <w:r w:rsidRPr="00661656">
        <w:rPr>
          <w:noProof/>
          <w:sz w:val="24"/>
        </w:rPr>
        <w:t xml:space="preserve">, </w:t>
      </w:r>
      <w:r w:rsidRPr="00661656">
        <w:rPr>
          <w:b/>
          <w:bCs/>
          <w:noProof/>
          <w:sz w:val="24"/>
        </w:rPr>
        <w:t>Furlow JD</w:t>
      </w:r>
      <w:r w:rsidRPr="00661656">
        <w:rPr>
          <w:noProof/>
          <w:sz w:val="24"/>
        </w:rPr>
        <w:t xml:space="preserve">, </w:t>
      </w:r>
      <w:r w:rsidRPr="00661656">
        <w:rPr>
          <w:b/>
          <w:bCs/>
          <w:noProof/>
          <w:sz w:val="24"/>
        </w:rPr>
        <w:t>Bodine SC</w:t>
      </w:r>
      <w:r w:rsidRPr="00661656">
        <w:rPr>
          <w:noProof/>
          <w:sz w:val="24"/>
        </w:rPr>
        <w:t xml:space="preserve">. The glucocorticoid receptor and FOXO1 synergistically activate the skeletal muscle atrophy-associated MuRF1 gene. </w:t>
      </w:r>
      <w:r w:rsidRPr="00661656">
        <w:rPr>
          <w:i/>
          <w:iCs/>
          <w:noProof/>
          <w:sz w:val="24"/>
        </w:rPr>
        <w:t>AJP Endocrinol Metab</w:t>
      </w:r>
      <w:r w:rsidRPr="00661656">
        <w:rPr>
          <w:noProof/>
          <w:sz w:val="24"/>
        </w:rPr>
        <w:t xml:space="preserve"> 295: E785–E797, 2008.</w:t>
      </w:r>
    </w:p>
    <w:p w14:paraId="2A60B15F"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14. </w:t>
      </w:r>
      <w:r w:rsidRPr="00661656">
        <w:rPr>
          <w:noProof/>
          <w:sz w:val="24"/>
        </w:rPr>
        <w:tab/>
      </w:r>
      <w:r w:rsidRPr="00661656">
        <w:rPr>
          <w:b/>
          <w:bCs/>
          <w:noProof/>
          <w:sz w:val="24"/>
        </w:rPr>
        <w:t>Wester VL</w:t>
      </w:r>
      <w:r w:rsidRPr="00661656">
        <w:rPr>
          <w:noProof/>
          <w:sz w:val="24"/>
        </w:rPr>
        <w:t xml:space="preserve">, </w:t>
      </w:r>
      <w:r w:rsidRPr="00661656">
        <w:rPr>
          <w:b/>
          <w:bCs/>
          <w:noProof/>
          <w:sz w:val="24"/>
        </w:rPr>
        <w:t>Staufenbiel SM</w:t>
      </w:r>
      <w:r w:rsidRPr="00661656">
        <w:rPr>
          <w:noProof/>
          <w:sz w:val="24"/>
        </w:rPr>
        <w:t xml:space="preserve">, </w:t>
      </w:r>
      <w:r w:rsidRPr="00661656">
        <w:rPr>
          <w:b/>
          <w:bCs/>
          <w:noProof/>
          <w:sz w:val="24"/>
        </w:rPr>
        <w:t>Veldhorst M a B</w:t>
      </w:r>
      <w:r w:rsidRPr="00661656">
        <w:rPr>
          <w:noProof/>
          <w:sz w:val="24"/>
        </w:rPr>
        <w:t xml:space="preserve">, </w:t>
      </w:r>
      <w:r w:rsidRPr="00661656">
        <w:rPr>
          <w:b/>
          <w:bCs/>
          <w:noProof/>
          <w:sz w:val="24"/>
        </w:rPr>
        <w:t>Visser J a</w:t>
      </w:r>
      <w:r w:rsidRPr="00661656">
        <w:rPr>
          <w:noProof/>
          <w:sz w:val="24"/>
        </w:rPr>
        <w:t xml:space="preserve">, </w:t>
      </w:r>
      <w:r w:rsidRPr="00661656">
        <w:rPr>
          <w:b/>
          <w:bCs/>
          <w:noProof/>
          <w:sz w:val="24"/>
        </w:rPr>
        <w:t>Manenschijn L</w:t>
      </w:r>
      <w:r w:rsidRPr="00661656">
        <w:rPr>
          <w:noProof/>
          <w:sz w:val="24"/>
        </w:rPr>
        <w:t xml:space="preserve">, </w:t>
      </w:r>
      <w:r w:rsidRPr="00661656">
        <w:rPr>
          <w:b/>
          <w:bCs/>
          <w:noProof/>
          <w:sz w:val="24"/>
        </w:rPr>
        <w:t>Koper JW</w:t>
      </w:r>
      <w:r w:rsidRPr="00661656">
        <w:rPr>
          <w:noProof/>
          <w:sz w:val="24"/>
        </w:rPr>
        <w:t xml:space="preserve">, </w:t>
      </w:r>
      <w:r w:rsidRPr="00661656">
        <w:rPr>
          <w:b/>
          <w:bCs/>
          <w:noProof/>
          <w:sz w:val="24"/>
        </w:rPr>
        <w:t>Klessens-Godfroy FJM</w:t>
      </w:r>
      <w:r w:rsidRPr="00661656">
        <w:rPr>
          <w:noProof/>
          <w:sz w:val="24"/>
        </w:rPr>
        <w:t xml:space="preserve">, </w:t>
      </w:r>
      <w:r w:rsidRPr="00661656">
        <w:rPr>
          <w:b/>
          <w:bCs/>
          <w:noProof/>
          <w:sz w:val="24"/>
        </w:rPr>
        <w:t>van den Akker ELT</w:t>
      </w:r>
      <w:r w:rsidRPr="00661656">
        <w:rPr>
          <w:noProof/>
          <w:sz w:val="24"/>
        </w:rPr>
        <w:t xml:space="preserve">, </w:t>
      </w:r>
      <w:r w:rsidRPr="00661656">
        <w:rPr>
          <w:b/>
          <w:bCs/>
          <w:noProof/>
          <w:sz w:val="24"/>
        </w:rPr>
        <w:t>van Rossum EFC</w:t>
      </w:r>
      <w:r w:rsidRPr="00661656">
        <w:rPr>
          <w:noProof/>
          <w:sz w:val="24"/>
        </w:rPr>
        <w:t xml:space="preserve">. Long-term cortisol levels measured in scalp hair of obese patients. </w:t>
      </w:r>
      <w:r w:rsidRPr="00661656">
        <w:rPr>
          <w:i/>
          <w:iCs/>
          <w:noProof/>
          <w:sz w:val="24"/>
        </w:rPr>
        <w:t>Obesity</w:t>
      </w:r>
      <w:r w:rsidRPr="00661656">
        <w:rPr>
          <w:noProof/>
          <w:sz w:val="24"/>
        </w:rPr>
        <w:t xml:space="preserve"> 00: 1–3, 2014.</w:t>
      </w:r>
    </w:p>
    <w:p w14:paraId="2BCE4AD3" w14:textId="68F6AF8F" w:rsidR="002A4533" w:rsidRDefault="002A4533" w:rsidP="00661656">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57AC7ABF" w:rsidR="00BF40A8" w:rsidRDefault="00E161E7">
      <w:pPr>
        <w:spacing w:line="360" w:lineRule="auto"/>
        <w:rPr>
          <w:sz w:val="24"/>
          <w:szCs w:val="24"/>
        </w:rPr>
      </w:pPr>
      <w:r>
        <w:rPr>
          <w:sz w:val="24"/>
          <w:szCs w:val="24"/>
        </w:rPr>
        <w:t>Grip strength (N) in lean (</w:t>
      </w:r>
      <w:ins w:id="252" w:author="Dave Bridges" w:date="2019-04-03T14:37:00Z">
        <w:r w:rsidR="009E3491">
          <w:rPr>
            <w:sz w:val="24"/>
            <w:szCs w:val="24"/>
          </w:rPr>
          <w:t>A</w:t>
        </w:r>
      </w:ins>
      <w:del w:id="253" w:author="Dave Bridges" w:date="2019-04-03T14:37:00Z">
        <w:r w:rsidDel="009E3491">
          <w:rPr>
            <w:sz w:val="24"/>
            <w:szCs w:val="24"/>
          </w:rPr>
          <w:delText>a</w:delText>
        </w:r>
      </w:del>
      <w:r>
        <w:rPr>
          <w:sz w:val="24"/>
          <w:szCs w:val="24"/>
        </w:rPr>
        <w:t>) and obese (</w:t>
      </w:r>
      <w:ins w:id="254" w:author="Dave Bridges" w:date="2019-04-03T14:37:00Z">
        <w:r w:rsidR="009E3491">
          <w:rPr>
            <w:sz w:val="24"/>
            <w:szCs w:val="24"/>
          </w:rPr>
          <w:t>B</w:t>
        </w:r>
      </w:ins>
      <w:del w:id="255" w:author="Dave Bridges" w:date="2019-04-03T14:37:00Z">
        <w:r w:rsidDel="009E3491">
          <w:rPr>
            <w:sz w:val="24"/>
            <w:szCs w:val="24"/>
          </w:rPr>
          <w:delText>b</w:delText>
        </w:r>
      </w:del>
      <w:r>
        <w:rPr>
          <w:sz w:val="24"/>
          <w:szCs w:val="24"/>
        </w:rPr>
        <w:t xml:space="preserve">) male mice over the course of six weeks of dexamethasone treatment. N=4-8 per group. Data collected by Innocence Harvey. </w:t>
      </w:r>
      <w:commentRangeStart w:id="256"/>
      <w:r>
        <w:rPr>
          <w:sz w:val="24"/>
          <w:szCs w:val="24"/>
        </w:rPr>
        <w:t xml:space="preserve">*=Significance identified by Student’s </w:t>
      </w:r>
      <w:ins w:id="257" w:author="Dave Bridges" w:date="2019-04-03T14:37:00Z">
        <w:r w:rsidR="00E54C0F">
          <w:rPr>
            <w:sz w:val="24"/>
            <w:szCs w:val="24"/>
          </w:rPr>
          <w:t>t</w:t>
        </w:r>
      </w:ins>
      <w:del w:id="258" w:author="Dave Bridges" w:date="2019-04-03T14:37:00Z">
        <w:r w:rsidDel="00E54C0F">
          <w:rPr>
            <w:sz w:val="24"/>
            <w:szCs w:val="24"/>
          </w:rPr>
          <w:delText>T</w:delText>
        </w:r>
      </w:del>
      <w:r>
        <w:rPr>
          <w:sz w:val="24"/>
          <w:szCs w:val="24"/>
        </w:rPr>
        <w:t>-</w:t>
      </w:r>
      <w:ins w:id="259" w:author="Dave Bridges" w:date="2019-04-03T14:37:00Z">
        <w:r w:rsidR="009E3491">
          <w:rPr>
            <w:sz w:val="24"/>
            <w:szCs w:val="24"/>
          </w:rPr>
          <w:t>t</w:t>
        </w:r>
      </w:ins>
      <w:del w:id="260" w:author="Dave Bridges" w:date="2019-04-03T14:37:00Z">
        <w:r w:rsidDel="009E3491">
          <w:rPr>
            <w:sz w:val="24"/>
            <w:szCs w:val="24"/>
          </w:rPr>
          <w:delText>T</w:delText>
        </w:r>
      </w:del>
      <w:r>
        <w:rPr>
          <w:sz w:val="24"/>
          <w:szCs w:val="24"/>
        </w:rPr>
        <w:t xml:space="preserve">est. </w:t>
      </w:r>
      <w:commentRangeEnd w:id="256"/>
      <w:r w:rsidR="009E3491">
        <w:rPr>
          <w:rStyle w:val="CommentReference"/>
        </w:rPr>
        <w:commentReference w:id="256"/>
      </w:r>
      <w:r>
        <w:rPr>
          <w:sz w:val="24"/>
          <w:szCs w:val="24"/>
        </w:rPr>
        <w:t xml:space="preserve">Force </w:t>
      </w:r>
      <w:del w:id="261" w:author="Dave Bridges" w:date="2019-04-03T14:39:00Z">
        <w:r w:rsidDel="00131FD0">
          <w:rPr>
            <w:sz w:val="24"/>
            <w:szCs w:val="24"/>
          </w:rPr>
          <w:delText>(mN)</w:delText>
        </w:r>
      </w:del>
      <w:r>
        <w:rPr>
          <w:sz w:val="24"/>
          <w:szCs w:val="24"/>
        </w:rPr>
        <w:t xml:space="preserve"> generated by nerve stimulation (</w:t>
      </w:r>
      <w:ins w:id="262" w:author="Dave Bridges" w:date="2019-04-03T14:38:00Z">
        <w:r w:rsidR="009E3491">
          <w:rPr>
            <w:sz w:val="24"/>
            <w:szCs w:val="24"/>
          </w:rPr>
          <w:t>C</w:t>
        </w:r>
      </w:ins>
      <w:del w:id="263" w:author="Dave Bridges" w:date="2019-04-03T14:38:00Z">
        <w:r w:rsidDel="009E3491">
          <w:rPr>
            <w:sz w:val="24"/>
            <w:szCs w:val="24"/>
          </w:rPr>
          <w:delText>c</w:delText>
        </w:r>
      </w:del>
      <w:r>
        <w:rPr>
          <w:sz w:val="24"/>
          <w:szCs w:val="24"/>
        </w:rPr>
        <w:t>) and by direct muscle gastrocnemius stimulation (</w:t>
      </w:r>
      <w:ins w:id="264" w:author="Dave Bridges" w:date="2019-04-03T14:38:00Z">
        <w:r w:rsidR="009E3491">
          <w:rPr>
            <w:sz w:val="24"/>
            <w:szCs w:val="24"/>
          </w:rPr>
          <w:t>D</w:t>
        </w:r>
      </w:ins>
      <w:del w:id="265" w:author="Dave Bridges" w:date="2019-04-03T14:38:00Z">
        <w:r w:rsidDel="009E3491">
          <w:rPr>
            <w:sz w:val="24"/>
            <w:szCs w:val="24"/>
          </w:rPr>
          <w:delText>d</w:delText>
        </w:r>
      </w:del>
      <w:r>
        <w:rPr>
          <w:sz w:val="24"/>
          <w:szCs w:val="24"/>
        </w:rPr>
        <w:t xml:space="preserve">) in lean and obese mice treated with dexamethasone for 15-21 days. Force plotted </w:t>
      </w:r>
      <w:del w:id="266" w:author="Dave Bridges" w:date="2019-04-03T14:38:00Z">
        <w:r w:rsidDel="009E3491">
          <w:rPr>
            <w:sz w:val="24"/>
            <w:szCs w:val="24"/>
          </w:rPr>
          <w:delText xml:space="preserve">by </w:delText>
        </w:r>
      </w:del>
      <w:ins w:id="267" w:author="Dave Bridges" w:date="2019-04-03T14:38:00Z">
        <w:r w:rsidR="009E3491">
          <w:rPr>
            <w:sz w:val="24"/>
            <w:szCs w:val="24"/>
          </w:rPr>
          <w:t xml:space="preserve">relative to </w:t>
        </w:r>
      </w:ins>
      <w:r>
        <w:rPr>
          <w:sz w:val="24"/>
          <w:szCs w:val="24"/>
        </w:rPr>
        <w:t xml:space="preserve">whole gastrocnemius </w:t>
      </w:r>
      <w:del w:id="268" w:author="Dave Bridges" w:date="2019-04-03T14:38:00Z">
        <w:r w:rsidDel="009E3491">
          <w:rPr>
            <w:sz w:val="24"/>
            <w:szCs w:val="24"/>
          </w:rPr>
          <w:delText xml:space="preserve">CSA </w:delText>
        </w:r>
      </w:del>
      <w:ins w:id="269" w:author="Dave Bridges" w:date="2019-04-03T14:38:00Z">
        <w:r w:rsidR="009E3491">
          <w:rPr>
            <w:sz w:val="24"/>
            <w:szCs w:val="24"/>
          </w:rPr>
          <w:t xml:space="preserve">cross-sectional area </w:t>
        </w:r>
      </w:ins>
      <w:r>
        <w:rPr>
          <w:sz w:val="24"/>
          <w:szCs w:val="24"/>
        </w:rPr>
        <w:t>(</w:t>
      </w:r>
      <w:ins w:id="270" w:author="Dave Bridges" w:date="2019-04-03T14:38:00Z">
        <w:r w:rsidR="009E3491">
          <w:rPr>
            <w:sz w:val="24"/>
            <w:szCs w:val="24"/>
          </w:rPr>
          <w:t>E-F</w:t>
        </w:r>
      </w:ins>
      <w:del w:id="271" w:author="Dave Bridges" w:date="2019-04-03T14:38:00Z">
        <w:r w:rsidDel="009E3491">
          <w:rPr>
            <w:sz w:val="24"/>
            <w:szCs w:val="24"/>
          </w:rPr>
          <w:delText>e-f</w:delText>
        </w:r>
      </w:del>
      <w:r>
        <w:rPr>
          <w:sz w:val="24"/>
          <w:szCs w:val="24"/>
        </w:rPr>
        <w:t xml:space="preserve">). </w:t>
      </w:r>
      <w:del w:id="272" w:author="Dave Bridges" w:date="2019-04-03T14:38:00Z">
        <w:r w:rsidDel="009E3491">
          <w:rPr>
            <w:sz w:val="24"/>
            <w:szCs w:val="24"/>
          </w:rPr>
          <w:delText xml:space="preserve">N=5-8 per group. </w:delText>
        </w:r>
      </w:del>
      <w:ins w:id="273" w:author="Dave Bridges" w:date="2019-04-03T14:49:00Z">
        <w:r w:rsidR="00655115">
          <w:rPr>
            <w:sz w:val="24"/>
            <w:szCs w:val="24"/>
          </w:rPr>
          <w:t>Asterisks</w:t>
        </w:r>
      </w:ins>
      <w:del w:id="274" w:author="Dave Bridges" w:date="2019-04-03T14:38:00Z">
        <w:r w:rsidDel="009E3491">
          <w:rPr>
            <w:sz w:val="24"/>
            <w:szCs w:val="24"/>
          </w:rPr>
          <w:delText>*</w:delText>
        </w:r>
      </w:del>
      <w:ins w:id="275" w:author="Dave Bridges" w:date="2019-04-03T14:38:00Z">
        <w:r w:rsidR="009E3491">
          <w:rPr>
            <w:sz w:val="24"/>
            <w:szCs w:val="24"/>
          </w:rPr>
          <w:t xml:space="preserve"> indicate significant </w:t>
        </w:r>
      </w:ins>
      <w:del w:id="276" w:author="Dave Bridges" w:date="2019-04-03T14:38:00Z">
        <w:r w:rsidDel="009E3491">
          <w:rPr>
            <w:sz w:val="24"/>
            <w:szCs w:val="24"/>
          </w:rPr>
          <w:delText>=</w:delText>
        </w:r>
      </w:del>
      <w:del w:id="277" w:author="Dave Bridges" w:date="2019-04-03T14:39:00Z">
        <w:r w:rsidDel="009E3491">
          <w:rPr>
            <w:sz w:val="24"/>
            <w:szCs w:val="24"/>
          </w:rPr>
          <w:delText>Diet-Treatment</w:delText>
        </w:r>
      </w:del>
      <w:r>
        <w:rPr>
          <w:sz w:val="24"/>
          <w:szCs w:val="24"/>
        </w:rPr>
        <w:t xml:space="preserve"> interaction</w:t>
      </w:r>
      <w:ins w:id="278" w:author="Dave Bridges" w:date="2019-04-03T14:39:00Z">
        <w:r w:rsidR="009E3491">
          <w:rPr>
            <w:sz w:val="24"/>
            <w:szCs w:val="24"/>
          </w:rPr>
          <w:t xml:space="preserve"> between diet and dexamethasone treatment</w:t>
        </w:r>
      </w:ins>
      <w:r>
        <w:rPr>
          <w:sz w:val="24"/>
          <w:szCs w:val="24"/>
        </w:rPr>
        <w:t xml:space="preserve"> </w:t>
      </w:r>
      <w:del w:id="279" w:author="Dave Bridges" w:date="2019-04-03T14:39:00Z">
        <w:r w:rsidDel="009E3491">
          <w:rPr>
            <w:sz w:val="24"/>
            <w:szCs w:val="24"/>
          </w:rPr>
          <w:delText xml:space="preserve">identified </w:delText>
        </w:r>
      </w:del>
      <w:r>
        <w:rPr>
          <w:sz w:val="24"/>
          <w:szCs w:val="24"/>
        </w:rPr>
        <w:t xml:space="preserve">by </w:t>
      </w:r>
      <w:ins w:id="280" w:author="Dave Bridges" w:date="2019-04-03T14:39:00Z">
        <w:r w:rsidR="009E3491">
          <w:rPr>
            <w:sz w:val="24"/>
            <w:szCs w:val="24"/>
          </w:rPr>
          <w:t>t</w:t>
        </w:r>
      </w:ins>
      <w:del w:id="281" w:author="Dave Bridges" w:date="2019-04-03T14:39:00Z">
        <w:r w:rsidDel="009E3491">
          <w:rPr>
            <w:sz w:val="24"/>
            <w:szCs w:val="24"/>
          </w:rPr>
          <w:delText>T</w:delText>
        </w:r>
      </w:del>
      <w:r>
        <w:rPr>
          <w:sz w:val="24"/>
          <w:szCs w:val="24"/>
        </w:rPr>
        <w:t>wo-</w:t>
      </w:r>
      <w:ins w:id="282" w:author="Dave Bridges" w:date="2019-04-03T14:39:00Z">
        <w:r w:rsidR="009E3491">
          <w:rPr>
            <w:sz w:val="24"/>
            <w:szCs w:val="24"/>
          </w:rPr>
          <w:t>w</w:t>
        </w:r>
      </w:ins>
      <w:del w:id="283" w:author="Dave Bridges" w:date="2019-04-03T14:39:00Z">
        <w:r w:rsidDel="009E3491">
          <w:rPr>
            <w:sz w:val="24"/>
            <w:szCs w:val="24"/>
          </w:rPr>
          <w:delText>W</w:delText>
        </w:r>
      </w:del>
      <w:r>
        <w:rPr>
          <w:sz w:val="24"/>
          <w:szCs w:val="24"/>
        </w:rPr>
        <w:t>ay ANOVA</w:t>
      </w:r>
      <w:ins w:id="284" w:author="Dave Bridges" w:date="2019-04-03T14:38:00Z">
        <w:r w:rsidR="009E3491">
          <w:rPr>
            <w:sz w:val="24"/>
            <w:szCs w:val="24"/>
          </w:rPr>
          <w:t xml:space="preserve"> (n=5-8 per group)</w:t>
        </w:r>
      </w:ins>
      <w:r>
        <w:rPr>
          <w:sz w:val="24"/>
          <w:szCs w:val="24"/>
        </w:rPr>
        <w:t>.</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6ABBF3E2" w14:textId="23D8A59D" w:rsidR="00BF40A8" w:rsidDel="00655115" w:rsidRDefault="00E161E7">
      <w:pPr>
        <w:spacing w:line="360" w:lineRule="auto"/>
        <w:rPr>
          <w:del w:id="285" w:author="Dave Bridges" w:date="2019-04-03T14:49:00Z"/>
          <w:sz w:val="24"/>
          <w:szCs w:val="24"/>
        </w:rPr>
      </w:pPr>
      <w:r>
        <w:rPr>
          <w:sz w:val="24"/>
          <w:szCs w:val="24"/>
        </w:rPr>
        <w:lastRenderedPageBreak/>
        <w:t xml:space="preserve">Lean mass </w:t>
      </w:r>
      <w:ins w:id="286" w:author="Dave Bridges" w:date="2019-04-03T14:47:00Z">
        <w:r w:rsidR="006A5016">
          <w:rPr>
            <w:sz w:val="24"/>
            <w:szCs w:val="24"/>
          </w:rPr>
          <w:t xml:space="preserve">determined </w:t>
        </w:r>
      </w:ins>
      <w:r>
        <w:rPr>
          <w:sz w:val="24"/>
          <w:szCs w:val="24"/>
        </w:rPr>
        <w:t xml:space="preserve">via </w:t>
      </w:r>
      <w:proofErr w:type="spellStart"/>
      <w:r>
        <w:rPr>
          <w:sz w:val="24"/>
          <w:szCs w:val="24"/>
        </w:rPr>
        <w:t>EchoMRI</w:t>
      </w:r>
      <w:proofErr w:type="spellEnd"/>
      <w:r>
        <w:rPr>
          <w:sz w:val="24"/>
          <w:szCs w:val="24"/>
        </w:rPr>
        <w:t xml:space="preserve"> (</w:t>
      </w:r>
      <w:ins w:id="287" w:author="Dave Bridges" w:date="2019-04-03T14:47:00Z">
        <w:r w:rsidR="006A5016">
          <w:rPr>
            <w:sz w:val="24"/>
            <w:szCs w:val="24"/>
          </w:rPr>
          <w:t>A</w:t>
        </w:r>
      </w:ins>
      <w:del w:id="288" w:author="Dave Bridges" w:date="2019-04-03T14:47:00Z">
        <w:r w:rsidDel="006A5016">
          <w:rPr>
            <w:sz w:val="24"/>
            <w:szCs w:val="24"/>
          </w:rPr>
          <w:delText>a</w:delText>
        </w:r>
      </w:del>
      <w:r>
        <w:rPr>
          <w:sz w:val="24"/>
          <w:szCs w:val="24"/>
        </w:rPr>
        <w:t>) and muscle weights (</w:t>
      </w:r>
      <w:ins w:id="289" w:author="Dave Bridges" w:date="2019-04-03T14:47:00Z">
        <w:r w:rsidR="006A5016">
          <w:rPr>
            <w:sz w:val="24"/>
            <w:szCs w:val="24"/>
          </w:rPr>
          <w:t>B</w:t>
        </w:r>
      </w:ins>
      <w:del w:id="290" w:author="Dave Bridges" w:date="2019-04-03T14:47:00Z">
        <w:r w:rsidDel="006A5016">
          <w:rPr>
            <w:sz w:val="24"/>
            <w:szCs w:val="24"/>
          </w:rPr>
          <w:delText>b</w:delText>
        </w:r>
      </w:del>
      <w:r>
        <w:rPr>
          <w:sz w:val="24"/>
          <w:szCs w:val="24"/>
        </w:rPr>
        <w:t>) in lean and obese mice following 6 weeks of dexamethasone treatment</w:t>
      </w:r>
      <w:del w:id="291" w:author="Dave Bridges" w:date="2019-04-03T14:47:00Z">
        <w:r w:rsidDel="006A5016">
          <w:rPr>
            <w:sz w:val="24"/>
            <w:szCs w:val="24"/>
          </w:rPr>
          <w:delText>.</w:delText>
        </w:r>
      </w:del>
      <w:r>
        <w:rPr>
          <w:sz w:val="24"/>
          <w:szCs w:val="24"/>
        </w:rPr>
        <w:t xml:space="preserve"> </w:t>
      </w:r>
      <w:ins w:id="292" w:author="Dave Bridges" w:date="2019-04-03T14:47:00Z">
        <w:r w:rsidR="006A5016">
          <w:rPr>
            <w:sz w:val="24"/>
            <w:szCs w:val="24"/>
          </w:rPr>
          <w:t>(n</w:t>
        </w:r>
      </w:ins>
      <w:del w:id="293" w:author="Dave Bridges" w:date="2019-04-03T14:47:00Z">
        <w:r w:rsidDel="006A5016">
          <w:rPr>
            <w:sz w:val="24"/>
            <w:szCs w:val="24"/>
          </w:rPr>
          <w:delText>N</w:delText>
        </w:r>
      </w:del>
      <w:r>
        <w:rPr>
          <w:sz w:val="24"/>
          <w:szCs w:val="24"/>
        </w:rPr>
        <w:t>=8-22 per group</w:t>
      </w:r>
      <w:ins w:id="294" w:author="Dave Bridges" w:date="2019-04-03T14:47:00Z">
        <w:r w:rsidR="006A5016">
          <w:rPr>
            <w:sz w:val="24"/>
            <w:szCs w:val="24"/>
          </w:rPr>
          <w:t>)</w:t>
        </w:r>
      </w:ins>
      <w:r>
        <w:rPr>
          <w:sz w:val="24"/>
          <w:szCs w:val="24"/>
        </w:rPr>
        <w:t>. Data collected by Innocence Harvey. Gastrocnemius we</w:t>
      </w:r>
      <w:ins w:id="295" w:author="Dave Bridges" w:date="2019-04-03T14:47:00Z">
        <w:r w:rsidR="006A5016">
          <w:rPr>
            <w:sz w:val="24"/>
            <w:szCs w:val="24"/>
          </w:rPr>
          <w:t>i</w:t>
        </w:r>
      </w:ins>
      <w:del w:id="296" w:author="Dave Bridges" w:date="2019-04-03T14:47:00Z">
        <w:r w:rsidDel="006A5016">
          <w:rPr>
            <w:sz w:val="24"/>
            <w:szCs w:val="24"/>
          </w:rPr>
          <w:delText>I</w:delText>
        </w:r>
      </w:del>
      <w:r>
        <w:rPr>
          <w:sz w:val="24"/>
          <w:szCs w:val="24"/>
        </w:rPr>
        <w:t>ghts (</w:t>
      </w:r>
      <w:ins w:id="297" w:author="Dave Bridges" w:date="2019-04-03T14:47:00Z">
        <w:r w:rsidR="006A5016">
          <w:rPr>
            <w:sz w:val="24"/>
            <w:szCs w:val="24"/>
          </w:rPr>
          <w:t>C</w:t>
        </w:r>
      </w:ins>
      <w:del w:id="298" w:author="Dave Bridges" w:date="2019-04-03T14:47:00Z">
        <w:r w:rsidDel="006A5016">
          <w:rPr>
            <w:sz w:val="24"/>
            <w:szCs w:val="24"/>
          </w:rPr>
          <w:delText>c</w:delText>
        </w:r>
      </w:del>
      <w:r>
        <w:rPr>
          <w:sz w:val="24"/>
          <w:szCs w:val="24"/>
        </w:rPr>
        <w:t xml:space="preserve">) and </w:t>
      </w:r>
      <w:del w:id="299" w:author="Dave Bridges" w:date="2019-04-03T14:47:00Z">
        <w:r w:rsidDel="006A5016">
          <w:rPr>
            <w:sz w:val="24"/>
            <w:szCs w:val="24"/>
          </w:rPr>
          <w:delText xml:space="preserve">CSA </w:delText>
        </w:r>
      </w:del>
      <w:ins w:id="300" w:author="Dave Bridges" w:date="2019-04-03T14:47:00Z">
        <w:r w:rsidR="006A5016">
          <w:rPr>
            <w:sz w:val="24"/>
            <w:szCs w:val="24"/>
          </w:rPr>
          <w:t xml:space="preserve">cross-sectional area </w:t>
        </w:r>
      </w:ins>
      <w:r>
        <w:rPr>
          <w:sz w:val="24"/>
          <w:szCs w:val="24"/>
        </w:rPr>
        <w:t>(</w:t>
      </w:r>
      <w:ins w:id="301" w:author="Dave Bridges" w:date="2019-04-03T14:47:00Z">
        <w:r w:rsidR="006A5016">
          <w:rPr>
            <w:sz w:val="24"/>
            <w:szCs w:val="24"/>
          </w:rPr>
          <w:t>D</w:t>
        </w:r>
      </w:ins>
      <w:del w:id="302" w:author="Dave Bridges" w:date="2019-04-03T14:47:00Z">
        <w:r w:rsidDel="006A5016">
          <w:rPr>
            <w:sz w:val="24"/>
            <w:szCs w:val="24"/>
          </w:rPr>
          <w:delText>d</w:delText>
        </w:r>
      </w:del>
      <w:r>
        <w:rPr>
          <w:sz w:val="24"/>
          <w:szCs w:val="24"/>
        </w:rPr>
        <w:t>) in lean and obese mice treated with dexamethasone</w:t>
      </w:r>
      <w:del w:id="303" w:author="Dave Bridges" w:date="2019-04-03T14:47:00Z">
        <w:r w:rsidDel="006A5016">
          <w:rPr>
            <w:sz w:val="24"/>
            <w:szCs w:val="24"/>
          </w:rPr>
          <w:delText xml:space="preserve"> </w:delText>
        </w:r>
      </w:del>
      <w:r>
        <w:rPr>
          <w:sz w:val="24"/>
          <w:szCs w:val="24"/>
        </w:rPr>
        <w:t xml:space="preserve"> for 15-21 days</w:t>
      </w:r>
      <w:ins w:id="304" w:author="Dave Bridges" w:date="2019-04-03T14:47:00Z">
        <w:r w:rsidR="006A5016">
          <w:rPr>
            <w:sz w:val="24"/>
            <w:szCs w:val="24"/>
          </w:rPr>
          <w:t xml:space="preserve"> (n</w:t>
        </w:r>
      </w:ins>
      <w:del w:id="305" w:author="Dave Bridges" w:date="2019-04-03T14:47:00Z">
        <w:r w:rsidDel="006A5016">
          <w:rPr>
            <w:sz w:val="24"/>
            <w:szCs w:val="24"/>
          </w:rPr>
          <w:delText>. N</w:delText>
        </w:r>
      </w:del>
      <w:r>
        <w:rPr>
          <w:sz w:val="24"/>
          <w:szCs w:val="24"/>
        </w:rPr>
        <w:t>=5-8 per group</w:t>
      </w:r>
      <w:ins w:id="306" w:author="Dave Bridges" w:date="2019-04-03T14:47:00Z">
        <w:r w:rsidR="006A5016">
          <w:rPr>
            <w:sz w:val="24"/>
            <w:szCs w:val="24"/>
          </w:rPr>
          <w:t>)</w:t>
        </w:r>
      </w:ins>
      <w:r>
        <w:rPr>
          <w:sz w:val="24"/>
          <w:szCs w:val="24"/>
        </w:rPr>
        <w:t>. H&amp;E stained section of quadriceps (</w:t>
      </w:r>
      <w:ins w:id="307" w:author="Dave Bridges" w:date="2019-04-03T14:47:00Z">
        <w:r w:rsidR="006A5016">
          <w:rPr>
            <w:sz w:val="24"/>
            <w:szCs w:val="24"/>
          </w:rPr>
          <w:t>E</w:t>
        </w:r>
      </w:ins>
      <w:del w:id="308" w:author="Dave Bridges" w:date="2019-04-03T14:47:00Z">
        <w:r w:rsidDel="006A5016">
          <w:rPr>
            <w:sz w:val="24"/>
            <w:szCs w:val="24"/>
          </w:rPr>
          <w:delText>e</w:delText>
        </w:r>
      </w:del>
      <w:r>
        <w:rPr>
          <w:sz w:val="24"/>
          <w:szCs w:val="24"/>
        </w:rPr>
        <w:t xml:space="preserve">) from mice treated with vehicle (water) or dexamethasone for six weeks. </w:t>
      </w:r>
      <w:del w:id="309" w:author="Dave Bridges" w:date="2019-04-03T14:48:00Z">
        <w:r w:rsidDel="00655115">
          <w:rPr>
            <w:sz w:val="24"/>
            <w:szCs w:val="24"/>
          </w:rPr>
          <w:delText xml:space="preserve">N=4 quadricep sections per group. </w:delText>
        </w:r>
      </w:del>
      <w:r>
        <w:rPr>
          <w:sz w:val="24"/>
          <w:szCs w:val="24"/>
        </w:rPr>
        <w:t xml:space="preserve">Average fiber </w:t>
      </w:r>
      <w:del w:id="310" w:author="Dave Bridges" w:date="2019-04-03T14:48:00Z">
        <w:r w:rsidDel="00655115">
          <w:rPr>
            <w:sz w:val="24"/>
            <w:szCs w:val="24"/>
          </w:rPr>
          <w:delText xml:space="preserve">CSA </w:delText>
        </w:r>
      </w:del>
      <w:ins w:id="311" w:author="Dave Bridges" w:date="2019-04-03T14:48:00Z">
        <w:r w:rsidR="00655115">
          <w:rPr>
            <w:sz w:val="24"/>
            <w:szCs w:val="24"/>
          </w:rPr>
          <w:t>cross-sectional area</w:t>
        </w:r>
        <w:r w:rsidR="00655115">
          <w:rPr>
            <w:sz w:val="24"/>
            <w:szCs w:val="24"/>
          </w:rPr>
          <w:t xml:space="preserve"> </w:t>
        </w:r>
      </w:ins>
      <w:r>
        <w:rPr>
          <w:sz w:val="24"/>
          <w:szCs w:val="24"/>
        </w:rPr>
        <w:t>(</w:t>
      </w:r>
      <w:ins w:id="312" w:author="Dave Bridges" w:date="2019-04-03T14:48:00Z">
        <w:r w:rsidR="00655115">
          <w:rPr>
            <w:sz w:val="24"/>
            <w:szCs w:val="24"/>
          </w:rPr>
          <w:t>F</w:t>
        </w:r>
      </w:ins>
      <w:del w:id="313" w:author="Dave Bridges" w:date="2019-04-03T14:48:00Z">
        <w:r w:rsidDel="00655115">
          <w:rPr>
            <w:sz w:val="24"/>
            <w:szCs w:val="24"/>
          </w:rPr>
          <w:delText>f</w:delText>
        </w:r>
      </w:del>
      <w:r>
        <w:rPr>
          <w:sz w:val="24"/>
          <w:szCs w:val="24"/>
        </w:rPr>
        <w:t xml:space="preserve">) </w:t>
      </w:r>
      <w:ins w:id="314" w:author="Dave Bridges" w:date="2019-04-03T14:48:00Z">
        <w:r w:rsidR="00655115">
          <w:rPr>
            <w:sz w:val="24"/>
            <w:szCs w:val="24"/>
          </w:rPr>
          <w:t xml:space="preserve">averaged </w:t>
        </w:r>
      </w:ins>
      <w:r>
        <w:rPr>
          <w:sz w:val="24"/>
          <w:szCs w:val="24"/>
        </w:rPr>
        <w:t>from 200 fibers per quadricep section</w:t>
      </w:r>
      <w:ins w:id="315" w:author="Dave Bridges" w:date="2019-04-03T14:48:00Z">
        <w:r w:rsidR="00655115">
          <w:rPr>
            <w:sz w:val="24"/>
            <w:szCs w:val="24"/>
          </w:rPr>
          <w:t xml:space="preserve"> (n=4 mice per group)</w:t>
        </w:r>
      </w:ins>
      <w:r>
        <w:rPr>
          <w:sz w:val="24"/>
          <w:szCs w:val="24"/>
        </w:rPr>
        <w:t>. NADH-NBT stained section of quadriceps (</w:t>
      </w:r>
      <w:ins w:id="316" w:author="Dave Bridges" w:date="2019-04-03T14:48:00Z">
        <w:r w:rsidR="00655115">
          <w:rPr>
            <w:sz w:val="24"/>
            <w:szCs w:val="24"/>
          </w:rPr>
          <w:t>G</w:t>
        </w:r>
      </w:ins>
      <w:del w:id="317" w:author="Dave Bridges" w:date="2019-04-03T14:48:00Z">
        <w:r w:rsidDel="00655115">
          <w:rPr>
            <w:sz w:val="24"/>
            <w:szCs w:val="24"/>
          </w:rPr>
          <w:delText>g</w:delText>
        </w:r>
      </w:del>
      <w:r>
        <w:rPr>
          <w:sz w:val="24"/>
          <w:szCs w:val="24"/>
        </w:rPr>
        <w:t xml:space="preserve">) from mice treated with vehicle (water) or dexamethasone for six weeks. Percent of oxidative or type I fibers to total </w:t>
      </w:r>
      <w:del w:id="318" w:author="Dave Bridges" w:date="2019-04-03T14:50:00Z">
        <w:r w:rsidDel="00655115">
          <w:rPr>
            <w:sz w:val="24"/>
            <w:szCs w:val="24"/>
          </w:rPr>
          <w:delText xml:space="preserve">mouse </w:delText>
        </w:r>
      </w:del>
      <w:r>
        <w:rPr>
          <w:sz w:val="24"/>
          <w:szCs w:val="24"/>
        </w:rPr>
        <w:t>fibers (</w:t>
      </w:r>
      <w:ins w:id="319" w:author="Dave Bridges" w:date="2019-04-03T14:48:00Z">
        <w:r w:rsidR="00655115">
          <w:rPr>
            <w:sz w:val="24"/>
            <w:szCs w:val="24"/>
          </w:rPr>
          <w:t>H</w:t>
        </w:r>
      </w:ins>
      <w:ins w:id="320" w:author="Dave Bridges" w:date="2019-04-03T14:49:00Z">
        <w:r w:rsidR="00655115">
          <w:rPr>
            <w:sz w:val="24"/>
            <w:szCs w:val="24"/>
          </w:rPr>
          <w:t>; n=4</w:t>
        </w:r>
      </w:ins>
      <w:del w:id="321" w:author="Dave Bridges" w:date="2019-04-03T14:48:00Z">
        <w:r w:rsidDel="00655115">
          <w:rPr>
            <w:sz w:val="24"/>
            <w:szCs w:val="24"/>
          </w:rPr>
          <w:delText>h</w:delText>
        </w:r>
      </w:del>
      <w:r>
        <w:rPr>
          <w:sz w:val="24"/>
          <w:szCs w:val="24"/>
        </w:rPr>
        <w:t>).</w:t>
      </w:r>
      <w:ins w:id="322" w:author="Dave Bridges" w:date="2019-04-03T14:49:00Z">
        <w:r w:rsidR="00655115">
          <w:rPr>
            <w:sz w:val="24"/>
            <w:szCs w:val="24"/>
          </w:rPr>
          <w:t xml:space="preserve">  </w:t>
        </w:r>
      </w:ins>
      <w:del w:id="323" w:author="Dave Bridges" w:date="2019-04-03T14:49:00Z">
        <w:r w:rsidDel="00655115">
          <w:rPr>
            <w:sz w:val="24"/>
            <w:szCs w:val="24"/>
          </w:rPr>
          <w:delText xml:space="preserve"> N=4 quadricep sections per group. </w:delText>
        </w:r>
      </w:del>
      <w:r>
        <w:rPr>
          <w:sz w:val="24"/>
          <w:szCs w:val="24"/>
        </w:rPr>
        <w:t xml:space="preserve">Average fiber </w:t>
      </w:r>
      <w:del w:id="324" w:author="Dave Bridges" w:date="2019-04-03T14:49:00Z">
        <w:r w:rsidDel="00655115">
          <w:rPr>
            <w:sz w:val="24"/>
            <w:szCs w:val="24"/>
          </w:rPr>
          <w:delText xml:space="preserve">CSA </w:delText>
        </w:r>
      </w:del>
      <w:ins w:id="325" w:author="Dave Bridges" w:date="2019-04-03T14:49:00Z">
        <w:r w:rsidR="00655115">
          <w:rPr>
            <w:sz w:val="24"/>
            <w:szCs w:val="24"/>
          </w:rPr>
          <w:t>cross-sectional area separated</w:t>
        </w:r>
        <w:r w:rsidR="00655115">
          <w:rPr>
            <w:sz w:val="24"/>
            <w:szCs w:val="24"/>
          </w:rPr>
          <w:t xml:space="preserve"> </w:t>
        </w:r>
      </w:ins>
      <w:r>
        <w:rPr>
          <w:sz w:val="24"/>
          <w:szCs w:val="24"/>
        </w:rPr>
        <w:t xml:space="preserve">by NADH-NBT staining density </w:t>
      </w:r>
      <w:ins w:id="326" w:author="Dave Bridges" w:date="2019-04-03T14:50:00Z">
        <w:r w:rsidR="00655115">
          <w:rPr>
            <w:sz w:val="24"/>
            <w:szCs w:val="24"/>
          </w:rPr>
          <w:t xml:space="preserve">with dark fibers indicating oxidative or type I muscle fibers </w:t>
        </w:r>
      </w:ins>
      <w:r>
        <w:rPr>
          <w:sz w:val="24"/>
          <w:szCs w:val="24"/>
        </w:rPr>
        <w:t>(</w:t>
      </w:r>
      <w:ins w:id="327" w:author="Dave Bridges" w:date="2019-04-03T14:50:00Z">
        <w:r w:rsidR="00655115">
          <w:rPr>
            <w:sz w:val="24"/>
            <w:szCs w:val="24"/>
          </w:rPr>
          <w:t>I</w:t>
        </w:r>
      </w:ins>
      <w:del w:id="328" w:author="Dave Bridges" w:date="2019-04-03T14:50:00Z">
        <w:r w:rsidDel="00655115">
          <w:rPr>
            <w:sz w:val="24"/>
            <w:szCs w:val="24"/>
          </w:rPr>
          <w:delText>i</w:delText>
        </w:r>
      </w:del>
      <w:r>
        <w:rPr>
          <w:sz w:val="24"/>
          <w:szCs w:val="24"/>
        </w:rPr>
        <w:t xml:space="preserve">). </w:t>
      </w:r>
      <w:ins w:id="329" w:author="Dave Bridges" w:date="2019-04-03T14:49:00Z">
        <w:r w:rsidR="00655115">
          <w:rPr>
            <w:sz w:val="24"/>
            <w:szCs w:val="24"/>
          </w:rPr>
          <w:t>Asterisks</w:t>
        </w:r>
        <w:r w:rsidR="00655115">
          <w:rPr>
            <w:sz w:val="24"/>
            <w:szCs w:val="24"/>
          </w:rPr>
          <w:t xml:space="preserve"> indicate </w:t>
        </w:r>
        <w:proofErr w:type="gramStart"/>
        <w:r w:rsidR="00655115">
          <w:rPr>
            <w:sz w:val="24"/>
            <w:szCs w:val="24"/>
          </w:rPr>
          <w:t xml:space="preserve">significant </w:t>
        </w:r>
        <w:r w:rsidR="00655115">
          <w:rPr>
            <w:sz w:val="24"/>
            <w:szCs w:val="24"/>
          </w:rPr>
          <w:t xml:space="preserve"> interaction</w:t>
        </w:r>
        <w:proofErr w:type="gramEnd"/>
        <w:r w:rsidR="00655115">
          <w:rPr>
            <w:sz w:val="24"/>
            <w:szCs w:val="24"/>
          </w:rPr>
          <w:t xml:space="preserve"> between diet and dexamethasone treatment</w:t>
        </w:r>
        <w:r w:rsidR="00655115">
          <w:rPr>
            <w:sz w:val="24"/>
            <w:szCs w:val="24"/>
          </w:rPr>
          <w:t xml:space="preserve"> by </w:t>
        </w:r>
        <w:r w:rsidR="00655115">
          <w:rPr>
            <w:sz w:val="24"/>
            <w:szCs w:val="24"/>
          </w:rPr>
          <w:t>t</w:t>
        </w:r>
        <w:r w:rsidR="00655115">
          <w:rPr>
            <w:sz w:val="24"/>
            <w:szCs w:val="24"/>
          </w:rPr>
          <w:t>wo-</w:t>
        </w:r>
        <w:r w:rsidR="00655115">
          <w:rPr>
            <w:sz w:val="24"/>
            <w:szCs w:val="24"/>
          </w:rPr>
          <w:t>w</w:t>
        </w:r>
        <w:r w:rsidR="00655115">
          <w:rPr>
            <w:sz w:val="24"/>
            <w:szCs w:val="24"/>
          </w:rPr>
          <w:t>ay ANOVA.</w:t>
        </w:r>
      </w:ins>
      <w:del w:id="330" w:author="Dave Bridges" w:date="2019-04-03T14:49:00Z">
        <w:r w:rsidDel="00655115">
          <w:rPr>
            <w:sz w:val="24"/>
            <w:szCs w:val="24"/>
          </w:rPr>
          <w:delText>*=Diet-Treatment interaction identified by Two-Way ANOVA.</w:delText>
        </w:r>
      </w:del>
    </w:p>
    <w:p w14:paraId="3B6ABE67" w14:textId="77777777" w:rsidR="00655115" w:rsidRDefault="00655115">
      <w:pPr>
        <w:spacing w:line="360" w:lineRule="auto"/>
        <w:rPr>
          <w:ins w:id="331" w:author="Dave Bridges" w:date="2019-04-03T14:49:00Z"/>
          <w:sz w:val="24"/>
          <w:szCs w:val="24"/>
        </w:rPr>
      </w:pP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161E7">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4-03T14:16:00Z" w:initials="DB">
    <w:p w14:paraId="0A7E892B" w14:textId="0D20C4B0" w:rsidR="006A5016" w:rsidRDefault="006A5016">
      <w:pPr>
        <w:pStyle w:val="CommentText"/>
      </w:pPr>
      <w:r>
        <w:rPr>
          <w:rStyle w:val="CommentReference"/>
        </w:rPr>
        <w:annotationRef/>
      </w:r>
      <w:r>
        <w:t xml:space="preserve">Need to know what references these </w:t>
      </w:r>
      <w:proofErr w:type="spellStart"/>
      <w:r>
        <w:t>arew</w:t>
      </w:r>
      <w:proofErr w:type="spellEnd"/>
      <w:r>
        <w:t>.</w:t>
      </w:r>
    </w:p>
  </w:comment>
  <w:comment w:id="1" w:author="Dave Bridges" w:date="2019-04-03T14:17:00Z" w:initials="DB">
    <w:p w14:paraId="60AC3D14" w14:textId="3F2D84B5" w:rsidR="006A5016" w:rsidRDefault="006A5016">
      <w:pPr>
        <w:pStyle w:val="CommentText"/>
      </w:pPr>
      <w:r>
        <w:rPr>
          <w:rStyle w:val="CommentReference"/>
        </w:rPr>
        <w:annotationRef/>
      </w:r>
      <w:r>
        <w:t xml:space="preserve">Find a more recent general review on insulin action.  If you </w:t>
      </w:r>
      <w:proofErr w:type="spellStart"/>
      <w:proofErr w:type="gramStart"/>
      <w:r>
        <w:t>cant</w:t>
      </w:r>
      <w:proofErr w:type="spellEnd"/>
      <w:proofErr w:type="gramEnd"/>
      <w:r>
        <w:t xml:space="preserve"> find a newer one use </w:t>
      </w:r>
      <w:proofErr w:type="spellStart"/>
      <w:r>
        <w:t>Saltiel</w:t>
      </w:r>
      <w:proofErr w:type="spellEnd"/>
      <w:r>
        <w:t xml:space="preserve"> and Kahn 2001 Nature.</w:t>
      </w:r>
    </w:p>
  </w:comment>
  <w:comment w:id="2" w:author="Dave Bridges" w:date="2019-03-30T11:19:00Z" w:initials="DB">
    <w:p w14:paraId="1CB1B8B1" w14:textId="1485B352" w:rsidR="006A5016" w:rsidRDefault="006A5016">
      <w:pPr>
        <w:pStyle w:val="CommentText"/>
      </w:pPr>
      <w:r>
        <w:rPr>
          <w:rStyle w:val="CommentReference"/>
        </w:rPr>
        <w:annotationRef/>
      </w:r>
      <w:r>
        <w:t>Reference needed</w:t>
      </w:r>
    </w:p>
  </w:comment>
  <w:comment w:id="3" w:author="Dave Bridges" w:date="2019-04-03T14:18:00Z" w:initials="DB">
    <w:p w14:paraId="183758BF" w14:textId="7F422ABE" w:rsidR="006A5016" w:rsidRDefault="006A5016">
      <w:pPr>
        <w:pStyle w:val="CommentText"/>
      </w:pPr>
      <w:r>
        <w:rPr>
          <w:rStyle w:val="CommentReference"/>
        </w:rPr>
        <w:annotationRef/>
      </w:r>
      <w:r>
        <w:t>Need reference.</w:t>
      </w:r>
    </w:p>
  </w:comment>
  <w:comment w:id="5" w:author="Dave Bridges" w:date="2019-03-30T10:47:00Z" w:initials="DB">
    <w:p w14:paraId="5C0E3AE9" w14:textId="220A93A6" w:rsidR="006A5016" w:rsidRDefault="006A5016">
      <w:pPr>
        <w:pStyle w:val="CommentText"/>
      </w:pPr>
      <w:r>
        <w:rPr>
          <w:rStyle w:val="CommentReference"/>
        </w:rPr>
        <w:annotationRef/>
      </w:r>
      <w:r>
        <w:t>What is the full reference, PMID or DOI for this</w:t>
      </w:r>
    </w:p>
  </w:comment>
  <w:comment w:id="6" w:author="Dave Bridges" w:date="2019-03-30T11:00:00Z" w:initials="DB">
    <w:p w14:paraId="21C343CB" w14:textId="5F3F2F06" w:rsidR="006A5016" w:rsidRDefault="006A5016">
      <w:pPr>
        <w:pStyle w:val="CommentText"/>
      </w:pPr>
      <w:r>
        <w:rPr>
          <w:rStyle w:val="CommentReference"/>
        </w:rPr>
        <w:annotationRef/>
      </w:r>
      <w:r>
        <w:t>We need to know water consumption still.</w:t>
      </w:r>
    </w:p>
  </w:comment>
  <w:comment w:id="7" w:author="Dave Bridges" w:date="2019-04-03T14:21:00Z" w:initials="DB">
    <w:p w14:paraId="735B118B" w14:textId="39337CBE" w:rsidR="006A5016" w:rsidRDefault="006A5016">
      <w:pPr>
        <w:pStyle w:val="CommentText"/>
      </w:pPr>
      <w:r>
        <w:rPr>
          <w:rStyle w:val="CommentReference"/>
        </w:rPr>
        <w:annotationRef/>
      </w:r>
      <w:r>
        <w:t>Torque or force?</w:t>
      </w:r>
    </w:p>
  </w:comment>
  <w:comment w:id="10" w:author="Dave Bridges" w:date="2019-03-30T11:10:00Z" w:initials="DB">
    <w:p w14:paraId="51D19D44" w14:textId="6C508245" w:rsidR="006A5016" w:rsidRDefault="006A5016">
      <w:pPr>
        <w:pStyle w:val="CommentText"/>
      </w:pPr>
      <w:r>
        <w:rPr>
          <w:rStyle w:val="CommentReference"/>
        </w:rPr>
        <w:annotationRef/>
      </w:r>
      <w:r>
        <w:t>Needs details or a reference.</w:t>
      </w:r>
    </w:p>
  </w:comment>
  <w:comment w:id="13" w:author="Dave Bridges" w:date="2019-03-30T10:39:00Z" w:initials="DB">
    <w:p w14:paraId="53382B0E" w14:textId="77777777" w:rsidR="006A5016" w:rsidRDefault="006A5016">
      <w:pPr>
        <w:pStyle w:val="CommentText"/>
      </w:pPr>
      <w:r>
        <w:rPr>
          <w:rStyle w:val="CommentReference"/>
        </w:rPr>
        <w:annotationRef/>
      </w:r>
      <w:r>
        <w:t>Needs control gene, make this a table and put at the end</w:t>
      </w:r>
    </w:p>
  </w:comment>
  <w:comment w:id="46" w:author="Dave Bridges" w:date="2019-03-30T11:15:00Z" w:initials="DB">
    <w:p w14:paraId="5DB2CC24" w14:textId="31906BD1" w:rsidR="006A5016" w:rsidRDefault="006A5016">
      <w:pPr>
        <w:pStyle w:val="CommentText"/>
      </w:pPr>
      <w:r>
        <w:rPr>
          <w:rStyle w:val="CommentReference"/>
        </w:rPr>
        <w:annotationRef/>
      </w:r>
      <w:r>
        <w:t>Needs catalog numbers</w:t>
      </w:r>
    </w:p>
  </w:comment>
  <w:comment w:id="47" w:author="Dave Bridges" w:date="2019-03-30T10:48:00Z" w:initials="DB">
    <w:p w14:paraId="72467E1F" w14:textId="4033341D" w:rsidR="006A5016" w:rsidRDefault="006A5016">
      <w:pPr>
        <w:pStyle w:val="CommentText"/>
      </w:pPr>
      <w:r>
        <w:rPr>
          <w:rStyle w:val="CommentReference"/>
        </w:rPr>
        <w:annotationRef/>
      </w:r>
      <w:r>
        <w:t>Put these in a table including catalog numbers</w:t>
      </w:r>
    </w:p>
  </w:comment>
  <w:comment w:id="53" w:author="Dave Bridges" w:date="2019-03-30T10:48:00Z" w:initials="DB">
    <w:p w14:paraId="7EABFA90" w14:textId="093C3EFB" w:rsidR="006A5016" w:rsidRDefault="006A5016">
      <w:pPr>
        <w:pStyle w:val="CommentText"/>
      </w:pPr>
      <w:r>
        <w:rPr>
          <w:rStyle w:val="CommentReference"/>
        </w:rPr>
        <w:annotationRef/>
      </w:r>
      <w:r>
        <w:t>What is the full reference, PMID or DOI for this</w:t>
      </w:r>
    </w:p>
  </w:comment>
  <w:comment w:id="52" w:author="Dave Bridges" w:date="2019-04-03T14:26:00Z" w:initials="DB">
    <w:p w14:paraId="132A1C03" w14:textId="1BFADBFB" w:rsidR="006A5016" w:rsidRDefault="006A5016">
      <w:pPr>
        <w:pStyle w:val="CommentText"/>
      </w:pPr>
      <w:r>
        <w:rPr>
          <w:rStyle w:val="CommentReference"/>
        </w:rPr>
        <w:annotationRef/>
      </w:r>
      <w:r>
        <w:t>Move to discussion</w:t>
      </w:r>
    </w:p>
  </w:comment>
  <w:comment w:id="56" w:author="Dave Bridges" w:date="2019-04-03T14:27:00Z" w:initials="DB">
    <w:p w14:paraId="0869B3DD" w14:textId="11653AC7" w:rsidR="006A5016" w:rsidRDefault="006A5016">
      <w:pPr>
        <w:pStyle w:val="CommentText"/>
      </w:pPr>
      <w:r>
        <w:rPr>
          <w:rStyle w:val="CommentReference"/>
        </w:rPr>
        <w:annotationRef/>
      </w:r>
      <w:r>
        <w:t>I don’t think these reductions are right.  For the obese mice it looks like it goes from about 2.7 to about 2 which is about a 26% decrease not a 0.9% decrease.</w:t>
      </w:r>
    </w:p>
  </w:comment>
  <w:comment w:id="71" w:author="Dave Bridges" w:date="2019-04-03T14:28:00Z" w:initials="DB">
    <w:p w14:paraId="738C8C9A" w14:textId="34A0E20E" w:rsidR="006A5016" w:rsidRDefault="006A5016">
      <w:pPr>
        <w:pStyle w:val="CommentText"/>
      </w:pPr>
      <w:r>
        <w:rPr>
          <w:rStyle w:val="CommentReference"/>
        </w:rPr>
        <w:annotationRef/>
      </w:r>
      <w:r>
        <w:t>Add this</w:t>
      </w:r>
    </w:p>
  </w:comment>
  <w:comment w:id="75" w:author="Dave Bridges" w:date="2019-04-03T14:29:00Z" w:initials="DB">
    <w:p w14:paraId="7B6AEDAC" w14:textId="613C0FA8" w:rsidR="006A5016" w:rsidRDefault="006A5016">
      <w:pPr>
        <w:pStyle w:val="CommentText"/>
      </w:pPr>
      <w:r>
        <w:rPr>
          <w:rStyle w:val="CommentReference"/>
        </w:rPr>
        <w:annotationRef/>
      </w:r>
      <w:r>
        <w:t>Add this</w:t>
      </w:r>
    </w:p>
  </w:comment>
  <w:comment w:id="110" w:author="Dave Bridges" w:date="2019-04-03T14:34:00Z" w:initials="DB">
    <w:p w14:paraId="291CEA19" w14:textId="7D2E4BD1" w:rsidR="006A5016" w:rsidRDefault="006A5016">
      <w:pPr>
        <w:pStyle w:val="CommentText"/>
      </w:pPr>
      <w:r>
        <w:rPr>
          <w:rStyle w:val="CommentReference"/>
        </w:rPr>
        <w:annotationRef/>
      </w:r>
      <w:r>
        <w:t>Add the R2 for the models without diet as covariates.</w:t>
      </w:r>
    </w:p>
  </w:comment>
  <w:comment w:id="118" w:author="Dave Bridges" w:date="2019-04-03T14:34:00Z" w:initials="DB">
    <w:p w14:paraId="193F2D4F" w14:textId="4BEBD5A2" w:rsidR="006A5016" w:rsidRDefault="006A5016">
      <w:pPr>
        <w:pStyle w:val="CommentText"/>
      </w:pPr>
      <w:r>
        <w:rPr>
          <w:rStyle w:val="CommentReference"/>
        </w:rPr>
        <w:annotationRef/>
      </w:r>
      <w:r>
        <w:t>Add p-values for diet moderation terms in this model.</w:t>
      </w:r>
    </w:p>
  </w:comment>
  <w:comment w:id="136" w:author="Dave Bridges" w:date="2019-04-03T14:41:00Z" w:initials="DB">
    <w:p w14:paraId="44A92891" w14:textId="22D77A25" w:rsidR="006A5016" w:rsidRDefault="006A5016">
      <w:pPr>
        <w:pStyle w:val="CommentText"/>
      </w:pPr>
      <w:r>
        <w:rPr>
          <w:rStyle w:val="CommentReference"/>
        </w:rPr>
        <w:annotationRef/>
      </w:r>
      <w:r>
        <w:t>How much greater? P?</w:t>
      </w:r>
    </w:p>
  </w:comment>
  <w:comment w:id="140" w:author="Dave Bridges" w:date="2019-04-03T14:41:00Z" w:initials="DB">
    <w:p w14:paraId="10341239" w14:textId="4A382BE4" w:rsidR="006A5016" w:rsidRDefault="006A5016">
      <w:pPr>
        <w:pStyle w:val="CommentText"/>
      </w:pPr>
      <w:r>
        <w:rPr>
          <w:rStyle w:val="CommentReference"/>
        </w:rPr>
        <w:annotationRef/>
      </w:r>
      <w:r>
        <w:t>add</w:t>
      </w:r>
    </w:p>
  </w:comment>
  <w:comment w:id="141" w:author="Dave Bridges" w:date="2019-04-03T14:41:00Z" w:initials="DB">
    <w:p w14:paraId="67F8A9CF" w14:textId="7E90B68F" w:rsidR="006A5016" w:rsidRDefault="006A5016">
      <w:pPr>
        <w:pStyle w:val="CommentText"/>
      </w:pPr>
      <w:r>
        <w:rPr>
          <w:rStyle w:val="CommentReference"/>
        </w:rPr>
        <w:annotationRef/>
      </w:r>
      <w:r>
        <w:t>add</w:t>
      </w:r>
    </w:p>
  </w:comment>
  <w:comment w:id="180" w:author="Dave Bridges" w:date="2019-04-03T14:51:00Z" w:initials="DB">
    <w:p w14:paraId="5E02A4A1" w14:textId="47F02903" w:rsidR="000628E8" w:rsidRDefault="000628E8">
      <w:pPr>
        <w:pStyle w:val="CommentText"/>
      </w:pPr>
      <w:r>
        <w:rPr>
          <w:rStyle w:val="CommentReference"/>
        </w:rPr>
        <w:annotationRef/>
      </w:r>
      <w:r>
        <w:t>add</w:t>
      </w:r>
    </w:p>
  </w:comment>
  <w:comment w:id="184" w:author="Dave Bridges" w:date="2019-04-03T14:51:00Z" w:initials="DB">
    <w:p w14:paraId="56682BBC" w14:textId="11FE25F3" w:rsidR="000628E8" w:rsidRDefault="000628E8">
      <w:pPr>
        <w:pStyle w:val="CommentText"/>
      </w:pPr>
      <w:r>
        <w:rPr>
          <w:rStyle w:val="CommentReference"/>
        </w:rPr>
        <w:annotationRef/>
      </w:r>
      <w:r>
        <w:t>add</w:t>
      </w:r>
    </w:p>
  </w:comment>
  <w:comment w:id="198" w:author="Dave Bridges" w:date="2019-04-03T14:52:00Z" w:initials="DB">
    <w:p w14:paraId="0359E01E" w14:textId="30FAAE3A" w:rsidR="00282CE0" w:rsidRDefault="00282CE0">
      <w:pPr>
        <w:pStyle w:val="CommentText"/>
      </w:pPr>
      <w:r>
        <w:rPr>
          <w:rStyle w:val="CommentReference"/>
        </w:rPr>
        <w:annotationRef/>
      </w:r>
      <w:r>
        <w:t>reference needed</w:t>
      </w:r>
    </w:p>
  </w:comment>
  <w:comment w:id="205" w:author="Dave Bridges" w:date="2019-04-03T14:52:00Z" w:initials="DB">
    <w:p w14:paraId="75C31FB1" w14:textId="6654AB8C" w:rsidR="00282CE0" w:rsidRDefault="00282CE0">
      <w:pPr>
        <w:pStyle w:val="CommentText"/>
      </w:pPr>
      <w:r>
        <w:rPr>
          <w:rStyle w:val="CommentReference"/>
        </w:rPr>
        <w:annotationRef/>
      </w:r>
      <w:r>
        <w:t>Not sure what you mean here.  Can probably remove this part.</w:t>
      </w:r>
    </w:p>
  </w:comment>
  <w:comment w:id="219" w:author="Dave Bridges" w:date="2019-03-30T11:56:00Z" w:initials="DB">
    <w:p w14:paraId="57116DEC" w14:textId="3FC0B080" w:rsidR="006A5016" w:rsidRDefault="006A5016">
      <w:pPr>
        <w:pStyle w:val="CommentText"/>
      </w:pPr>
      <w:r>
        <w:rPr>
          <w:rStyle w:val="CommentReference"/>
        </w:rPr>
        <w:annotationRef/>
      </w:r>
      <w:proofErr w:type="spellStart"/>
      <w:r>
        <w:t>Somehwere</w:t>
      </w:r>
      <w:proofErr w:type="spellEnd"/>
      <w:r>
        <w:t xml:space="preserve"> you are going to need to work in the ITT data.  Maybe talk about health effects of lost muscle, and you can include reductions in BMR, risk of fractures and impaired insulin sensitivity, but then say that in our case the insulin resistance is in addition to atrophy.</w:t>
      </w:r>
    </w:p>
  </w:comment>
  <w:comment w:id="225" w:author="Dave Bridges" w:date="2019-04-03T14:24:00Z" w:initials="DB">
    <w:p w14:paraId="0496E200" w14:textId="4B4B25E5" w:rsidR="006A5016" w:rsidRDefault="006A5016">
      <w:pPr>
        <w:pStyle w:val="CommentText"/>
      </w:pPr>
      <w:r>
        <w:rPr>
          <w:rStyle w:val="CommentReference"/>
        </w:rPr>
        <w:annotationRef/>
      </w:r>
      <w:r>
        <w:t>Reference needed</w:t>
      </w:r>
    </w:p>
  </w:comment>
  <w:comment w:id="231" w:author="Dave Bridges" w:date="2019-03-30T11:31:00Z" w:initials="DB">
    <w:p w14:paraId="39DFF08D" w14:textId="60CCBE8F" w:rsidR="006A5016" w:rsidRDefault="006A5016">
      <w:pPr>
        <w:pStyle w:val="CommentText"/>
      </w:pPr>
      <w:r>
        <w:rPr>
          <w:rStyle w:val="CommentReference"/>
        </w:rPr>
        <w:annotationRef/>
      </w:r>
      <w:r>
        <w:t>And size?</w:t>
      </w:r>
    </w:p>
  </w:comment>
  <w:comment w:id="232" w:author="Dave Bridges" w:date="2019-03-30T10:52:00Z" w:initials="DB">
    <w:p w14:paraId="393BCC8D" w14:textId="46D2EB73" w:rsidR="006A5016" w:rsidRDefault="006A5016">
      <w:pPr>
        <w:pStyle w:val="CommentText"/>
      </w:pPr>
      <w:r>
        <w:rPr>
          <w:rStyle w:val="CommentReference"/>
        </w:rPr>
        <w:annotationRef/>
      </w:r>
      <w:r>
        <w:t>What is the full reference, PMID or DOI for these</w:t>
      </w:r>
    </w:p>
  </w:comment>
  <w:comment w:id="239" w:author="Dave Bridges" w:date="2019-03-30T11:48:00Z" w:initials="DB">
    <w:p w14:paraId="65652776" w14:textId="5DCFEEFD" w:rsidR="006A5016" w:rsidRDefault="006A5016">
      <w:pPr>
        <w:pStyle w:val="CommentText"/>
      </w:pPr>
      <w:r>
        <w:rPr>
          <w:rStyle w:val="CommentReference"/>
        </w:rPr>
        <w:annotationRef/>
      </w:r>
      <w:r>
        <w:t>Refs of type ii specificiety</w:t>
      </w:r>
    </w:p>
  </w:comment>
  <w:comment w:id="240" w:author="Dave Bridges" w:date="2019-03-30T10:52:00Z" w:initials="DB">
    <w:p w14:paraId="19FC81AE" w14:textId="4AA98DE9" w:rsidR="006A5016" w:rsidRDefault="006A5016">
      <w:pPr>
        <w:pStyle w:val="CommentText"/>
      </w:pPr>
      <w:r>
        <w:rPr>
          <w:rStyle w:val="CommentReference"/>
        </w:rPr>
        <w:annotationRef/>
      </w:r>
      <w:r>
        <w:t>What is the full reference, PMID or DOI for this</w:t>
      </w:r>
    </w:p>
  </w:comment>
  <w:comment w:id="242" w:author="Dave Bridges" w:date="2019-03-30T10:53:00Z" w:initials="DB">
    <w:p w14:paraId="140C15BA" w14:textId="54E307C7" w:rsidR="006A5016" w:rsidRDefault="006A5016">
      <w:pPr>
        <w:pStyle w:val="CommentText"/>
      </w:pPr>
      <w:r>
        <w:rPr>
          <w:rStyle w:val="CommentReference"/>
        </w:rPr>
        <w:annotationRef/>
      </w:r>
      <w:r>
        <w:t>What is the full reference, PMID or DOI for this</w:t>
      </w:r>
    </w:p>
  </w:comment>
  <w:comment w:id="241" w:author="Dave Bridges" w:date="2019-03-30T11:50:00Z" w:initials="DB">
    <w:p w14:paraId="004BF7A6" w14:textId="0880CA43" w:rsidR="006A5016" w:rsidRDefault="006A5016">
      <w:pPr>
        <w:pStyle w:val="CommentText"/>
      </w:pPr>
      <w:r>
        <w:rPr>
          <w:rStyle w:val="CommentReference"/>
        </w:rPr>
        <w:annotationRef/>
      </w:r>
      <w:r>
        <w:t>This contradicts the previous sentence</w:t>
      </w:r>
    </w:p>
  </w:comment>
  <w:comment w:id="243" w:author="Dave Bridges" w:date="2019-03-30T10:53:00Z" w:initials="DB">
    <w:p w14:paraId="24AE3E1A" w14:textId="1D446867" w:rsidR="006A5016" w:rsidRDefault="006A5016">
      <w:pPr>
        <w:pStyle w:val="CommentText"/>
      </w:pPr>
      <w:r>
        <w:rPr>
          <w:rStyle w:val="CommentReference"/>
        </w:rPr>
        <w:annotationRef/>
      </w:r>
      <w:r>
        <w:t>What is the full reference, PMID or DOI for this</w:t>
      </w:r>
    </w:p>
  </w:comment>
  <w:comment w:id="244" w:author="Dave Bridges" w:date="2019-03-30T10:54:00Z" w:initials="DB">
    <w:p w14:paraId="3C6CC800" w14:textId="48DA9F09" w:rsidR="006A5016" w:rsidRDefault="006A5016">
      <w:pPr>
        <w:pStyle w:val="CommentText"/>
      </w:pPr>
      <w:r>
        <w:rPr>
          <w:rStyle w:val="CommentReference"/>
        </w:rPr>
        <w:annotationRef/>
      </w:r>
      <w:r>
        <w:t>What is the full reference, PMID or DOI for the last two</w:t>
      </w:r>
    </w:p>
  </w:comment>
  <w:comment w:id="245" w:author="Dave Bridges" w:date="2019-03-30T10:54:00Z" w:initials="DB">
    <w:p w14:paraId="1C4D7E1E" w14:textId="72D47C4E" w:rsidR="006A5016" w:rsidRDefault="006A5016">
      <w:pPr>
        <w:pStyle w:val="CommentText"/>
      </w:pPr>
      <w:r>
        <w:rPr>
          <w:rStyle w:val="CommentReference"/>
        </w:rPr>
        <w:annotationRef/>
      </w:r>
      <w:r>
        <w:t>What is the full reference, PMID or DOI for this</w:t>
      </w:r>
    </w:p>
  </w:comment>
  <w:comment w:id="246" w:author="Dave Bridges" w:date="2019-03-30T11:54:00Z" w:initials="DB">
    <w:p w14:paraId="5CDB882A" w14:textId="758CF8E6" w:rsidR="006A5016" w:rsidRDefault="006A5016">
      <w:pPr>
        <w:pStyle w:val="CommentText"/>
      </w:pPr>
      <w:r>
        <w:rPr>
          <w:rStyle w:val="CommentReference"/>
        </w:rPr>
        <w:annotationRef/>
      </w:r>
      <w:r>
        <w:t>Rewrite this sentence</w:t>
      </w:r>
    </w:p>
  </w:comment>
  <w:comment w:id="247" w:author="Dave Bridges" w:date="2019-04-03T13:15:00Z" w:initials="DB">
    <w:p w14:paraId="67E85FA4" w14:textId="77777777" w:rsidR="006A5016" w:rsidRDefault="006A5016" w:rsidP="00E628D8">
      <w:pPr>
        <w:pStyle w:val="CommentText"/>
      </w:pPr>
      <w:r>
        <w:rPr>
          <w:rStyle w:val="CommentReference"/>
        </w:rPr>
        <w:annotationRef/>
      </w:r>
      <w:r>
        <w:t>Im confused how elevated inflammatory factors would cause atrophy, I think you are missing a link here.</w:t>
      </w:r>
    </w:p>
  </w:comment>
  <w:comment w:id="248" w:author="Dave Bridges" w:date="2019-03-30T10:55:00Z" w:initials="DB">
    <w:p w14:paraId="12BB4004" w14:textId="1DEB1D1B" w:rsidR="006A5016" w:rsidRDefault="006A5016">
      <w:pPr>
        <w:pStyle w:val="CommentText"/>
      </w:pPr>
      <w:r>
        <w:rPr>
          <w:rStyle w:val="CommentReference"/>
        </w:rPr>
        <w:annotationRef/>
      </w:r>
      <w:r>
        <w:t>What is the full reference, PMID or DOI for this</w:t>
      </w:r>
    </w:p>
  </w:comment>
  <w:comment w:id="249" w:author="Dave Bridges" w:date="2019-03-30T11:06:00Z" w:initials="DB">
    <w:p w14:paraId="28023DF8" w14:textId="2C9592AA" w:rsidR="006A5016" w:rsidRDefault="006A5016">
      <w:pPr>
        <w:pStyle w:val="CommentText"/>
      </w:pPr>
      <w:r>
        <w:rPr>
          <w:rStyle w:val="CommentReference"/>
        </w:rPr>
        <w:annotationRef/>
      </w:r>
      <w:r>
        <w:t>Laura sources for you.</w:t>
      </w:r>
    </w:p>
  </w:comment>
  <w:comment w:id="250" w:author="Dave Bridges" w:date="2019-03-30T11:06:00Z" w:initials="DB">
    <w:p w14:paraId="023A23AD" w14:textId="7EC2D72C" w:rsidR="006A5016" w:rsidRDefault="006A5016">
      <w:pPr>
        <w:pStyle w:val="CommentText"/>
      </w:pPr>
      <w:r>
        <w:rPr>
          <w:rStyle w:val="CommentReference"/>
        </w:rPr>
        <w:annotationRef/>
      </w:r>
      <w:r>
        <w:t>Sue, do you want to add anything else to this?</w:t>
      </w:r>
    </w:p>
  </w:comment>
  <w:comment w:id="251" w:author="Dave Bridges" w:date="2019-03-30T11:06:00Z" w:initials="DB">
    <w:p w14:paraId="09F870D5" w14:textId="50762558" w:rsidR="006A5016" w:rsidRDefault="006A5016">
      <w:pPr>
        <w:pStyle w:val="CommentText"/>
      </w:pPr>
      <w:r>
        <w:rPr>
          <w:rStyle w:val="CommentReference"/>
        </w:rPr>
        <w:annotationRef/>
      </w:r>
      <w:r>
        <w:t>For the dissertation you should note anyone else who helped you and how (Inn, JeAnna, Carole and Ayat).  Then add anything else you want.  For the paper it will just be scientific helpers that did not end up as coauthors.</w:t>
      </w:r>
    </w:p>
  </w:comment>
  <w:comment w:id="256" w:author="Dave Bridges" w:date="2019-04-03T14:37:00Z" w:initials="DB">
    <w:p w14:paraId="641119EE" w14:textId="7895A431" w:rsidR="006A5016" w:rsidRDefault="006A5016">
      <w:pPr>
        <w:pStyle w:val="CommentText"/>
      </w:pPr>
      <w:r>
        <w:rPr>
          <w:rStyle w:val="CommentReference"/>
        </w:rPr>
        <w:annotationRef/>
      </w:r>
      <w:r>
        <w:t>No asterisk is on here.  At which point was the pairwise t-test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7E892B" w15:done="0"/>
  <w15:commentEx w15:paraId="60AC3D14" w15:done="0"/>
  <w15:commentEx w15:paraId="1CB1B8B1" w15:done="0"/>
  <w15:commentEx w15:paraId="183758BF" w15:done="0"/>
  <w15:commentEx w15:paraId="5C0E3AE9" w15:done="0"/>
  <w15:commentEx w15:paraId="21C343CB" w15:done="0"/>
  <w15:commentEx w15:paraId="735B118B" w15:done="0"/>
  <w15:commentEx w15:paraId="51D19D44" w15:done="0"/>
  <w15:commentEx w15:paraId="53382B0E" w15:done="0"/>
  <w15:commentEx w15:paraId="5DB2CC24" w15:done="0"/>
  <w15:commentEx w15:paraId="72467E1F" w15:done="0"/>
  <w15:commentEx w15:paraId="7EABFA90" w15:done="0"/>
  <w15:commentEx w15:paraId="132A1C03" w15:done="0"/>
  <w15:commentEx w15:paraId="0869B3DD" w15:done="0"/>
  <w15:commentEx w15:paraId="738C8C9A" w15:done="0"/>
  <w15:commentEx w15:paraId="7B6AEDAC" w15:done="0"/>
  <w15:commentEx w15:paraId="291CEA19" w15:done="0"/>
  <w15:commentEx w15:paraId="193F2D4F" w15:done="0"/>
  <w15:commentEx w15:paraId="44A92891" w15:done="0"/>
  <w15:commentEx w15:paraId="10341239" w15:done="0"/>
  <w15:commentEx w15:paraId="67F8A9CF" w15:done="0"/>
  <w15:commentEx w15:paraId="5E02A4A1" w15:done="0"/>
  <w15:commentEx w15:paraId="56682BBC" w15:done="0"/>
  <w15:commentEx w15:paraId="0359E01E" w15:done="0"/>
  <w15:commentEx w15:paraId="75C31FB1" w15:done="0"/>
  <w15:commentEx w15:paraId="57116DEC" w15:done="0"/>
  <w15:commentEx w15:paraId="0496E200" w15:done="0"/>
  <w15:commentEx w15:paraId="39DFF08D" w15:done="0"/>
  <w15:commentEx w15:paraId="393BCC8D" w15:done="0"/>
  <w15:commentEx w15:paraId="65652776" w15:done="0"/>
  <w15:commentEx w15:paraId="19FC81AE" w15:done="0"/>
  <w15:commentEx w15:paraId="140C15BA" w15:done="0"/>
  <w15:commentEx w15:paraId="004BF7A6" w15:done="0"/>
  <w15:commentEx w15:paraId="24AE3E1A" w15:done="0"/>
  <w15:commentEx w15:paraId="3C6CC800" w15:done="0"/>
  <w15:commentEx w15:paraId="1C4D7E1E" w15:done="0"/>
  <w15:commentEx w15:paraId="5CDB882A" w15:done="0"/>
  <w15:commentEx w15:paraId="67E85FA4" w15:done="0"/>
  <w15:commentEx w15:paraId="12BB4004" w15:done="0"/>
  <w15:commentEx w15:paraId="28023DF8" w15:done="0"/>
  <w15:commentEx w15:paraId="023A23AD" w15:done="0"/>
  <w15:commentEx w15:paraId="09F870D5" w15:done="0"/>
  <w15:commentEx w15:paraId="641119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7E892B" w16cid:durableId="204F3EA2"/>
  <w16cid:commentId w16cid:paraId="60AC3D14" w16cid:durableId="204F3EED"/>
  <w16cid:commentId w16cid:paraId="1CB1B8B1" w16cid:durableId="2049CF58"/>
  <w16cid:commentId w16cid:paraId="183758BF" w16cid:durableId="204F3F49"/>
  <w16cid:commentId w16cid:paraId="5C0E3AE9" w16cid:durableId="2049C7BB"/>
  <w16cid:commentId w16cid:paraId="21C343CB" w16cid:durableId="2049CAC4"/>
  <w16cid:commentId w16cid:paraId="735B118B" w16cid:durableId="204F3FF6"/>
  <w16cid:commentId w16cid:paraId="51D19D44" w16cid:durableId="2049CD08"/>
  <w16cid:commentId w16cid:paraId="53382B0E" w16cid:durableId="2049C5EA"/>
  <w16cid:commentId w16cid:paraId="5DB2CC24" w16cid:durableId="2049CE42"/>
  <w16cid:commentId w16cid:paraId="72467E1F" w16cid:durableId="2049C7EF"/>
  <w16cid:commentId w16cid:paraId="7EABFA90" w16cid:durableId="2049C814"/>
  <w16cid:commentId w16cid:paraId="132A1C03" w16cid:durableId="204F411F"/>
  <w16cid:commentId w16cid:paraId="0869B3DD" w16cid:durableId="204F4154"/>
  <w16cid:commentId w16cid:paraId="738C8C9A" w16cid:durableId="204F4194"/>
  <w16cid:commentId w16cid:paraId="7B6AEDAC" w16cid:durableId="204F41CD"/>
  <w16cid:commentId w16cid:paraId="291CEA19" w16cid:durableId="204F42E6"/>
  <w16cid:commentId w16cid:paraId="193F2D4F" w16cid:durableId="204F430C"/>
  <w16cid:commentId w16cid:paraId="44A92891" w16cid:durableId="204F4492"/>
  <w16cid:commentId w16cid:paraId="10341239" w16cid:durableId="204F44A9"/>
  <w16cid:commentId w16cid:paraId="67F8A9CF" w16cid:durableId="204F44B0"/>
  <w16cid:commentId w16cid:paraId="5E02A4A1" w16cid:durableId="204F4704"/>
  <w16cid:commentId w16cid:paraId="56682BBC" w16cid:durableId="204F4700"/>
  <w16cid:commentId w16cid:paraId="0359E01E" w16cid:durableId="204F4727"/>
  <w16cid:commentId w16cid:paraId="75C31FB1" w16cid:durableId="204F4745"/>
  <w16cid:commentId w16cid:paraId="57116DEC" w16cid:durableId="2049D7FA"/>
  <w16cid:commentId w16cid:paraId="0496E200" w16cid:durableId="204F4098"/>
  <w16cid:commentId w16cid:paraId="39DFF08D" w16cid:durableId="2049D214"/>
  <w16cid:commentId w16cid:paraId="393BCC8D" w16cid:durableId="2049C8D0"/>
  <w16cid:commentId w16cid:paraId="65652776" w16cid:durableId="2049D614"/>
  <w16cid:commentId w16cid:paraId="19FC81AE" w16cid:durableId="2049C905"/>
  <w16cid:commentId w16cid:paraId="140C15BA" w16cid:durableId="2049C923"/>
  <w16cid:commentId w16cid:paraId="004BF7A6" w16cid:durableId="2049D66C"/>
  <w16cid:commentId w16cid:paraId="24AE3E1A" w16cid:durableId="2049C929"/>
  <w16cid:commentId w16cid:paraId="3C6CC800" w16cid:durableId="2049C950"/>
  <w16cid:commentId w16cid:paraId="1C4D7E1E" w16cid:durableId="2049C972"/>
  <w16cid:commentId w16cid:paraId="5CDB882A" w16cid:durableId="2049D77E"/>
  <w16cid:commentId w16cid:paraId="67E85FA4" w16cid:durableId="204F382E"/>
  <w16cid:commentId w16cid:paraId="12BB4004" w16cid:durableId="2049C992"/>
  <w16cid:commentId w16cid:paraId="28023DF8" w16cid:durableId="2049CC1C"/>
  <w16cid:commentId w16cid:paraId="023A23AD" w16cid:durableId="2049CC28"/>
  <w16cid:commentId w16cid:paraId="09F870D5" w16cid:durableId="2049CC44"/>
  <w16cid:commentId w16cid:paraId="641119EE" w16cid:durableId="204F43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628E8"/>
    <w:rsid w:val="000A6C33"/>
    <w:rsid w:val="000B577D"/>
    <w:rsid w:val="00131FD0"/>
    <w:rsid w:val="001329A4"/>
    <w:rsid w:val="00132B78"/>
    <w:rsid w:val="001866A2"/>
    <w:rsid w:val="00231DC5"/>
    <w:rsid w:val="00282CE0"/>
    <w:rsid w:val="002A4533"/>
    <w:rsid w:val="003551CA"/>
    <w:rsid w:val="0039023E"/>
    <w:rsid w:val="003B03EB"/>
    <w:rsid w:val="003B7C65"/>
    <w:rsid w:val="003C0A5C"/>
    <w:rsid w:val="00446511"/>
    <w:rsid w:val="00496D03"/>
    <w:rsid w:val="004B57D5"/>
    <w:rsid w:val="004E24C5"/>
    <w:rsid w:val="00505CD2"/>
    <w:rsid w:val="00532D42"/>
    <w:rsid w:val="00570D66"/>
    <w:rsid w:val="005B3CA8"/>
    <w:rsid w:val="00655115"/>
    <w:rsid w:val="00661656"/>
    <w:rsid w:val="00662098"/>
    <w:rsid w:val="00691209"/>
    <w:rsid w:val="006978A2"/>
    <w:rsid w:val="006A5016"/>
    <w:rsid w:val="006A6F4D"/>
    <w:rsid w:val="006E6DDD"/>
    <w:rsid w:val="006F2B16"/>
    <w:rsid w:val="006F36E9"/>
    <w:rsid w:val="00710626"/>
    <w:rsid w:val="007D0478"/>
    <w:rsid w:val="007E48CF"/>
    <w:rsid w:val="007F7B98"/>
    <w:rsid w:val="00865445"/>
    <w:rsid w:val="00880778"/>
    <w:rsid w:val="008F6345"/>
    <w:rsid w:val="00956304"/>
    <w:rsid w:val="0098062C"/>
    <w:rsid w:val="009E3491"/>
    <w:rsid w:val="009F7634"/>
    <w:rsid w:val="00A11B33"/>
    <w:rsid w:val="00A6530B"/>
    <w:rsid w:val="00A866A1"/>
    <w:rsid w:val="00AE0B99"/>
    <w:rsid w:val="00AE6E44"/>
    <w:rsid w:val="00AF1EB2"/>
    <w:rsid w:val="00AF5364"/>
    <w:rsid w:val="00B11EFC"/>
    <w:rsid w:val="00B40C53"/>
    <w:rsid w:val="00B708D2"/>
    <w:rsid w:val="00B97022"/>
    <w:rsid w:val="00BC0C10"/>
    <w:rsid w:val="00BC4EEE"/>
    <w:rsid w:val="00BF40A8"/>
    <w:rsid w:val="00C4394C"/>
    <w:rsid w:val="00C90803"/>
    <w:rsid w:val="00D0713D"/>
    <w:rsid w:val="00D2170C"/>
    <w:rsid w:val="00D60A58"/>
    <w:rsid w:val="00D61C73"/>
    <w:rsid w:val="00D821F4"/>
    <w:rsid w:val="00D828A0"/>
    <w:rsid w:val="00DA6F60"/>
    <w:rsid w:val="00DE05BB"/>
    <w:rsid w:val="00E106D6"/>
    <w:rsid w:val="00E11584"/>
    <w:rsid w:val="00E161E7"/>
    <w:rsid w:val="00E54028"/>
    <w:rsid w:val="00E54C0F"/>
    <w:rsid w:val="00E628D8"/>
    <w:rsid w:val="00E77F0D"/>
    <w:rsid w:val="00EC2233"/>
    <w:rsid w:val="00F04961"/>
    <w:rsid w:val="00F41436"/>
    <w:rsid w:val="00F7167B"/>
    <w:rsid w:val="00F77670"/>
    <w:rsid w:val="00FB1A1E"/>
    <w:rsid w:val="00FC0967"/>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9E287992-B487-7F41-8311-81E81FD4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9113-1948-8D40-95F1-F6D2CE008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20</Pages>
  <Words>11899</Words>
  <Characters>67826</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13</cp:revision>
  <dcterms:created xsi:type="dcterms:W3CDTF">2019-04-03T18:36:00Z</dcterms:created>
  <dcterms:modified xsi:type="dcterms:W3CDTF">2019-04-03T18:54:00Z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