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15DB"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5834468" w14:textId="765A12CC" w:rsidR="00202340"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3F6249">
        <w:rPr>
          <w:rFonts w:ascii="Arial" w:eastAsia="Times New Roman" w:hAnsi="Arial" w:cs="Arial"/>
          <w:color w:val="FF0000"/>
          <w:sz w:val="19"/>
          <w:szCs w:val="19"/>
          <w:shd w:val="clear" w:color="auto" w:fill="FFFFFF"/>
        </w:rPr>
        <w:t>We have measured the concentrations of dexamethasone these mice were consuming (via measurement of drinking water throughout the study</w:t>
      </w:r>
      <w:r w:rsidR="003869C7">
        <w:rPr>
          <w:rFonts w:ascii="Arial" w:eastAsia="Times New Roman" w:hAnsi="Arial" w:cs="Arial"/>
          <w:color w:val="FF0000"/>
          <w:sz w:val="19"/>
          <w:szCs w:val="19"/>
          <w:shd w:val="clear" w:color="auto" w:fill="FFFFFF"/>
        </w:rPr>
        <w:t>; A-C below</w:t>
      </w:r>
      <w:r w:rsidR="003F6249">
        <w:rPr>
          <w:rFonts w:ascii="Arial" w:eastAsia="Times New Roman" w:hAnsi="Arial" w:cs="Arial"/>
          <w:color w:val="FF0000"/>
          <w:sz w:val="19"/>
          <w:szCs w:val="19"/>
          <w:shd w:val="clear" w:color="auto" w:fill="FFFFFF"/>
        </w:rPr>
        <w:t>) as well as the serum concentrations (via LCMS</w:t>
      </w:r>
      <w:r w:rsidR="003869C7">
        <w:rPr>
          <w:rFonts w:ascii="Arial" w:eastAsia="Times New Roman" w:hAnsi="Arial" w:cs="Arial"/>
          <w:color w:val="FF0000"/>
          <w:sz w:val="19"/>
          <w:szCs w:val="19"/>
          <w:shd w:val="clear" w:color="auto" w:fill="FFFFFF"/>
        </w:rPr>
        <w:t>; D</w:t>
      </w:r>
      <w:r w:rsidR="003F6249">
        <w:rPr>
          <w:rFonts w:ascii="Arial" w:eastAsia="Times New Roman" w:hAnsi="Arial" w:cs="Arial"/>
          <w:color w:val="FF0000"/>
          <w:sz w:val="19"/>
          <w:szCs w:val="19"/>
          <w:shd w:val="clear" w:color="auto" w:fill="FFFFFF"/>
        </w:rPr>
        <w:t>).</w:t>
      </w:r>
      <w:r w:rsidR="003869C7">
        <w:rPr>
          <w:rFonts w:ascii="Arial" w:eastAsia="Times New Roman" w:hAnsi="Arial" w:cs="Arial"/>
          <w:color w:val="FF0000"/>
          <w:sz w:val="19"/>
          <w:szCs w:val="19"/>
          <w:shd w:val="clear" w:color="auto" w:fill="FFFFFF"/>
        </w:rPr>
        <w:t xml:space="preserve"> The obese dexamethasone-treated mice did consume more dexamethasone</w:t>
      </w:r>
      <w:r w:rsidR="00C66EAE">
        <w:rPr>
          <w:rFonts w:ascii="Arial" w:eastAsia="Times New Roman" w:hAnsi="Arial" w:cs="Arial"/>
          <w:color w:val="FF0000"/>
          <w:sz w:val="19"/>
          <w:szCs w:val="19"/>
          <w:shd w:val="clear" w:color="auto" w:fill="FFFFFF"/>
        </w:rPr>
        <w:t xml:space="preserve"> when compared to lean</w:t>
      </w:r>
      <w:r w:rsidR="003869C7">
        <w:rPr>
          <w:rFonts w:ascii="Arial" w:eastAsia="Times New Roman" w:hAnsi="Arial" w:cs="Arial"/>
          <w:color w:val="FF0000"/>
          <w:sz w:val="19"/>
          <w:szCs w:val="19"/>
          <w:shd w:val="clear" w:color="auto" w:fill="FFFFFF"/>
        </w:rPr>
        <w:t xml:space="preserve"> and this was reflected in serum concentration. While this is a limitation of our study, we do not believe that this fully accounts for the more aggressive p</w:t>
      </w:r>
      <w:r w:rsidR="000641F6">
        <w:rPr>
          <w:rFonts w:ascii="Arial" w:eastAsia="Times New Roman" w:hAnsi="Arial" w:cs="Arial"/>
          <w:color w:val="FF0000"/>
          <w:sz w:val="19"/>
          <w:szCs w:val="19"/>
          <w:shd w:val="clear" w:color="auto" w:fill="FFFFFF"/>
        </w:rPr>
        <w:t>henotype observed in these mice?</w:t>
      </w:r>
      <w:r w:rsidR="003869C7">
        <w:rPr>
          <w:rFonts w:ascii="Arial" w:eastAsia="Times New Roman" w:hAnsi="Arial" w:cs="Arial"/>
          <w:color w:val="FF0000"/>
          <w:sz w:val="19"/>
          <w:szCs w:val="19"/>
          <w:shd w:val="clear" w:color="auto" w:fill="FFFFFF"/>
        </w:rPr>
        <w:t xml:space="preserve"> </w:t>
      </w:r>
      <w:commentRangeStart w:id="0"/>
      <w:r w:rsidR="00120D8D">
        <w:rPr>
          <w:rFonts w:ascii="Arial" w:eastAsia="Times New Roman" w:hAnsi="Arial" w:cs="Arial"/>
          <w:color w:val="FF0000"/>
          <w:sz w:val="19"/>
          <w:szCs w:val="19"/>
          <w:shd w:val="clear" w:color="auto" w:fill="FFFFFF"/>
        </w:rPr>
        <w:t>Insert correlation data</w:t>
      </w:r>
      <w:commentRangeEnd w:id="0"/>
      <w:r w:rsidR="00120D8D">
        <w:rPr>
          <w:rStyle w:val="CommentReference"/>
        </w:rPr>
        <w:commentReference w:id="0"/>
      </w:r>
      <w:r w:rsidR="00120D8D">
        <w:rPr>
          <w:rFonts w:ascii="Arial" w:eastAsia="Times New Roman" w:hAnsi="Arial" w:cs="Arial"/>
          <w:color w:val="FF0000"/>
          <w:sz w:val="19"/>
          <w:szCs w:val="19"/>
          <w:shd w:val="clear" w:color="auto" w:fill="FFFFFF"/>
        </w:rPr>
        <w:t>. Additionally, it is important to note that the obese dexamethasone-treated mice were severely diabetic with marked fasting hyperglycemia, which is likely the cause of this accelerated water intake noted in the third week of treatment</w:t>
      </w:r>
      <w:r w:rsidR="00C66EAE">
        <w:rPr>
          <w:rFonts w:ascii="Arial" w:eastAsia="Times New Roman" w:hAnsi="Arial" w:cs="Arial"/>
          <w:color w:val="FF0000"/>
          <w:sz w:val="19"/>
          <w:szCs w:val="19"/>
          <w:shd w:val="clear" w:color="auto" w:fill="FFFFFF"/>
        </w:rPr>
        <w:t>,</w:t>
      </w:r>
      <w:r w:rsidR="00120D8D">
        <w:rPr>
          <w:rFonts w:ascii="Arial" w:eastAsia="Times New Roman" w:hAnsi="Arial" w:cs="Arial"/>
          <w:color w:val="FF0000"/>
          <w:sz w:val="19"/>
          <w:szCs w:val="19"/>
          <w:shd w:val="clear" w:color="auto" w:fill="FFFFFF"/>
        </w:rPr>
        <w:t xml:space="preserve"> as has been documented previously by others </w:t>
      </w:r>
      <w:r w:rsidR="00C66EAE">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C66EAE">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(1)</w:t>
      </w:r>
      <w:r w:rsidR="00C66EAE">
        <w:rPr>
          <w:rFonts w:ascii="Arial" w:eastAsia="Times New Roman" w:hAnsi="Arial" w:cs="Arial"/>
          <w:color w:val="FF0000"/>
          <w:sz w:val="19"/>
          <w:szCs w:val="19"/>
          <w:shd w:val="clear" w:color="auto" w:fill="FFFFFF"/>
        </w:rPr>
        <w:fldChar w:fldCharType="end"/>
      </w:r>
      <w:r w:rsidR="00120D8D">
        <w:rPr>
          <w:rFonts w:ascii="Arial" w:eastAsia="Times New Roman" w:hAnsi="Arial" w:cs="Arial"/>
          <w:color w:val="FF0000"/>
          <w:sz w:val="19"/>
          <w:szCs w:val="19"/>
          <w:shd w:val="clear" w:color="auto" w:fill="FFFFFF"/>
        </w:rPr>
        <w:t>.</w:t>
      </w:r>
      <w:r w:rsidR="00C66EAE">
        <w:rPr>
          <w:rFonts w:ascii="Arial" w:eastAsia="Times New Roman" w:hAnsi="Arial" w:cs="Arial"/>
          <w:color w:val="FF0000"/>
          <w:sz w:val="19"/>
          <w:szCs w:val="19"/>
          <w:shd w:val="clear" w:color="auto" w:fill="FFFFFF"/>
        </w:rPr>
        <w:t xml:space="preserve"> Unfortunately, we were</w:t>
      </w:r>
      <w:r w:rsidR="000641F6">
        <w:rPr>
          <w:rFonts w:ascii="Arial" w:eastAsia="Times New Roman" w:hAnsi="Arial" w:cs="Arial"/>
          <w:color w:val="FF0000"/>
          <w:sz w:val="19"/>
          <w:szCs w:val="19"/>
          <w:shd w:val="clear" w:color="auto" w:fill="FFFFFF"/>
        </w:rPr>
        <w:t xml:space="preserve"> not</w:t>
      </w:r>
      <w:r w:rsidR="00C66EAE">
        <w:rPr>
          <w:rFonts w:ascii="Arial" w:eastAsia="Times New Roman" w:hAnsi="Arial" w:cs="Arial"/>
          <w:color w:val="FF0000"/>
          <w:sz w:val="19"/>
          <w:szCs w:val="19"/>
          <w:shd w:val="clear" w:color="auto" w:fill="FFFFFF"/>
        </w:rPr>
        <w:t xml:space="preserve"> expecting that these mice would respond so dramatically and</w:t>
      </w:r>
      <w:bookmarkStart w:id="1" w:name="_GoBack"/>
      <w:bookmarkEnd w:id="1"/>
      <w:r w:rsidR="00C66EAE">
        <w:rPr>
          <w:rFonts w:ascii="Arial" w:eastAsia="Times New Roman" w:hAnsi="Arial" w:cs="Arial"/>
          <w:color w:val="FF0000"/>
          <w:sz w:val="19"/>
          <w:szCs w:val="19"/>
          <w:shd w:val="clear" w:color="auto" w:fill="FFFFFF"/>
        </w:rPr>
        <w:t xml:space="preserve"> therefore did not account for this in our study design.</w:t>
      </w:r>
    </w:p>
    <w:p w14:paraId="6E1C878D" w14:textId="36351357" w:rsidR="00DF6D48"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2336" behindDoc="0" locked="0" layoutInCell="1" allowOverlap="1" wp14:anchorId="1C9B19A5" wp14:editId="021847A1">
                <wp:simplePos x="0" y="0"/>
                <wp:positionH relativeFrom="column">
                  <wp:posOffset>2907665</wp:posOffset>
                </wp:positionH>
                <wp:positionV relativeFrom="paragraph">
                  <wp:posOffset>178601</wp:posOffset>
                </wp:positionV>
                <wp:extent cx="22987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8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A38DE" w14:textId="45F6CBC7" w:rsidR="003F6249" w:rsidRDefault="003F624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9B19A5" id="_x0000_t202" coordsize="21600,21600" o:spt="202" path="m0,0l0,21600,21600,21600,21600,0xe">
                <v:stroke joinstyle="miter"/>
                <v:path gradientshapeok="t" o:connecttype="rect"/>
              </v:shapetype>
              <v:shape id="Text Box 14" o:spid="_x0000_s1026" type="#_x0000_t202" style="position:absolute;margin-left:228.95pt;margin-top:14.05pt;width:18.1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yOt3YCAABaBQAADgAAAGRycy9lMm9Eb2MueG1srFRNb9swDL0P2H8QdF+dGFk/gjpF1qLDgKIt&#10;1g49K7LUGJNFTVISZ79+T7KTZt0uHXaxKfKRIh9JnV90rWFr5UNDtuLjoxFnykqqG/tc8W+P1x9O&#10;OQtR2FoYsqriWxX4xez9u/ONm6qSlmRq5RmC2DDduIovY3TToghyqVoRjsgpC6Mm34qIo38uai82&#10;iN6aohyNjosN+dp5kioEaK96I5/l+ForGe+0DioyU3HkFvPX5+8ifYvZuZg+e+GWjRzSEP+QRSsa&#10;i0v3oa5EFGzlmz9CtY30FEjHI0ltQVo3UuUaUM149Kqah6VwKtcCcoLb0xT+X1h5u773rKnRuwln&#10;VrTo0aPqIvtEHYMK/GxcmAL24ACMHfTA7vQBylR2p32b/iiIwQ6mt3t2UzQJZVmenZ7AImEqy9Pj&#10;UWa/eHF2PsTPilqWhIp7NC9zKtY3ISIRQHeQdJel68aY3EBjf1MA2GtUnoDBO9XR55uluDUqeRn7&#10;VWkwkNNOijx76tJ4thaYGiGlsjFXnOMCnVAad7/FccAn1z6rtzjvPfLNZOPeuW0s+czSq7Tr77uU&#10;dY8Hfwd1JzF2i27o74LqLdrrqV+Q4OR1gybciBDvhcdGoG/Y8niHjza0qTgNEmdL8j//pk94DCqs&#10;nG2wYRUPP1bCK87MF4sRPhtPJmkl82Hy8aTEwR9aFocWu2ovCe0Y4z1xMosJH81O1J7aJzwG83Qr&#10;TMJK3F3xuBMvY7/3eEykms8zCEvoRLyxD06m0IneNGKP3ZPwbpjDiAG+pd0uiumrceyxydPSfBVJ&#10;N3lWE8E9qwPxWOA8wsNjk16Iw3NGvTyJs18AAAD//wMAUEsDBBQABgAIAAAAIQB9VyUj3QAAAAkB&#10;AAAPAAAAZHJzL2Rvd25yZXYueG1sTI/BTsMwDIbvSLxDZCRuLNnUjbXUnRCIK4gBk3bLWq+taJyq&#10;ydby9pgTO9mWP/3+nG8m16kzDaH1jDCfGVDEpa9arhE+P17u1qBCtFzZzjMh/FCATXF9ldus8iO/&#10;03kbayUhHDKL0MTYZ1qHsiFnw8z3xLI7+sHZKONQ62qwo4S7Ti+MWWlnW5YLje3pqaHye3tyCF+v&#10;x/0uMW/1s1v2o5+MZpdqxNub6fEBVKQp/sPwpy/qUIjTwZ+4CqpDSJb3qaAIi/UclABJmkhzQFhJ&#10;1UWuLz8ofgEAAP//AwBQSwECLQAUAAYACAAAACEA5JnDwPsAAADhAQAAEwAAAAAAAAAAAAAAAAAA&#10;AAAAW0NvbnRlbnRfVHlwZXNdLnhtbFBLAQItABQABgAIAAAAIQAjsmrh1wAAAJQBAAALAAAAAAAA&#10;AAAAAAAAACwBAABfcmVscy8ucmVsc1BLAQItABQABgAIAAAAIQC1nI63dgIAAFoFAAAOAAAAAAAA&#10;AAAAAAAAACwCAABkcnMvZTJvRG9jLnhtbFBLAQItABQABgAIAAAAIQB9VyUj3QAAAAkBAAAPAAAA&#10;AAAAAAAAAAAAAM4EAABkcnMvZG93bnJldi54bWxQSwUGAAAAAAQABADzAAAA2AUAAAAA&#10;" filled="f" stroked="f">
                <v:textbox>
                  <w:txbxContent>
                    <w:p w14:paraId="76EA38DE" w14:textId="45F6CBC7" w:rsidR="003F6249" w:rsidRDefault="003F6249">
                      <w:r>
                        <w:t>B</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3CE9DDF9" wp14:editId="1BC7FDDE">
                <wp:simplePos x="0" y="0"/>
                <wp:positionH relativeFrom="column">
                  <wp:posOffset>-175260</wp:posOffset>
                </wp:positionH>
                <wp:positionV relativeFrom="paragraph">
                  <wp:posOffset>179070</wp:posOffset>
                </wp:positionV>
                <wp:extent cx="226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8EDA" w14:textId="25886160" w:rsidR="003F6249" w:rsidRDefault="003F624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E9DDF9" id="Text Box 12" o:spid="_x0000_s1027" type="#_x0000_t202" style="position:absolute;margin-left:-13.8pt;margin-top:14.1pt;width:17.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DYO3gCAABhBQAADgAAAGRycy9lMm9Eb2MueG1srFTBbtswDL0P2D8Iuq9OvKxbgzpF1qLDgKIt&#10;1g49K7LUGLNFTVJiZ1/fJ9lOs26XDrvYFPlIkY+kTs+6pmZb5XxFpuDTowlnykgqK/NY8O/3l+8+&#10;ceaDMKWoyaiC75TnZ4u3b05bO1c5rakulWMIYvy8tQVfh2DnWeblWjXCH5FVBkZNrhEBR/eYlU60&#10;iN7UWT6ZHGctudI6ksp7aC96I1+k+ForGW609iqwuuDILaSvS99V/GaLUzF/dMKuKzmkIf4hi0ZU&#10;BpfuQ12IINjGVX+EairpyJMOR5KajLSupEo1oJrp5EU1d2thVaoF5Hi7p8n/v7DyenvrWFWidzln&#10;RjTo0b3qAvtMHYMK/LTWzwG7swCGDnpgR72HMpbdadfEPwpisIPp3Z7dGE1CmefHk2NYJEzvZ/nJ&#10;JLGfPTtb58MXRQ2LQsEdmpc4FdsrH5AIoCMk3mXosqrr1MDa/KYAsNeoNAGDd6yjzzdJYVer6FWb&#10;b0qDgZR2VKTZU+e1Y1uBqRFSKhNSxSku0BGlcfdrHAd8dO2zeo3z3iPdTCbsnZvKkEssvUi7/DGm&#10;rHs8+DuoO4qhW3V968d2rqjcocuO+j3xVl5W6MWV8OFWOCwG2odlDzf46JragtMgcbYm9+tv+ojH&#10;vMLKWYtFK7j/uRFOcVZ/NZjkk+lsFjczHWYfPuY4uEPL6tBiNs05oStTPCtWJjHiQz2K2lHzgDdh&#10;GW+FSRiJuwseRvE89OuPN0Wq5TKBsItWhCtzZ2UMHVmOk3bfPQhnh3EMmONrGldSzF9MZY+NnoaW&#10;m0C6SiMbee5ZHfjHHqdJHt6c+FAcnhPq+WVcPAEAAP//AwBQSwMEFAAGAAgAAAAhAKM2ejjcAAAA&#10;BwEAAA8AAABkcnMvZG93bnJldi54bWxMj8FOwzAMhu9IvENkJG5bQgRbV5pOCMSViTGQdssar61o&#10;nKrJ1vL2Myc4WZY//f7+Yj35TpxxiG0gA3dzBQKpCq6l2sDu43WWgYjJkrNdIDTwgxHW5fVVYXMX&#10;RnrH8zbVgkMo5tZAk1KfSxmrBr2N89Aj8e0YBm8Tr0Mt3WBHDved1EotpLct8YfG9vjcYPW9PXkD&#10;n2/H/de92tQv/qEfw6Qk+ZU05vZmenoEkXBKfzD86rM6lOx0CCdyUXQGZnq5YNSAzjQIBjKuduCh&#10;NciykP/9ywsAAAD//wMAUEsBAi0AFAAGAAgAAAAhAOSZw8D7AAAA4QEAABMAAAAAAAAAAAAAAAAA&#10;AAAAAFtDb250ZW50X1R5cGVzXS54bWxQSwECLQAUAAYACAAAACEAI7Jq4dcAAACUAQAACwAAAAAA&#10;AAAAAAAAAAAsAQAAX3JlbHMvLnJlbHNQSwECLQAUAAYACAAAACEAC5DYO3gCAABhBQAADgAAAAAA&#10;AAAAAAAAAAAsAgAAZHJzL2Uyb0RvYy54bWxQSwECLQAUAAYACAAAACEAozZ6ONwAAAAHAQAADwAA&#10;AAAAAAAAAAAAAADQBAAAZHJzL2Rvd25yZXYueG1sUEsFBgAAAAAEAAQA8wAAANkFAAAAAA==&#10;" filled="f" stroked="f">
                <v:textbox>
                  <w:txbxContent>
                    <w:p w14:paraId="1BA18EDA" w14:textId="25886160" w:rsidR="003F6249" w:rsidRDefault="003F6249">
                      <w:r>
                        <w:t>A</w:t>
                      </w:r>
                    </w:p>
                  </w:txbxContent>
                </v:textbox>
                <w10:wrap type="square"/>
              </v:shape>
            </w:pict>
          </mc:Fallback>
        </mc:AlternateContent>
      </w:r>
      <w:r w:rsidR="00DD20C6" w:rsidRPr="00DD20C6">
        <w:rPr>
          <w:rFonts w:ascii="Arial" w:eastAsia="Times New Roman" w:hAnsi="Arial" w:cs="Arial"/>
          <w:color w:val="222222"/>
          <w:sz w:val="19"/>
          <w:szCs w:val="19"/>
        </w:rPr>
        <w:br/>
      </w:r>
      <w:r w:rsidR="00DF6D48">
        <w:rPr>
          <w:rFonts w:ascii="Arial" w:eastAsia="Times New Roman" w:hAnsi="Arial" w:cs="Arial"/>
          <w:noProof/>
          <w:color w:val="222222"/>
          <w:sz w:val="19"/>
          <w:szCs w:val="19"/>
          <w:shd w:val="clear" w:color="auto" w:fill="FFFFFF"/>
        </w:rPr>
        <w:drawing>
          <wp:inline distT="0" distB="0" distL="0" distR="0" wp14:anchorId="237C47BC" wp14:editId="7D35E2A8">
            <wp:extent cx="2856258" cy="1977974"/>
            <wp:effectExtent l="0" t="0" r="0" b="0"/>
            <wp:docPr id="8" name="Picture 8"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532" cy="2057109"/>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5BD2C43D" wp14:editId="7E97A456">
            <wp:extent cx="2288733" cy="1584959"/>
            <wp:effectExtent l="0" t="0" r="0" b="0"/>
            <wp:docPr id="9" name="Picture 9"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56" cy="1619116"/>
                    </a:xfrm>
                    <a:prstGeom prst="rect">
                      <a:avLst/>
                    </a:prstGeom>
                    <a:noFill/>
                    <a:ln>
                      <a:noFill/>
                    </a:ln>
                  </pic:spPr>
                </pic:pic>
              </a:graphicData>
            </a:graphic>
          </wp:inline>
        </w:drawing>
      </w:r>
    </w:p>
    <w:p w14:paraId="2C9AD915" w14:textId="07F9A9F9" w:rsidR="003F6249"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1312" behindDoc="0" locked="0" layoutInCell="1" allowOverlap="1" wp14:anchorId="638167E1" wp14:editId="1E94E38F">
                <wp:simplePos x="0" y="0"/>
                <wp:positionH relativeFrom="column">
                  <wp:posOffset>-174625</wp:posOffset>
                </wp:positionH>
                <wp:positionV relativeFrom="paragraph">
                  <wp:posOffset>237959</wp:posOffset>
                </wp:positionV>
                <wp:extent cx="22606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C8E1" w14:textId="68EF48C1" w:rsidR="003F6249" w:rsidRDefault="003F6249" w:rsidP="003F624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167E1" id="Text Box 13" o:spid="_x0000_s1028" type="#_x0000_t202" style="position:absolute;margin-left:-13.75pt;margin-top:18.75pt;width:17.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A3kCAABhBQAADgAAAGRycy9lMm9Eb2MueG1srFTBbtswDL0P2D8Iuq9O3KxbgzpF1qLDgKIt&#10;1g49K7LUGLNFTVJiZ1+/J9lOs26XDrvYFPlIkY+kzs67pmZb5XxFpuDTowlnykgqK/NU8G8PV+8+&#10;cuaDMKWoyaiC75Tn54u3b85aO1c5rakulWMIYvy8tQVfh2DnWeblWjXCH5FVBkZNrhEBR/eUlU60&#10;iN7UWT6ZnGQtudI6ksp7aC97I1+k+ForGW619iqwuuDILaSvS99V/GaLMzF/csKuKzmkIf4hi0ZU&#10;BpfuQ12KINjGVX+EairpyJMOR5KajLSupEo1oJrp5EU192thVaoF5Hi7p8n/v7DyZnvnWFWid8ec&#10;GdGgRw+qC+wTdQwq8NNaPwfs3gIYOuiBHfUeylh2p10T/yiIwQ6md3t2YzQJZZ6fTE5gkTAdz/LT&#10;SWI/e3a2zofPihoWhYI7NC9xKrbXPiARQEdIvMvQVVXXqYG1+U0BYK9RaQIG71hHn2+Swq5W0as2&#10;X5UGAyntqEizpy5qx7YCUyOkVCakilNcoCNK4+7XOA746Npn9RrnvUe6mUzYOzeVIZdYepF2+X1M&#10;Wfd48HdQdxRDt+pS6/OxnSsqd+iyo35PvJVXFXpxLXy4Ew6LgfZh2cMtPrqmtuA0SJytyf38mz7i&#10;Ma+wctZi0Qruf2yEU5zVXwwm+XQ6m8XNTIfZ+w85Du7Qsjq0mE1zQejKFM+KlUmM+FCPonbUPOJN&#10;WMZbYRJG4u6Ch1G8CP36402RarlMIOyiFeHa3FsZQ0eW46Q9dI/C2WEcA+b4hsaVFPMXU9ljo6eh&#10;5SaQrtLIRp57Vgf+scdpkoc3Jz4Uh+eEen4ZF78AAAD//wMAUEsDBBQABgAIAAAAIQAnTHO33AAA&#10;AAcBAAAPAAAAZHJzL2Rvd25yZXYueG1sTI5BT8JAEIXvJv6HzZh4g92iVaidEqLxqhGFxNvSHdqG&#10;7mzTXWj99ywnPE1e5st7X74cbStO1PvGMUIyVSCIS2carhB+vt8ncxA+aDa6dUwIf+RhWdze5Doz&#10;buAvOq1DJWIJ+0wj1CF0mZS+rMlqP3UdcfztXW91iLGvpOn1EMttK2dKPUmrG44Lte7otabysD5a&#10;hM3H/nf7qD6rN5t2gxuVZLuQiPd34+oFRKAxXGG46Ed1KKLTzh3ZeNEiTGbPaUQRHi43AvMExA5h&#10;kaQgi1z+9y/OAAAA//8DAFBLAQItABQABgAIAAAAIQDkmcPA+wAAAOEBAAATAAAAAAAAAAAAAAAA&#10;AAAAAABbQ29udGVudF9UeXBlc10ueG1sUEsBAi0AFAAGAAgAAAAhACOyauHXAAAAlAEAAAsAAAAA&#10;AAAAAAAAAAAALAEAAF9yZWxzLy5yZWxzUEsBAi0AFAAGAAgAAAAhAP7FwAN5AgAAYQUAAA4AAAAA&#10;AAAAAAAAAAAALAIAAGRycy9lMm9Eb2MueG1sUEsBAi0AFAAGAAgAAAAhACdMc7fcAAAABwEAAA8A&#10;AAAAAAAAAAAAAAAA0QQAAGRycy9kb3ducmV2LnhtbFBLBQYAAAAABAAEAPMAAADaBQAAAAA=&#10;" filled="f" stroked="f">
                <v:textbox>
                  <w:txbxContent>
                    <w:p w14:paraId="3B2CC8E1" w14:textId="68EF48C1" w:rsidR="003F6249" w:rsidRDefault="003F6249" w:rsidP="003F6249">
                      <w:r>
                        <w:t>C</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64384" behindDoc="0" locked="0" layoutInCell="1" allowOverlap="1" wp14:anchorId="4B794068" wp14:editId="0FFA77EC">
                <wp:simplePos x="0" y="0"/>
                <wp:positionH relativeFrom="column">
                  <wp:posOffset>3135630</wp:posOffset>
                </wp:positionH>
                <wp:positionV relativeFrom="paragraph">
                  <wp:posOffset>235585</wp:posOffset>
                </wp:positionV>
                <wp:extent cx="226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11B2D" w14:textId="0D754821" w:rsidR="003F6249" w:rsidRDefault="003F6249" w:rsidP="003F624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94068" id="Text Box 15" o:spid="_x0000_s1029" type="#_x0000_t202" style="position:absolute;margin-left:246.9pt;margin-top:18.55pt;width:17.8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K3k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fo3Qln&#10;VjTo0YPqIvtIHYMK/LQuzAC7dwDGDnpgd/oAZSq7075JfxTEYAfT2z27KZqEcjI5HZ3CImE6nk7O&#10;Rpn94tnZ+RA/KWpYEkru0bzMqdjchIhEAN1B0l2WrmtjcgON/U0BYK9ReQIG71RHn2+W4tao5GXs&#10;V6XBQE47KfLsqUvj2UZgaoSUysZccY4LdEJp3P0axwGfXPusXuO898g3k41756a25DNLL9Kuvu9S&#10;1j0e/B3UncTYLbvc+uNdO5dUbdFlT/2eBCeva/TiRoR4JzwWA+3DssdbfLShtuQ0SJytyP/8mz7h&#10;Ma+wctZi0UoefqyFV5yZzxaTfDaeTtNm5sP05P0EB39oWR5a7Lq5JHRljGfFySwmfDQ7UXtqHvEm&#10;LNKtMAkrcXfJ4068jP36402RarHIIOyiE/HG3juZQieW06Q9dI/Cu2EcI+b4C+1WUsxeTGWPTZ6W&#10;FutIus4jm3juWR34xx7nSR7enPRQHJ4z6vllnP8CAAD//wMAUEsDBBQABgAIAAAAIQDKxgi23wAA&#10;AAkBAAAPAAAAZHJzL2Rvd25yZXYueG1sTI/NTsMwEITvSH0Haytxo3baFEiaTYVAXEEtP1JvbrxN&#10;IuJ1FLtNeHvMCY6jGc18U2wn24kLDb51jJAsFAjiypmWa4T3t+ebexA+aDa6c0wI3+RhW86uCp0b&#10;N/KOLvtQi1jCPtcITQh9LqWvGrLaL1xPHL2TG6wOUQ61NIMeY7nt5FKpW2l1y3Gh0T09NlR97c8W&#10;4ePldPhM1Wv9ZNf96CYl2WYS8Xo+PWxABJrCXxh+8SM6lJHp6M5svOgQ0mwV0QPC6i4BEQPrZZaC&#10;OCJkSQKyLOT/B+UPAAAA//8DAFBLAQItABQABgAIAAAAIQDkmcPA+wAAAOEBAAATAAAAAAAAAAAA&#10;AAAAAAAAAABbQ29udGVudF9UeXBlc10ueG1sUEsBAi0AFAAGAAgAAAAhACOyauHXAAAAlAEAAAsA&#10;AAAAAAAAAAAAAAAALAEAAF9yZWxzLy5yZWxzUEsBAi0AFAAGAAgAAAAhAL1l+Ct5AgAAYQUAAA4A&#10;AAAAAAAAAAAAAAAALAIAAGRycy9lMm9Eb2MueG1sUEsBAi0AFAAGAAgAAAAhAMrGCLbfAAAACQEA&#10;AA8AAAAAAAAAAAAAAAAA0QQAAGRycy9kb3ducmV2LnhtbFBLBQYAAAAABAAEAPMAAADdBQAAAAA=&#10;" filled="f" stroked="f">
                <v:textbox>
                  <w:txbxContent>
                    <w:p w14:paraId="2AA11B2D" w14:textId="0D754821" w:rsidR="003F6249" w:rsidRDefault="003F6249" w:rsidP="003F6249">
                      <w:r>
                        <w:t>D</w:t>
                      </w:r>
                    </w:p>
                  </w:txbxContent>
                </v:textbox>
                <w10:wrap type="square"/>
              </v:shape>
            </w:pict>
          </mc:Fallback>
        </mc:AlternateContent>
      </w:r>
      <w:r w:rsidR="003F6249">
        <w:rPr>
          <w:rFonts w:ascii="Arial" w:eastAsia="Times New Roman" w:hAnsi="Arial" w:cs="Arial"/>
          <w:noProof/>
          <w:color w:val="222222"/>
          <w:sz w:val="19"/>
          <w:szCs w:val="19"/>
          <w:shd w:val="clear" w:color="auto" w:fill="FFFFFF"/>
        </w:rPr>
        <w:drawing>
          <wp:inline distT="0" distB="0" distL="0" distR="0" wp14:anchorId="4FE25D6A" wp14:editId="7648051F">
            <wp:extent cx="2170458" cy="1503053"/>
            <wp:effectExtent l="0" t="0" r="0" b="0"/>
            <wp:docPr id="10" name="Picture 10" descr="/Volumes/SPH/NS/BridgesLab/Harvey/Mouse Work/Dexamethasone Treatment/Combined NCD and HFD/figures/weekly-normalized-int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PH/NS/BridgesLab/Harvey/Mouse Work/Dexamethasone Treatment/Combined NCD and HFD/figures/weekly-normalized-intak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127" cy="1532601"/>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35393364" wp14:editId="7CB4C4A0">
            <wp:extent cx="2258435" cy="1563977"/>
            <wp:effectExtent l="0" t="0" r="0" b="0"/>
            <wp:docPr id="11" name="Picture 11" descr="/Volumes/SPH/NS/BridgesLab/Harvey/Mouse Work/Dexamethasone Treatment/Combined NCD and HFD/figures/dex-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PH/NS/BridgesLab/Harvey/Mouse Work/Dexamethasone Treatment/Combined NCD and HFD/figures/dex-bar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006" cy="1583763"/>
                    </a:xfrm>
                    <a:prstGeom prst="rect">
                      <a:avLst/>
                    </a:prstGeom>
                    <a:noFill/>
                    <a:ln>
                      <a:noFill/>
                    </a:ln>
                  </pic:spPr>
                </pic:pic>
              </a:graphicData>
            </a:graphic>
          </wp:inline>
        </w:drawing>
      </w:r>
    </w:p>
    <w:p w14:paraId="5D162C95" w14:textId="4B86B453" w:rsidR="001E44AD" w:rsidRPr="008B31DB" w:rsidRDefault="00DD20C6" w:rsidP="00DD20C6">
      <w:pPr>
        <w:rPr>
          <w:rFonts w:ascii="Arial" w:eastAsia="Times New Roman" w:hAnsi="Arial" w:cs="Arial"/>
          <w:color w:val="FF0000"/>
          <w:sz w:val="19"/>
          <w:szCs w:val="19"/>
          <w:shd w:val="clear" w:color="auto" w:fill="FFFFFF"/>
        </w:rPr>
      </w:pP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lastRenderedPageBreak/>
        <w:t>The figures 1A, 1B, 1C and 1D appear to be mislabeled in the legend.</w:t>
      </w:r>
    </w:p>
    <w:p w14:paraId="2DA980B7" w14:textId="5F1B0113" w:rsidR="00235908" w:rsidRPr="00235908" w:rsidRDefault="00235908" w:rsidP="00235908">
      <w:pPr>
        <w:pStyle w:val="ListParagraph"/>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 xml:space="preserve">ds document and main document-if you want to see what I changed please refer to fig legend </w:t>
      </w:r>
      <w:r w:rsidR="006F572B">
        <w:rPr>
          <w:rFonts w:ascii="Arial" w:eastAsia="Times New Roman" w:hAnsi="Arial" w:cs="Arial"/>
          <w:color w:val="FF0000"/>
          <w:sz w:val="19"/>
          <w:szCs w:val="19"/>
          <w:shd w:val="clear" w:color="auto" w:fill="FFFFFF"/>
        </w:rPr>
        <w:t>document.</w:t>
      </w:r>
    </w:p>
    <w:p w14:paraId="6753078E" w14:textId="630F2A88" w:rsidR="008B31DB" w:rsidRPr="00DF16A0" w:rsidRDefault="00DD20C6" w:rsidP="00DF16A0">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6F572B">
        <w:rPr>
          <w:rFonts w:ascii="Arial" w:eastAsia="Times New Roman" w:hAnsi="Arial" w:cs="Arial"/>
          <w:color w:val="FF0000"/>
          <w:sz w:val="19"/>
          <w:szCs w:val="19"/>
        </w:rPr>
        <w:t>.</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 xml:space="preserve">Reviewer 2: Authors assessed some metabolic effects of increased glucocorticoid in combination with obesity induced by hyper-caloric feeding (in mice). Authors speculate that this combination of events is present in "many individuals". </w:t>
      </w:r>
      <w:proofErr w:type="gramStart"/>
      <w:r w:rsidRPr="00DF16A0">
        <w:rPr>
          <w:rFonts w:ascii="Arial" w:eastAsia="Times New Roman" w:hAnsi="Arial" w:cs="Arial"/>
          <w:b/>
          <w:color w:val="222222"/>
          <w:sz w:val="19"/>
          <w:szCs w:val="19"/>
          <w:shd w:val="clear" w:color="auto" w:fill="FFFFFF"/>
        </w:rPr>
        <w:t>Therefore</w:t>
      </w:r>
      <w:proofErr w:type="gramEnd"/>
      <w:r w:rsidRPr="00DF16A0">
        <w:rPr>
          <w:rFonts w:ascii="Arial" w:eastAsia="Times New Roman" w:hAnsi="Arial" w:cs="Arial"/>
          <w:b/>
          <w:color w:val="222222"/>
          <w:sz w:val="19"/>
          <w:szCs w:val="19"/>
          <w:shd w:val="clear" w:color="auto" w:fill="FFFFFF"/>
        </w:rPr>
        <w:t xml:space="preserv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5C82EB82"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"(2,3)", "plainTextFormattedCitation" : "(2,3)", "previouslyFormattedCitation" : "(2,3)"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(2,3)</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20EC3">
        <w:rPr>
          <w:rFonts w:ascii="Arial" w:eastAsia="Times New Roman" w:hAnsi="Arial" w:cs="Arial"/>
          <w:color w:val="FF0000"/>
          <w:sz w:val="19"/>
          <w:szCs w:val="19"/>
          <w:shd w:val="clear" w:color="auto" w:fill="FFFFFF"/>
        </w:rPr>
        <w:t>As mentioned above, the obese</w:t>
      </w:r>
      <w:r w:rsidR="006A4333">
        <w:rPr>
          <w:rFonts w:ascii="Arial" w:eastAsia="Times New Roman" w:hAnsi="Arial" w:cs="Arial"/>
          <w:color w:val="FF0000"/>
          <w:sz w:val="19"/>
          <w:szCs w:val="19"/>
          <w:shd w:val="clear" w:color="auto" w:fill="FFFFFF"/>
        </w:rPr>
        <w:t xml:space="preserve"> mice had higher intake </w:t>
      </w:r>
      <w:r w:rsidR="006A4333">
        <w:rPr>
          <w:rFonts w:ascii="Arial" w:eastAsia="Times New Roman" w:hAnsi="Arial" w:cs="Arial"/>
          <w:color w:val="FF0000"/>
          <w:sz w:val="19"/>
          <w:szCs w:val="19"/>
          <w:shd w:val="clear" w:color="auto" w:fill="FFFFFF"/>
        </w:rPr>
        <w:t>of dexamethasone</w:t>
      </w:r>
      <w:r w:rsidR="006A4333">
        <w:rPr>
          <w:rFonts w:ascii="Arial" w:eastAsia="Times New Roman" w:hAnsi="Arial" w:cs="Arial"/>
          <w:color w:val="FF0000"/>
          <w:sz w:val="19"/>
          <w:szCs w:val="19"/>
          <w:shd w:val="clear" w:color="auto" w:fill="FFFFFF"/>
        </w:rPr>
        <w:t xml:space="preserve"> and that was matched with elevated serum concentrations; however, these values were within range of serum cortisol concentrations observed in Cushing’s </w:t>
      </w:r>
      <w:r w:rsidR="00964D88">
        <w:rPr>
          <w:rFonts w:ascii="Arial" w:eastAsia="Times New Roman" w:hAnsi="Arial" w:cs="Arial"/>
          <w:color w:val="FF0000"/>
          <w:sz w:val="19"/>
          <w:szCs w:val="19"/>
          <w:shd w:val="clear" w:color="auto" w:fill="FFFFFF"/>
        </w:rPr>
        <w:t xml:space="preserve">syndrome </w:t>
      </w:r>
      <w:r w:rsidR="006A4333">
        <w:rPr>
          <w:rFonts w:ascii="Arial" w:eastAsia="Times New Roman" w:hAnsi="Arial" w:cs="Arial"/>
          <w:color w:val="FF0000"/>
          <w:sz w:val="19"/>
          <w:szCs w:val="19"/>
          <w:shd w:val="clear" w:color="auto" w:fill="FFFFFF"/>
        </w:rPr>
        <w:t xml:space="preserve">patients </w:t>
      </w:r>
      <w:r w:rsidR="00964D88">
        <w:rPr>
          <w:rFonts w:ascii="Arial" w:eastAsia="Times New Roman" w:hAnsi="Arial" w:cs="Arial"/>
          <w:color w:val="FF0000"/>
          <w:sz w:val="19"/>
          <w:szCs w:val="19"/>
          <w:shd w:val="clear" w:color="auto" w:fill="FFFFFF"/>
        </w:rPr>
        <w:fldChar w:fldCharType="begin" w:fldLock="1"/>
      </w:r>
      <w:r w:rsidR="00964D88">
        <w:rPr>
          <w:rFonts w:ascii="Arial" w:eastAsia="Times New Roman" w:hAnsi="Arial" w:cs="Arial"/>
          <w:color w:val="FF0000"/>
          <w:sz w:val="19"/>
          <w:szCs w:val="19"/>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"(4,5)", "plainTextFormattedCitation" : "(4,5)", "previouslyFormattedCitation" : "(4,5)" }, "properties" : {  }, "schema" : "https://github.com/citation-style-language/schema/raw/master/csl-citation.json" }</w:instrText>
      </w:r>
      <w:r w:rsidR="00964D88">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color w:val="FF0000"/>
          <w:sz w:val="19"/>
          <w:szCs w:val="19"/>
          <w:shd w:val="clear" w:color="auto" w:fill="FFFFFF"/>
        </w:rPr>
        <w:t>(4,5)</w:t>
      </w:r>
      <w:r w:rsidR="00964D88">
        <w:rPr>
          <w:rFonts w:ascii="Arial" w:eastAsia="Times New Roman" w:hAnsi="Arial" w:cs="Arial"/>
          <w:color w:val="FF0000"/>
          <w:sz w:val="19"/>
          <w:szCs w:val="19"/>
          <w:shd w:val="clear" w:color="auto" w:fill="FFFFFF"/>
        </w:rPr>
        <w:fldChar w:fldCharType="end"/>
      </w:r>
      <w:r w:rsidR="006A4333">
        <w:rPr>
          <w:rFonts w:ascii="Arial" w:eastAsia="Times New Roman" w:hAnsi="Arial" w:cs="Arial"/>
          <w:color w:val="FF0000"/>
          <w:sz w:val="19"/>
          <w:szCs w:val="19"/>
          <w:shd w:val="clear" w:color="auto" w:fill="FFFFFF"/>
        </w:rPr>
        <w:t xml:space="preserve">, even when accounting for the increased potency of dexamethasone in comparison to cortisol. </w:t>
      </w:r>
    </w:p>
    <w:p w14:paraId="45C4669B" w14:textId="77777777" w:rsidR="00F8420F" w:rsidRDefault="00F8420F" w:rsidP="00DD20C6">
      <w:pPr>
        <w:rPr>
          <w:rFonts w:ascii="Arial" w:eastAsia="Times New Roman" w:hAnsi="Arial" w:cs="Arial"/>
          <w:color w:val="FF0000"/>
          <w:sz w:val="19"/>
          <w:szCs w:val="19"/>
          <w:shd w:val="clear" w:color="auto" w:fill="FFFFFF"/>
        </w:rPr>
      </w:pPr>
    </w:p>
    <w:p w14:paraId="5A53B5B2" w14:textId="51AFB36B" w:rsidR="00964D88" w:rsidRPr="00964D88" w:rsidRDefault="00CC3862" w:rsidP="00964D88">
      <w:pPr>
        <w:widowControl w:val="0"/>
        <w:autoSpaceDE w:val="0"/>
        <w:autoSpaceDN w:val="0"/>
        <w:adjustRightInd w:val="0"/>
        <w:ind w:left="640" w:hanging="640"/>
        <w:rPr>
          <w:rFonts w:ascii="Arial" w:eastAsia="Times New Roman" w:hAnsi="Arial" w:cs="Arial"/>
          <w:noProof/>
          <w:sz w:val="20"/>
        </w:rPr>
      </w:pP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sz w:val="20"/>
        </w:rPr>
        <w:t xml:space="preserve">1. </w:t>
      </w:r>
      <w:r w:rsidR="00964D88" w:rsidRPr="00964D88">
        <w:rPr>
          <w:rFonts w:ascii="Arial" w:eastAsia="Times New Roman" w:hAnsi="Arial" w:cs="Arial"/>
          <w:noProof/>
          <w:sz w:val="20"/>
        </w:rPr>
        <w:tab/>
      </w:r>
      <w:r w:rsidR="00964D88" w:rsidRPr="00964D88">
        <w:rPr>
          <w:rFonts w:ascii="Arial" w:eastAsia="Times New Roman" w:hAnsi="Arial" w:cs="Arial"/>
          <w:b/>
          <w:bCs/>
          <w:noProof/>
          <w:sz w:val="20"/>
        </w:rPr>
        <w:t>Lee SM, Bressler R.</w:t>
      </w:r>
      <w:r w:rsidR="00964D88" w:rsidRPr="00964D88">
        <w:rPr>
          <w:rFonts w:ascii="Arial" w:eastAsia="Times New Roman" w:hAnsi="Arial" w:cs="Arial"/>
          <w:noProof/>
          <w:sz w:val="20"/>
        </w:rPr>
        <w:t xml:space="preserve"> Prevention of diabetic nephropathy by diet control in the db/db mouse. </w:t>
      </w:r>
      <w:r w:rsidR="00964D88" w:rsidRPr="00964D88">
        <w:rPr>
          <w:rFonts w:ascii="Arial" w:eastAsia="Times New Roman" w:hAnsi="Arial" w:cs="Arial"/>
          <w:i/>
          <w:iCs/>
          <w:noProof/>
          <w:sz w:val="20"/>
        </w:rPr>
        <w:t>Diabetes</w:t>
      </w:r>
      <w:r w:rsidR="00964D88" w:rsidRPr="00964D88">
        <w:rPr>
          <w:rFonts w:ascii="Arial" w:eastAsia="Times New Roman" w:hAnsi="Arial" w:cs="Arial"/>
          <w:noProof/>
          <w:sz w:val="20"/>
        </w:rPr>
        <w:t xml:space="preserve"> 1981;30(2):106–111.</w:t>
      </w:r>
    </w:p>
    <w:p w14:paraId="586E59DC"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2. </w:t>
      </w:r>
      <w:r w:rsidRPr="00964D88">
        <w:rPr>
          <w:rFonts w:ascii="Arial" w:eastAsia="Times New Roman" w:hAnsi="Arial" w:cs="Arial"/>
          <w:noProof/>
          <w:sz w:val="20"/>
        </w:rPr>
        <w:tab/>
      </w:r>
      <w:r w:rsidRPr="00964D88">
        <w:rPr>
          <w:rFonts w:ascii="Arial" w:eastAsia="Times New Roman" w:hAnsi="Arial" w:cs="Arial"/>
          <w:b/>
          <w:bCs/>
          <w:noProof/>
          <w:sz w:val="20"/>
        </w:rPr>
        <w:t>Tyrrell JB, Findling JW, Aron DC, Fitzgerald PA, Forsham PH.</w:t>
      </w:r>
      <w:r w:rsidRPr="00964D88">
        <w:rPr>
          <w:rFonts w:ascii="Arial" w:eastAsia="Times New Roman" w:hAnsi="Arial" w:cs="Arial"/>
          <w:noProof/>
          <w:sz w:val="20"/>
        </w:rPr>
        <w:t xml:space="preserve"> An overnight high-dose dexamethasone suppression test for rapid differential diagnosis of Cushing’s syndrome. </w:t>
      </w:r>
      <w:r w:rsidRPr="00964D88">
        <w:rPr>
          <w:rFonts w:ascii="Arial" w:eastAsia="Times New Roman" w:hAnsi="Arial" w:cs="Arial"/>
          <w:i/>
          <w:iCs/>
          <w:noProof/>
          <w:sz w:val="20"/>
        </w:rPr>
        <w:t>Ann.Intern.Med.</w:t>
      </w:r>
      <w:r w:rsidRPr="00964D88">
        <w:rPr>
          <w:rFonts w:ascii="Arial" w:eastAsia="Times New Roman" w:hAnsi="Arial" w:cs="Arial"/>
          <w:noProof/>
          <w:sz w:val="20"/>
        </w:rPr>
        <w:t xml:space="preserve"> 1986;104:180–186.</w:t>
      </w:r>
    </w:p>
    <w:p w14:paraId="1C7A31DA"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3. </w:t>
      </w:r>
      <w:r w:rsidRPr="00964D88">
        <w:rPr>
          <w:rFonts w:ascii="Arial" w:eastAsia="Times New Roman" w:hAnsi="Arial" w:cs="Arial"/>
          <w:noProof/>
          <w:sz w:val="20"/>
        </w:rPr>
        <w:tab/>
      </w:r>
      <w:r w:rsidRPr="00964D88">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964D88">
        <w:rPr>
          <w:rFonts w:ascii="Arial" w:eastAsia="Times New Roman" w:hAnsi="Arial" w:cs="Arial"/>
          <w:noProof/>
          <w:sz w:val="20"/>
        </w:rPr>
        <w:t xml:space="preserve"> Mifepristone, a Glucocorticoid Receptor Antagonist, Produces Clinical and Metabolic Benefits in Patients with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2012;97(6):2039–2049.</w:t>
      </w:r>
    </w:p>
    <w:p w14:paraId="16D74560"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4. </w:t>
      </w:r>
      <w:r w:rsidRPr="00964D88">
        <w:rPr>
          <w:rFonts w:ascii="Arial" w:eastAsia="Times New Roman" w:hAnsi="Arial" w:cs="Arial"/>
          <w:noProof/>
          <w:sz w:val="20"/>
        </w:rPr>
        <w:tab/>
      </w:r>
      <w:r w:rsidRPr="00964D88">
        <w:rPr>
          <w:rFonts w:ascii="Arial" w:eastAsia="Times New Roman" w:hAnsi="Arial" w:cs="Arial"/>
          <w:b/>
          <w:bCs/>
          <w:noProof/>
          <w:sz w:val="20"/>
        </w:rPr>
        <w:t>Martin NM, Dhillo WS, Banerjee A, Abdulali A, Jayasena CN, Donaldson M, Todd JF, Meeran K.</w:t>
      </w:r>
      <w:r w:rsidRPr="00964D88">
        <w:rPr>
          <w:rFonts w:ascii="Arial" w:eastAsia="Times New Roman" w:hAnsi="Arial" w:cs="Arial"/>
          <w:noProof/>
          <w:sz w:val="20"/>
        </w:rPr>
        <w:t xml:space="preserve"> Comparison of the dexamethasone-suppressed corticotropin-releasing hormone test and low-dose dexamethasone suppression test in the diagnosis of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2006;91(7):2582–2586.</w:t>
      </w:r>
    </w:p>
    <w:p w14:paraId="5B8D2ACC" w14:textId="77777777" w:rsidR="00964D88" w:rsidRPr="00964D88" w:rsidRDefault="00964D88" w:rsidP="00964D88">
      <w:pPr>
        <w:widowControl w:val="0"/>
        <w:autoSpaceDE w:val="0"/>
        <w:autoSpaceDN w:val="0"/>
        <w:adjustRightInd w:val="0"/>
        <w:ind w:left="640" w:hanging="640"/>
        <w:rPr>
          <w:rFonts w:ascii="Arial" w:hAnsi="Arial" w:cs="Arial"/>
          <w:noProof/>
          <w:sz w:val="20"/>
        </w:rPr>
      </w:pPr>
      <w:r w:rsidRPr="00964D88">
        <w:rPr>
          <w:rFonts w:ascii="Arial" w:eastAsia="Times New Roman" w:hAnsi="Arial" w:cs="Arial"/>
          <w:noProof/>
          <w:sz w:val="20"/>
        </w:rPr>
        <w:t xml:space="preserve">5. </w:t>
      </w:r>
      <w:r w:rsidRPr="00964D88">
        <w:rPr>
          <w:rFonts w:ascii="Arial" w:eastAsia="Times New Roman" w:hAnsi="Arial" w:cs="Arial"/>
          <w:noProof/>
          <w:sz w:val="20"/>
        </w:rPr>
        <w:tab/>
      </w:r>
      <w:r w:rsidRPr="00964D88">
        <w:rPr>
          <w:rFonts w:ascii="Arial" w:eastAsia="Times New Roman" w:hAnsi="Arial" w:cs="Arial"/>
          <w:b/>
          <w:bCs/>
          <w:noProof/>
          <w:sz w:val="20"/>
        </w:rPr>
        <w:t>Papanicolaou DA, Yanovski JA, Cutler GB, Chrousos GP, Nieman LK.</w:t>
      </w:r>
      <w:r w:rsidRPr="00964D88">
        <w:rPr>
          <w:rFonts w:ascii="Arial" w:eastAsia="Times New Roman" w:hAnsi="Arial" w:cs="Arial"/>
          <w:noProof/>
          <w:sz w:val="20"/>
        </w:rPr>
        <w:t xml:space="preserve"> Distinguishes Cushing ’ s Syndrome from Pseudo-Cushing. </w:t>
      </w:r>
      <w:r w:rsidRPr="00964D88">
        <w:rPr>
          <w:rFonts w:ascii="Arial" w:eastAsia="Times New Roman" w:hAnsi="Arial" w:cs="Arial"/>
          <w:i/>
          <w:iCs/>
          <w:noProof/>
          <w:sz w:val="20"/>
        </w:rPr>
        <w:t>Endocrinol. Metab.</w:t>
      </w:r>
      <w:r w:rsidRPr="00964D88">
        <w:rPr>
          <w:rFonts w:ascii="Arial" w:eastAsia="Times New Roman" w:hAnsi="Arial" w:cs="Arial"/>
          <w:noProof/>
          <w:sz w:val="20"/>
        </w:rPr>
        <w:t xml:space="preserve"> 2009;83(4):1163–1167.</w:t>
      </w:r>
    </w:p>
    <w:p w14:paraId="10E770A8" w14:textId="4D0566BA" w:rsidR="00CC3862" w:rsidRDefault="00CC3862" w:rsidP="00964D88">
      <w:pPr>
        <w:widowControl w:val="0"/>
        <w:autoSpaceDE w:val="0"/>
        <w:autoSpaceDN w:val="0"/>
        <w:adjustRightInd w:val="0"/>
        <w:ind w:left="640" w:hanging="640"/>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2B6B30E1"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790FFF">
        <w:rPr>
          <w:rFonts w:ascii="Arial" w:eastAsia="Times New Roman" w:hAnsi="Arial" w:cs="Arial"/>
          <w:color w:val="FF0000"/>
          <w:sz w:val="19"/>
          <w:szCs w:val="19"/>
          <w:shd w:val="clear" w:color="auto" w:fill="FFFFFF"/>
        </w:rPr>
        <w:t xml:space="preserve"> T</w:t>
      </w:r>
      <w:r w:rsidR="00787C40">
        <w:rPr>
          <w:rFonts w:ascii="Arial" w:eastAsia="Times New Roman" w:hAnsi="Arial" w:cs="Arial"/>
          <w:color w:val="FF0000"/>
          <w:sz w:val="19"/>
          <w:szCs w:val="19"/>
          <w:shd w:val="clear" w:color="auto" w:fill="FFFFFF"/>
        </w:rPr>
        <w:t>o our knowledge this is the first paper to investigate chronically elevated glucocorticoids in the context of obesity an</w:t>
      </w:r>
      <w:r w:rsidR="00FC1E39">
        <w:rPr>
          <w:rFonts w:ascii="Arial" w:eastAsia="Times New Roman" w:hAnsi="Arial" w:cs="Arial"/>
          <w:color w:val="FF0000"/>
          <w:sz w:val="19"/>
          <w:szCs w:val="19"/>
          <w:shd w:val="clear" w:color="auto" w:fill="FFFFFF"/>
        </w:rPr>
        <w:t>d compare to the lean phenotype</w:t>
      </w:r>
      <w:r w:rsidR="00787C40">
        <w:rPr>
          <w:rFonts w:ascii="Arial" w:eastAsia="Times New Roman" w:hAnsi="Arial" w:cs="Arial"/>
          <w:color w:val="FF0000"/>
          <w:sz w:val="19"/>
          <w:szCs w:val="19"/>
          <w:shd w:val="clear" w:color="auto" w:fill="FFFFFF"/>
        </w:rPr>
        <w:t xml:space="preserve">. </w:t>
      </w:r>
      <w:r w:rsidR="00D10AB5">
        <w:rPr>
          <w:rFonts w:ascii="Arial" w:eastAsia="Times New Roman" w:hAnsi="Arial" w:cs="Arial"/>
          <w:color w:val="FF0000"/>
          <w:sz w:val="19"/>
          <w:szCs w:val="19"/>
          <w:shd w:val="clear" w:color="auto" w:fill="FFFFFF"/>
        </w:rPr>
        <w:t>Additionally, we</w:t>
      </w:r>
      <w:r w:rsidR="00787C40">
        <w:rPr>
          <w:rFonts w:ascii="Arial" w:eastAsia="Times New Roman" w:hAnsi="Arial" w:cs="Arial"/>
          <w:color w:val="FF0000"/>
          <w:sz w:val="19"/>
          <w:szCs w:val="19"/>
          <w:shd w:val="clear" w:color="auto" w:fill="FFFFFF"/>
        </w:rPr>
        <w:t xml:space="preserve"> provide clamp data that illustrate the </w:t>
      </w:r>
      <w:r w:rsidR="00826316">
        <w:rPr>
          <w:rFonts w:ascii="Arial" w:eastAsia="Times New Roman" w:hAnsi="Arial" w:cs="Arial"/>
          <w:color w:val="FF0000"/>
          <w:sz w:val="19"/>
          <w:szCs w:val="19"/>
          <w:shd w:val="clear" w:color="auto" w:fill="FFFFFF"/>
        </w:rPr>
        <w:t>main attributing factors to</w:t>
      </w:r>
      <w:r w:rsidR="00787C40">
        <w:rPr>
          <w:rFonts w:ascii="Arial" w:eastAsia="Times New Roman" w:hAnsi="Arial" w:cs="Arial"/>
          <w:color w:val="FF0000"/>
          <w:sz w:val="19"/>
          <w:szCs w:val="19"/>
          <w:shd w:val="clear" w:color="auto" w:fill="FFFFFF"/>
        </w:rPr>
        <w:t xml:space="preserve"> the hyperglycemia and insulin resistance </w:t>
      </w:r>
      <w:r w:rsidR="00826316">
        <w:rPr>
          <w:rFonts w:ascii="Arial" w:eastAsia="Times New Roman" w:hAnsi="Arial" w:cs="Arial"/>
          <w:color w:val="FF0000"/>
          <w:sz w:val="19"/>
          <w:szCs w:val="19"/>
          <w:shd w:val="clear" w:color="auto" w:fill="FFFFFF"/>
        </w:rPr>
        <w:t>in obese, dexamethasone-treated mice.</w:t>
      </w:r>
      <w:r w:rsidR="00D10AB5">
        <w:rPr>
          <w:rFonts w:ascii="Arial" w:eastAsia="Times New Roman" w:hAnsi="Arial" w:cs="Arial"/>
          <w:color w:val="FF0000"/>
          <w:sz w:val="19"/>
          <w:szCs w:val="19"/>
          <w:shd w:val="clear" w:color="auto" w:fill="FFFFFF"/>
        </w:rPr>
        <w:t xml:space="preserve"> Lastly, we show that lipolysis is highly correlated with the </w:t>
      </w:r>
      <w:r w:rsidR="004E667A">
        <w:rPr>
          <w:rFonts w:ascii="Arial" w:eastAsia="Times New Roman" w:hAnsi="Arial" w:cs="Arial"/>
          <w:color w:val="FF0000"/>
          <w:sz w:val="19"/>
          <w:szCs w:val="19"/>
          <w:shd w:val="clear" w:color="auto" w:fill="FFFFFF"/>
        </w:rPr>
        <w:t xml:space="preserve">increased </w:t>
      </w:r>
      <w:r w:rsidR="00D10AB5">
        <w:rPr>
          <w:rFonts w:ascii="Arial" w:eastAsia="Times New Roman" w:hAnsi="Arial" w:cs="Arial"/>
          <w:color w:val="FF0000"/>
          <w:sz w:val="19"/>
          <w:szCs w:val="19"/>
          <w:shd w:val="clear" w:color="auto" w:fill="FFFFFF"/>
        </w:rPr>
        <w:t>metabolic perturbations both at the physiological (i.e. enhanced glycerol release) and molecular level (elevated ATGL transcripts and protein expression)</w:t>
      </w:r>
      <w:r w:rsidR="004E667A">
        <w:rPr>
          <w:rFonts w:ascii="Arial" w:eastAsia="Times New Roman" w:hAnsi="Arial" w:cs="Arial"/>
          <w:color w:val="FF0000"/>
          <w:sz w:val="19"/>
          <w:szCs w:val="19"/>
          <w:shd w:val="clear" w:color="auto" w:fill="FFFFFF"/>
        </w:rPr>
        <w:t>; more</w:t>
      </w:r>
      <w:r w:rsidR="00C93F90">
        <w:rPr>
          <w:rFonts w:ascii="Arial" w:eastAsia="Times New Roman" w:hAnsi="Arial" w:cs="Arial"/>
          <w:color w:val="FF0000"/>
          <w:sz w:val="19"/>
          <w:szCs w:val="19"/>
          <w:shd w:val="clear" w:color="auto" w:fill="FFFFFF"/>
        </w:rPr>
        <w:t xml:space="preserve">over, </w:t>
      </w:r>
      <w:r w:rsidR="004E667A">
        <w:rPr>
          <w:rFonts w:ascii="Arial" w:eastAsia="Times New Roman" w:hAnsi="Arial" w:cs="Arial"/>
          <w:color w:val="FF0000"/>
          <w:sz w:val="19"/>
          <w:szCs w:val="19"/>
          <w:shd w:val="clear" w:color="auto" w:fill="FFFFFF"/>
        </w:rPr>
        <w:t>obese dexamethasone-treated mice have reduced suppression of lipolysis in the presence of insulin when compared to obese controls</w:t>
      </w:r>
      <w:r w:rsidR="00D10AB5">
        <w:rPr>
          <w:rFonts w:ascii="Arial" w:eastAsia="Times New Roman" w:hAnsi="Arial" w:cs="Arial"/>
          <w:color w:val="FF0000"/>
          <w:sz w:val="19"/>
          <w:szCs w:val="19"/>
          <w:shd w:val="clear" w:color="auto" w:fill="FFFFFF"/>
        </w:rPr>
        <w:t>.</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 xml:space="preserve">3) Fig. 1A: In relative terms, insulin-induced changes in </w:t>
      </w:r>
      <w:proofErr w:type="spellStart"/>
      <w:r w:rsidRPr="00DD20C6">
        <w:rPr>
          <w:rFonts w:ascii="Arial" w:eastAsia="Times New Roman" w:hAnsi="Arial" w:cs="Arial"/>
          <w:color w:val="222222"/>
          <w:sz w:val="19"/>
          <w:szCs w:val="19"/>
          <w:shd w:val="clear" w:color="auto" w:fill="FFFFFF"/>
        </w:rPr>
        <w:t>glycemia</w:t>
      </w:r>
      <w:proofErr w:type="spellEnd"/>
      <w:r w:rsidRPr="00DD20C6">
        <w:rPr>
          <w:rFonts w:ascii="Arial" w:eastAsia="Times New Roman" w:hAnsi="Arial" w:cs="Arial"/>
          <w:color w:val="222222"/>
          <w:sz w:val="19"/>
          <w:szCs w:val="19"/>
          <w:shd w:val="clear" w:color="auto" w:fill="FFFFFF"/>
        </w:rPr>
        <w:t xml:space="preserve">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283C8F59" w14:textId="6A7E95B8"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Dexamethasone leads lower glucose clearance in both lean and obese mice; however, in the lean mice this difference is not significant between the treatment groups</w:t>
      </w:r>
      <w:r w:rsidR="00C3439A">
        <w:rPr>
          <w:rFonts w:ascii="Arial" w:eastAsia="Times New Roman" w:hAnsi="Arial" w:cs="Arial"/>
          <w:color w:val="FF0000"/>
          <w:sz w:val="19"/>
          <w:szCs w:val="19"/>
          <w:shd w:val="clear" w:color="auto" w:fill="FFFFFF"/>
        </w:rPr>
        <w:t xml:space="preserve"> (A)</w:t>
      </w:r>
      <w:r w:rsidR="009A335B">
        <w:rPr>
          <w:rFonts w:ascii="Arial" w:eastAsia="Times New Roman" w:hAnsi="Arial" w:cs="Arial"/>
          <w:color w:val="FF0000"/>
          <w:sz w:val="19"/>
          <w:szCs w:val="19"/>
          <w:shd w:val="clear" w:color="auto" w:fill="FFFFFF"/>
        </w:rPr>
        <w:t>. It is important to note that the insulin dose was high (2.5</w:t>
      </w:r>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 xml:space="preserve">U/kg; </w:t>
      </w:r>
      <w:r w:rsidR="007325C6">
        <w:rPr>
          <w:rFonts w:ascii="Arial" w:eastAsia="Times New Roman" w:hAnsi="Arial" w:cs="Arial"/>
          <w:color w:val="FF0000"/>
          <w:sz w:val="19"/>
          <w:szCs w:val="19"/>
          <w:shd w:val="clear" w:color="auto" w:fill="FFFFFF"/>
        </w:rPr>
        <w:t>generally,</w:t>
      </w:r>
      <w:r w:rsidR="009A335B">
        <w:rPr>
          <w:rFonts w:ascii="Arial" w:eastAsia="Times New Roman" w:hAnsi="Arial" w:cs="Arial"/>
          <w:color w:val="FF0000"/>
          <w:sz w:val="19"/>
          <w:szCs w:val="19"/>
          <w:shd w:val="clear" w:color="auto" w:fill="FFFFFF"/>
        </w:rPr>
        <w:t xml:space="preserve"> for chow mice we give 0.75-1</w:t>
      </w:r>
      <w:r w:rsidR="005A68AD">
        <w:rPr>
          <w:rFonts w:ascii="Arial" w:eastAsia="Times New Roman" w:hAnsi="Arial" w:cs="Arial"/>
          <w:color w:val="FF0000"/>
          <w:sz w:val="19"/>
          <w:szCs w:val="19"/>
          <w:shd w:val="clear" w:color="auto" w:fill="FFFFFF"/>
        </w:rPr>
        <w:t xml:space="preserve">.0 </w:t>
      </w:r>
      <w:r w:rsidR="009A335B">
        <w:rPr>
          <w:rFonts w:ascii="Arial" w:eastAsia="Times New Roman" w:hAnsi="Arial" w:cs="Arial"/>
          <w:color w:val="FF0000"/>
          <w:sz w:val="19"/>
          <w:szCs w:val="19"/>
          <w:shd w:val="clear" w:color="auto" w:fill="FFFFFF"/>
        </w:rPr>
        <w: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t>
      </w:r>
      <w:r w:rsidR="00C3439A">
        <w:rPr>
          <w:rFonts w:ascii="Arial" w:eastAsia="Times New Roman" w:hAnsi="Arial" w:cs="Arial"/>
          <w:color w:val="FF0000"/>
          <w:sz w:val="19"/>
          <w:szCs w:val="19"/>
          <w:shd w:val="clear" w:color="auto" w:fill="FFFFFF"/>
        </w:rPr>
        <w:t xml:space="preserve"> (B)</w:t>
      </w:r>
      <w:r w:rsidR="009A335B">
        <w:rPr>
          <w:rFonts w:ascii="Arial" w:eastAsia="Times New Roman" w:hAnsi="Arial" w:cs="Arial"/>
          <w:color w:val="FF0000"/>
          <w:sz w:val="19"/>
          <w:szCs w:val="19"/>
          <w:shd w:val="clear" w:color="auto" w:fill="FFFFFF"/>
        </w:rPr>
        <w:t>.</w:t>
      </w:r>
      <w:r w:rsidR="007325C6">
        <w:rPr>
          <w:rFonts w:ascii="Arial" w:eastAsia="Times New Roman" w:hAnsi="Arial" w:cs="Arial"/>
          <w:color w:val="FF0000"/>
          <w:sz w:val="19"/>
          <w:szCs w:val="19"/>
          <w:shd w:val="clear" w:color="auto" w:fill="FFFFFF"/>
        </w:rPr>
        <w:t xml:space="preserve"> </w:t>
      </w:r>
    </w:p>
    <w:p w14:paraId="79FE2C56" w14:textId="1A2BC8BF" w:rsidR="00BC3336" w:rsidRDefault="00C3439A" w:rsidP="008B31DB">
      <w:pPr>
        <w:rPr>
          <w:rFonts w:ascii="Arial" w:eastAsia="Times New Roman" w:hAnsi="Arial" w:cs="Arial"/>
          <w:color w:val="FF0000"/>
          <w:sz w:val="19"/>
          <w:szCs w:val="19"/>
          <w:shd w:val="clear" w:color="auto" w:fill="FFFFFF"/>
        </w:rPr>
      </w:pPr>
      <w:r>
        <w:rPr>
          <w:rFonts w:ascii="Arial" w:eastAsia="Times New Roman" w:hAnsi="Arial" w:cs="Arial"/>
          <w:noProof/>
          <w:color w:val="222222"/>
          <w:sz w:val="19"/>
          <w:szCs w:val="19"/>
          <w:shd w:val="clear" w:color="auto" w:fill="FFFFFF"/>
        </w:rPr>
        <w:drawing>
          <wp:inline distT="0" distB="0" distL="0" distR="0" wp14:anchorId="1CC11431" wp14:editId="3630563F">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4291" cy="1637283"/>
                    </a:xfrm>
                    <a:prstGeom prst="rect">
                      <a:avLst/>
                    </a:prstGeom>
                    <a:noFill/>
                    <a:ln>
                      <a:noFill/>
                    </a:ln>
                  </pic:spPr>
                </pic:pic>
              </a:graphicData>
            </a:graphic>
          </wp:inline>
        </w:drawing>
      </w:r>
      <w:r>
        <w:rPr>
          <w:rFonts w:ascii="Arial" w:eastAsia="Times New Roman" w:hAnsi="Arial" w:cs="Arial"/>
          <w:noProof/>
          <w:color w:val="FF0000"/>
          <w:sz w:val="19"/>
          <w:szCs w:val="19"/>
        </w:rPr>
        <mc:AlternateContent>
          <mc:Choice Requires="wps">
            <w:drawing>
              <wp:anchor distT="0" distB="0" distL="114300" distR="114300" simplePos="0" relativeHeight="251665408" behindDoc="0" locked="0" layoutInCell="1" allowOverlap="1" wp14:anchorId="50D1E6D9" wp14:editId="611EF566">
                <wp:simplePos x="0" y="0"/>
                <wp:positionH relativeFrom="column">
                  <wp:posOffset>-62865</wp:posOffset>
                </wp:positionH>
                <wp:positionV relativeFrom="paragraph">
                  <wp:posOffset>116840</wp:posOffset>
                </wp:positionV>
                <wp:extent cx="44577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457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E8B99" w14:textId="52593947" w:rsidR="00C3439A" w:rsidRDefault="00C3439A">
                            <w:r>
                              <w:t>A</w:t>
                            </w:r>
                            <w:r>
                              <w:tab/>
                            </w:r>
                            <w:r>
                              <w:tab/>
                            </w:r>
                            <w:r>
                              <w:tab/>
                            </w:r>
                            <w:r>
                              <w:tab/>
                            </w:r>
                            <w: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D1E6D9" id="Text Box 18" o:spid="_x0000_s1030" type="#_x0000_t202" style="position:absolute;margin-left:-4.95pt;margin-top:9.2pt;width:351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qV63cCAABiBQAADgAAAGRycy9lMm9Eb2MueG1srFTBbtswDL0P2D8Iuq9OgqztgjpF1qLDgKIt&#10;2g49K7LUGJNFTVISZ1+/J9lOs26XDrvYFPlIkY+kzs7bxrCN8qEmW/Lx0YgzZSVVtX0u+bfHqw+n&#10;nIUobCUMWVXynQr8fP7+3dnWzdSEVmQq5RmC2DDbupKvYnSzoghypRoRjsgpC6Mm34iIo38uKi+2&#10;iN6YYjIaHRdb8pXzJFUI0F52Rj7P8bVWMt5qHVRkpuTILeavz99l+hbzMzF79sKtatmnIf4hi0bU&#10;FpfuQ12KKNja13+EamrpKZCOR5KagrSupco1oJrx6FU1DyvhVK4F5AS3pyn8v7DyZnPnWV2hd+iU&#10;FQ169KjayD5Ty6ACP1sXZoA9OABjCz2wgz5AmcputW/SHwUx2MH0bs9uiiahnE4/npyMYJKwTSan&#10;x5ARvnjxdj7EL4oaloSSe3Qvkyo21yF20AGSLrN0VRuTO2jsbwrE7DQqj0DvnQrpEs5S3BmVvIy9&#10;VxoU5LyTIg+fujCebQTGRkipbMwl57hAJ5TG3W9x7PHJtcvqLc57j3wz2bh3bmpLPrP0Ku3q+5Cy&#10;7vCg+qDuJMZ22ebeT4d+Lqnaoc2eukUJTl7V6MW1CPFOeGwG2odtj7f4aEPbklMvcbYi//Nv+oTH&#10;wMLK2RabVvLwYy284sx8tRjlT+PpNK1mPmBGJjj4Q8vy0GLXzQWhK2O8K05mMeGjGUTtqXnCo7BI&#10;t8IkrMTdJY+DeBG7/cejItVikUFYRifitX1wMoVOLKdJe2yfhHf9OEYM8g0NOylmr6aywyZPS4t1&#10;JF3nkU08d6z2/GOR89D3j056KQ7PGfXyNM5/AQAA//8DAFBLAwQUAAYACAAAACEAuvOJLd0AAAAI&#10;AQAADwAAAGRycy9kb3ducmV2LnhtbEyPzW7CMBCE75X6DtZW6g1sUEAkxEGIqtdW5adSbyZekoh4&#10;HcWGpG/f7ak9zs5o5tt8M7pW3LEPjScNs6kCgVR621Cl4Xh4naxAhGjImtYTavjGAJvi8SE3mfUD&#10;feB9HyvBJRQyo6GOscukDGWNzoSp75DYu/jemciyr6TtzcDlrpVzpZbSmYZ4oTYd7mosr/ub03B6&#10;u3x9Juq9enGLbvCjkuRSqfXz07hdg4g4xr8w/OIzOhTMdPY3skG0GiZpykm+rxIQ7C/T+QzEWcMi&#10;SUAWufz/QPEDAAD//wMAUEsBAi0AFAAGAAgAAAAhAOSZw8D7AAAA4QEAABMAAAAAAAAAAAAAAAAA&#10;AAAAAFtDb250ZW50X1R5cGVzXS54bWxQSwECLQAUAAYACAAAACEAI7Jq4dcAAACUAQAACwAAAAAA&#10;AAAAAAAAAAAsAQAAX3JlbHMvLnJlbHNQSwECLQAUAAYACAAAACEAcNqV63cCAABiBQAADgAAAAAA&#10;AAAAAAAAAAAsAgAAZHJzL2Uyb0RvYy54bWxQSwECLQAUAAYACAAAACEAuvOJLd0AAAAIAQAADwAA&#10;AAAAAAAAAAAAAADPBAAAZHJzL2Rvd25yZXYueG1sUEsFBgAAAAAEAAQA8wAAANkFAAAAAA==&#10;" filled="f" stroked="f">
                <v:textbox>
                  <w:txbxContent>
                    <w:p w14:paraId="397E8B99" w14:textId="52593947" w:rsidR="00C3439A" w:rsidRDefault="00C3439A">
                      <w:r>
                        <w:t>A</w:t>
                      </w:r>
                      <w:r>
                        <w:tab/>
                      </w:r>
                      <w:r>
                        <w:tab/>
                      </w:r>
                      <w:r>
                        <w:tab/>
                      </w:r>
                      <w:r>
                        <w:tab/>
                      </w:r>
                      <w:r>
                        <w:tab/>
                        <w:t>B</w:t>
                      </w:r>
                    </w:p>
                  </w:txbxContent>
                </v:textbox>
                <w10:wrap type="square"/>
              </v:shape>
            </w:pict>
          </mc:Fallback>
        </mc:AlternateContent>
      </w:r>
      <w:r>
        <w:rPr>
          <w:rFonts w:ascii="Arial" w:eastAsia="Times New Roman" w:hAnsi="Arial" w:cs="Arial"/>
          <w:noProof/>
          <w:color w:val="FF0000"/>
          <w:sz w:val="19"/>
          <w:szCs w:val="19"/>
          <w:shd w:val="clear" w:color="auto" w:fill="FFFFFF"/>
        </w:rPr>
        <w:drawing>
          <wp:inline distT="0" distB="0" distL="0" distR="0" wp14:anchorId="604111AB" wp14:editId="3B4FCA1A">
            <wp:extent cx="2171452" cy="1531577"/>
            <wp:effectExtent l="0" t="0" r="0" b="0"/>
            <wp:docPr id="17" name="Picture 17" descr="../../../../../../../../Desktop/Screen%20Shot%202018-03-22%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22%20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3232" cy="1546939"/>
                    </a:xfrm>
                    <a:prstGeom prst="rect">
                      <a:avLst/>
                    </a:prstGeom>
                    <a:noFill/>
                    <a:ln>
                      <a:noFill/>
                    </a:ln>
                  </pic:spPr>
                </pic:pic>
              </a:graphicData>
            </a:graphic>
          </wp:inline>
        </w:drawing>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similar glucose responses as controls and these data are consistent with what we 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0B5AAB" w14:textId="6A4E776E" w:rsidR="00832438" w:rsidRDefault="00832438">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832438"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22T10:06:00Z" w:initials="Office">
    <w:p w14:paraId="4DDCFD37" w14:textId="2993BCB3" w:rsidR="00120D8D" w:rsidRDefault="00120D8D">
      <w:pPr>
        <w:pStyle w:val="CommentText"/>
      </w:pPr>
      <w:r>
        <w:rPr>
          <w:rStyle w:val="CommentReference"/>
        </w:rPr>
        <w:annotationRef/>
      </w:r>
      <w:r>
        <w:t>Correlation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CFD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056B8B"/>
    <w:rsid w:val="000641F6"/>
    <w:rsid w:val="000649C6"/>
    <w:rsid w:val="00090431"/>
    <w:rsid w:val="000C02F1"/>
    <w:rsid w:val="00120D8D"/>
    <w:rsid w:val="001E44AD"/>
    <w:rsid w:val="00202340"/>
    <w:rsid w:val="00235908"/>
    <w:rsid w:val="00272449"/>
    <w:rsid w:val="00295BBA"/>
    <w:rsid w:val="00341448"/>
    <w:rsid w:val="003869C7"/>
    <w:rsid w:val="003E25D1"/>
    <w:rsid w:val="003F6249"/>
    <w:rsid w:val="00434BB4"/>
    <w:rsid w:val="004B618C"/>
    <w:rsid w:val="004E667A"/>
    <w:rsid w:val="005A68AD"/>
    <w:rsid w:val="00603402"/>
    <w:rsid w:val="00662C0D"/>
    <w:rsid w:val="006A4333"/>
    <w:rsid w:val="006F572B"/>
    <w:rsid w:val="007325C6"/>
    <w:rsid w:val="007508B2"/>
    <w:rsid w:val="00787C40"/>
    <w:rsid w:val="00790FFF"/>
    <w:rsid w:val="00795976"/>
    <w:rsid w:val="007F5CC9"/>
    <w:rsid w:val="00826316"/>
    <w:rsid w:val="00832438"/>
    <w:rsid w:val="00843B64"/>
    <w:rsid w:val="008A323C"/>
    <w:rsid w:val="008B31DB"/>
    <w:rsid w:val="008E1744"/>
    <w:rsid w:val="00961A9D"/>
    <w:rsid w:val="00964D88"/>
    <w:rsid w:val="009A335B"/>
    <w:rsid w:val="00A40AEF"/>
    <w:rsid w:val="00B20EC3"/>
    <w:rsid w:val="00B37AB0"/>
    <w:rsid w:val="00B93C8C"/>
    <w:rsid w:val="00BC3336"/>
    <w:rsid w:val="00C3439A"/>
    <w:rsid w:val="00C66EAE"/>
    <w:rsid w:val="00C93F90"/>
    <w:rsid w:val="00CC3862"/>
    <w:rsid w:val="00CE11BE"/>
    <w:rsid w:val="00D10AB5"/>
    <w:rsid w:val="00DA3F41"/>
    <w:rsid w:val="00DD20C6"/>
    <w:rsid w:val="00DF16A0"/>
    <w:rsid w:val="00DF6D48"/>
    <w:rsid w:val="00DF79D8"/>
    <w:rsid w:val="00F50F5D"/>
    <w:rsid w:val="00F8420F"/>
    <w:rsid w:val="00FC1E39"/>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
          <c:y val="0.023696682464455"/>
        </c:manualLayout>
      </c:layout>
      <c:overlay val="0"/>
      <c:spPr>
        <a:noFill/>
        <a:ln w="25400">
          <a:noFill/>
        </a:ln>
      </c:spPr>
    </c:title>
    <c:autoTitleDeleted val="0"/>
    <c:plotArea>
      <c:layout>
        <c:manualLayout>
          <c:layoutTarget val="inner"/>
          <c:xMode val="edge"/>
          <c:yMode val="edge"/>
          <c:x val="0.2360248447205"/>
          <c:y val="0.270142805240126"/>
          <c:w val="0.701863354037256"/>
          <c:h val="0.582939737623431"/>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c:v>
                  </c:pt>
                  <c:pt idx="1">
                    <c:v>7.157182539825592</c:v>
                  </c:pt>
                  <c:pt idx="2">
                    <c:v>0.0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c:v>
                </c:pt>
                <c:pt idx="1">
                  <c:v>69.50764830881403</c:v>
                </c:pt>
                <c:pt idx="2">
                  <c:v>0.0</c:v>
                </c:pt>
              </c:numCache>
            </c:numRef>
          </c:val>
          <c:extLst xmlns:c16r2="http://schemas.microsoft.com/office/drawing/2015/06/char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227187168"/>
        <c:axId val="-348704224"/>
      </c:barChart>
      <c:catAx>
        <c:axId val="-22718716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48704224"/>
        <c:crosses val="autoZero"/>
        <c:auto val="1"/>
        <c:lblAlgn val="ctr"/>
        <c:lblOffset val="100"/>
        <c:tickLblSkip val="1"/>
        <c:tickMarkSkip val="1"/>
        <c:noMultiLvlLbl val="0"/>
      </c:catAx>
      <c:valAx>
        <c:axId val="-348704224"/>
        <c:scaling>
          <c:orientation val="minMax"/>
          <c:max val="20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187168"/>
        <c:crosses val="autoZero"/>
        <c:crossBetween val="between"/>
        <c:majorUnit val="5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
          <c:y val="0.023696682464455"/>
        </c:manualLayout>
      </c:layout>
      <c:overlay val="0"/>
      <c:spPr>
        <a:noFill/>
        <a:ln w="25400">
          <a:noFill/>
        </a:ln>
      </c:spPr>
    </c:title>
    <c:autoTitleDeleted val="0"/>
    <c:plotArea>
      <c:layout>
        <c:manualLayout>
          <c:layoutTarget val="inner"/>
          <c:xMode val="edge"/>
          <c:yMode val="edge"/>
          <c:x val="0.229923868212126"/>
          <c:y val="0.279621500160832"/>
          <c:w val="0.736949837792028"/>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1.543932519304927</c:v>
                  </c:pt>
                  <c:pt idx="1">
                    <c:v>5.12726844225657</c:v>
                  </c:pt>
                  <c:pt idx="2">
                    <c:v>0.0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0.0</c:v>
                </c:pt>
              </c:numCache>
            </c:numRef>
          </c:val>
          <c:extLst xmlns:c16r2="http://schemas.microsoft.com/office/drawing/2015/06/char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xmlns:c16r2="http://schemas.microsoft.com/office/drawing/2015/06/char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c:v>
                  </c:pt>
                  <c:pt idx="1">
                    <c:v>13.87214943506114</c:v>
                  </c:pt>
                  <c:pt idx="2">
                    <c:v>0.0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43.09838461538462</c:v>
                </c:pt>
                <c:pt idx="1">
                  <c:v>95.80209999999998</c:v>
                </c:pt>
                <c:pt idx="2">
                  <c:v>0.0</c:v>
                </c:pt>
              </c:numCache>
            </c:numRef>
          </c:val>
          <c:extLst xmlns:c16r2="http://schemas.microsoft.com/office/drawing/2015/06/char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212171920"/>
        <c:axId val="-296995616"/>
      </c:barChart>
      <c:catAx>
        <c:axId val="-21217192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96995616"/>
        <c:crosses val="autoZero"/>
        <c:auto val="1"/>
        <c:lblAlgn val="ctr"/>
        <c:lblOffset val="100"/>
        <c:tickLblSkip val="1"/>
        <c:tickMarkSkip val="1"/>
        <c:noMultiLvlLbl val="0"/>
      </c:catAx>
      <c:valAx>
        <c:axId val="-296995616"/>
        <c:scaling>
          <c:orientation val="minMax"/>
          <c:max val="125.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2171920"/>
        <c:crosses val="autoZero"/>
        <c:crossBetween val="between"/>
        <c:majorUnit val="25.0"/>
      </c:valAx>
      <c:spPr>
        <a:noFill/>
        <a:ln w="25400">
          <a:noFill/>
        </a:ln>
      </c:spPr>
    </c:plotArea>
    <c:legend>
      <c:legendPos val="r"/>
      <c:layout>
        <c:manualLayout>
          <c:xMode val="edge"/>
          <c:yMode val="edge"/>
          <c:x val="0.290378050569769"/>
          <c:y val="0.218043810874353"/>
          <c:w val="0.295453285730588"/>
          <c:h val="0.132253610478785"/>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5"/>
          <c:y val="0.023696682464455"/>
        </c:manualLayout>
      </c:layout>
      <c:overlay val="0"/>
      <c:spPr>
        <a:noFill/>
        <a:ln w="25400">
          <a:noFill/>
        </a:ln>
      </c:spPr>
    </c:title>
    <c:autoTitleDeleted val="0"/>
    <c:plotArea>
      <c:layout>
        <c:manualLayout>
          <c:layoutTarget val="inner"/>
          <c:xMode val="edge"/>
          <c:yMode val="edge"/>
          <c:x val="0.186335403726711"/>
          <c:y val="0.279621500160832"/>
          <c:w val="0.726708074534181"/>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1.213632198490128</c:v>
                  </c:pt>
                  <c:pt idx="2">
                    <c:v>0.0</c:v>
                  </c:pt>
                </c:numCache>
              </c:numRef>
            </c:plus>
            <c:minus>
              <c:numRef>
                <c:f>('Clamp summary (US unit)'!$V$48,'Clamp summary (US unit)'!$V$71)</c:f>
                <c:numCache>
                  <c:formatCode>General</c:formatCode>
                  <c:ptCount val="2"/>
                  <c:pt idx="0">
                    <c:v>3.08757311261071</c:v>
                  </c:pt>
                  <c:pt idx="1">
                    <c:v>1.213632198490128</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c:v>
                  </c:pt>
                  <c:pt idx="1">
                    <c:v>3.174147730659595</c:v>
                  </c:pt>
                  <c:pt idx="2">
                    <c:v>0.0</c:v>
                  </c:pt>
                </c:numCache>
              </c:numRef>
            </c:plus>
            <c:minus>
              <c:numRef>
                <c:f>('Clamp summary (US unit)'!$V$55,'Clamp summary (US unit)'!$V$78)</c:f>
                <c:numCache>
                  <c:formatCode>General</c:formatCode>
                  <c:ptCount val="2"/>
                  <c:pt idx="0">
                    <c:v>3.528781399852082</c:v>
                  </c:pt>
                  <c:pt idx="1">
                    <c:v>3.174147730659595</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13.40875828667835</c:v>
                </c:pt>
                <c:pt idx="1">
                  <c:v>10.23272594827267</c:v>
                </c:pt>
                <c:pt idx="2">
                  <c:v>0.0</c:v>
                </c:pt>
              </c:numCache>
            </c:numRef>
          </c:val>
          <c:extLst xmlns:c16r2="http://schemas.microsoft.com/office/drawing/2015/06/char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00083632"/>
        <c:axId val="-200074816"/>
      </c:barChart>
      <c:catAx>
        <c:axId val="-2000836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074816"/>
        <c:crosses val="autoZero"/>
        <c:auto val="1"/>
        <c:lblAlgn val="ctr"/>
        <c:lblOffset val="100"/>
        <c:tickLblSkip val="1"/>
        <c:tickMarkSkip val="1"/>
        <c:noMultiLvlLbl val="0"/>
      </c:catAx>
      <c:valAx>
        <c:axId val="-200074816"/>
        <c:scaling>
          <c:orientation val="minMax"/>
          <c:max val="4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083632"/>
        <c:crosses val="autoZero"/>
        <c:crossBetween val="between"/>
        <c:majorUnit val="5.0"/>
      </c:valAx>
      <c:spPr>
        <a:noFill/>
        <a:ln w="25400">
          <a:noFill/>
        </a:ln>
      </c:spPr>
    </c:plotArea>
    <c:legend>
      <c:legendPos val="r"/>
      <c:layout>
        <c:manualLayout>
          <c:xMode val="edge"/>
          <c:yMode val="edge"/>
          <c:x val="0.247036077012113"/>
          <c:y val="0.135447002773942"/>
          <c:w val="0.266310624215459"/>
          <c:h val="0.13531066910475"/>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
          <c:y val="0.023696682464455"/>
        </c:manualLayout>
      </c:layout>
      <c:overlay val="0"/>
      <c:spPr>
        <a:noFill/>
        <a:ln w="25400">
          <a:noFill/>
        </a:ln>
      </c:spPr>
    </c:title>
    <c:autoTitleDeleted val="0"/>
    <c:plotArea>
      <c:layout>
        <c:manualLayout>
          <c:layoutTarget val="inner"/>
          <c:xMode val="edge"/>
          <c:yMode val="edge"/>
          <c:x val="0.180124223602484"/>
          <c:y val="0.279621500160832"/>
          <c:w val="0.751552795031047"/>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1.213632198490128</c:v>
                  </c:pt>
                  <c:pt idx="2">
                    <c:v>0.0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xmlns:c16r2="http://schemas.microsoft.com/office/drawing/2015/06/char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c:v>
                  </c:pt>
                  <c:pt idx="2">
                    <c:v>0.0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45.41165153105678</c:v>
                </c:pt>
                <c:pt idx="1">
                  <c:v>42.80558943043911</c:v>
                </c:pt>
                <c:pt idx="2">
                  <c:v>0.0</c:v>
                </c:pt>
              </c:numCache>
            </c:numRef>
          </c:val>
          <c:extLst xmlns:c16r2="http://schemas.microsoft.com/office/drawing/2015/06/char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228546352"/>
        <c:axId val="-200137904"/>
      </c:barChart>
      <c:catAx>
        <c:axId val="-22854635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37904"/>
        <c:crosses val="autoZero"/>
        <c:auto val="1"/>
        <c:lblAlgn val="ctr"/>
        <c:lblOffset val="100"/>
        <c:tickLblSkip val="1"/>
        <c:tickMarkSkip val="1"/>
        <c:noMultiLvlLbl val="0"/>
      </c:catAx>
      <c:valAx>
        <c:axId val="-200137904"/>
        <c:scaling>
          <c:orientation val="minMax"/>
          <c:max val="6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8546352"/>
        <c:crosses val="autoZero"/>
        <c:crossBetween val="between"/>
        <c:majorUnit val="10.0"/>
      </c:valAx>
      <c:spPr>
        <a:noFill/>
        <a:ln w="25400">
          <a:noFill/>
        </a:ln>
      </c:spPr>
    </c:plotArea>
    <c:legend>
      <c:legendPos val="r"/>
      <c:layout>
        <c:manualLayout>
          <c:xMode val="edge"/>
          <c:yMode val="edge"/>
          <c:x val="0.24392559625699"/>
          <c:y val="0.217673620181364"/>
          <c:w val="0.267461567304095"/>
          <c:h val="0.132253610478785"/>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
          <c:y val="0.0300157977883102"/>
        </c:manualLayout>
      </c:layout>
      <c:overlay val="0"/>
      <c:spPr>
        <a:noFill/>
        <a:ln w="25400">
          <a:noFill/>
        </a:ln>
      </c:spPr>
    </c:title>
    <c:autoTitleDeleted val="0"/>
    <c:plotArea>
      <c:layout>
        <c:manualLayout>
          <c:layoutTarget val="inner"/>
          <c:xMode val="edge"/>
          <c:yMode val="edge"/>
          <c:x val="0.266776870282523"/>
          <c:y val="0.279621500160832"/>
          <c:w val="0.618619846432239"/>
          <c:h val="0.573461042702724"/>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c:v>
                  </c:pt>
                  <c:pt idx="1">
                    <c:v>407.0371257247411</c:v>
                  </c:pt>
                  <c:pt idx="2">
                    <c:v>0.0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c:v>
                </c:pt>
                <c:pt idx="2">
                  <c:v>0.0</c:v>
                </c:pt>
              </c:numCache>
            </c:numRef>
          </c:val>
          <c:extLst xmlns:c16r2="http://schemas.microsoft.com/office/drawing/2015/06/char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199854224"/>
        <c:axId val="-200158704"/>
      </c:barChart>
      <c:catAx>
        <c:axId val="-199854224"/>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58704"/>
        <c:crosses val="autoZero"/>
        <c:auto val="1"/>
        <c:lblAlgn val="ctr"/>
        <c:lblOffset val="100"/>
        <c:tickLblSkip val="1"/>
        <c:tickMarkSkip val="1"/>
        <c:noMultiLvlLbl val="0"/>
      </c:catAx>
      <c:valAx>
        <c:axId val="-200158704"/>
        <c:scaling>
          <c:orientation val="minMax"/>
          <c:max val="5000.0"/>
          <c:min val="0.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99854224"/>
        <c:crosses val="autoZero"/>
        <c:crossBetween val="between"/>
        <c:majorUnit val="10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965B8C-D793-9043-9F73-0E23203C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3331</Words>
  <Characters>18990</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2018-03-18T20:34:00Z</dcterms:created>
  <dcterms:modified xsi:type="dcterms:W3CDTF">2018-03-23T15:24:00Z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