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D162C95" w14:textId="781EA9B8" w:rsidR="001E44AD" w:rsidRP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shd w:val="clear" w:color="auto" w:fill="FFFFFF"/>
        </w:rPr>
        <w:t>Minor points</w:t>
      </w:r>
      <w:r w:rsidR="00DD20C6"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675B9920"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document-if you want to see what I changed please refer to fig legend document-IH</w:t>
      </w:r>
    </w:p>
    <w:p w14:paraId="6753078E" w14:textId="045A9141" w:rsidR="008B31DB" w:rsidRP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bookmarkStart w:id="0" w:name="_GoBack"/>
      <w:bookmarkEnd w:id="0"/>
      <w:r w:rsidR="004B618C" w:rsidRPr="008B31DB">
        <w:rPr>
          <w:rFonts w:ascii="Arial" w:eastAsia="Times New Roman" w:hAnsi="Arial" w:cs="Arial"/>
          <w:color w:val="222222"/>
          <w:sz w:val="19"/>
          <w:szCs w:val="19"/>
        </w:rPr>
        <w:t xml:space="preserve"> </w:t>
      </w:r>
      <w:r w:rsidRPr="008B31DB">
        <w:rPr>
          <w:rFonts w:ascii="Arial" w:eastAsia="Times New Roman" w:hAnsi="Arial" w:cs="Arial"/>
          <w:color w:val="222222"/>
          <w:sz w:val="19"/>
          <w:szCs w:val="19"/>
        </w:rPr>
        <w:br/>
      </w:r>
      <w:r w:rsidR="00DA3F41" w:rsidRPr="00DA3F41">
        <w:rPr>
          <w:rFonts w:ascii="Arial" w:eastAsia="Times New Roman" w:hAnsi="Arial" w:cs="Arial"/>
          <w:color w:val="FF0000"/>
          <w:sz w:val="19"/>
          <w:szCs w:val="19"/>
        </w:rPr>
        <w:t xml:space="preserve">Do we want to use IWAT or </w:t>
      </w:r>
      <w:proofErr w:type="spellStart"/>
      <w:r w:rsidR="00DA3F41" w:rsidRPr="00DA3F41">
        <w:rPr>
          <w:rFonts w:ascii="Arial" w:eastAsia="Times New Roman" w:hAnsi="Arial" w:cs="Arial"/>
          <w:color w:val="FF0000"/>
          <w:sz w:val="19"/>
          <w:szCs w:val="19"/>
        </w:rPr>
        <w:t>iWAT</w:t>
      </w:r>
      <w:proofErr w:type="spellEnd"/>
      <w:r w:rsidR="00DA3F41" w:rsidRPr="00DA3F41">
        <w:rPr>
          <w:rFonts w:ascii="Arial" w:eastAsia="Times New Roman" w:hAnsi="Arial" w:cs="Arial"/>
          <w:color w:val="FF0000"/>
          <w:sz w:val="19"/>
          <w:szCs w:val="19"/>
        </w:rPr>
        <w:t>? We are inconsistent.</w:t>
      </w:r>
      <w:r w:rsidRPr="00DA3F41">
        <w:rPr>
          <w:rFonts w:ascii="Arial" w:eastAsia="Times New Roman" w:hAnsi="Arial" w:cs="Arial"/>
          <w:color w:val="FF0000"/>
          <w:sz w:val="19"/>
          <w:szCs w:val="19"/>
        </w:rPr>
        <w:br/>
      </w:r>
      <w:r w:rsidRPr="008B31DB">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8A323C">
        <w:rPr>
          <w:rFonts w:ascii="Arial" w:eastAsia="Times New Roman" w:hAnsi="Arial" w:cs="Arial"/>
          <w:b/>
          <w:color w:val="222222"/>
          <w:sz w:val="19"/>
          <w:szCs w:val="19"/>
          <w:shd w:val="clear" w:color="auto" w:fill="FFFFFF"/>
        </w:rPr>
        <w:t>Therefore</w:t>
      </w:r>
      <w:proofErr w:type="gramEnd"/>
      <w:r w:rsidRPr="008A323C">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8B31DB">
        <w:rPr>
          <w:rFonts w:ascii="Arial" w:eastAsia="Times New Roman" w:hAnsi="Arial" w:cs="Arial"/>
          <w:color w:val="222222"/>
          <w:sz w:val="19"/>
          <w:szCs w:val="19"/>
        </w:rPr>
        <w:br/>
      </w:r>
      <w:r w:rsidRPr="008B31DB">
        <w:rPr>
          <w:rFonts w:ascii="Arial" w:eastAsia="Times New Roman" w:hAnsi="Arial" w:cs="Arial"/>
          <w:color w:val="222222"/>
          <w:sz w:val="19"/>
          <w:szCs w:val="19"/>
        </w:rPr>
        <w:br/>
      </w:r>
      <w:r w:rsidRPr="008B31DB">
        <w:rPr>
          <w:rFonts w:ascii="Arial" w:eastAsia="Times New Roman" w:hAnsi="Arial" w:cs="Arial"/>
          <w:color w:val="222222"/>
          <w:sz w:val="19"/>
          <w:szCs w:val="19"/>
          <w:shd w:val="clear" w:color="auto" w:fill="FFFFFF"/>
        </w:rPr>
        <w:t>Main criticisms:</w:t>
      </w:r>
      <w:r w:rsidRPr="008B31DB">
        <w:rPr>
          <w:rFonts w:ascii="Arial" w:eastAsia="Times New Roman" w:hAnsi="Arial" w:cs="Arial"/>
          <w:color w:val="222222"/>
          <w:sz w:val="19"/>
          <w:szCs w:val="19"/>
        </w:rPr>
        <w:br/>
      </w:r>
      <w:r w:rsidRPr="008B31DB">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1D18B01F"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3627F3DD"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77777777" w:rsidR="008B31DB" w:rsidRDefault="008B31DB" w:rsidP="00DD20C6">
      <w:pPr>
        <w:rPr>
          <w:rFonts w:ascii="Arial" w:eastAsia="Times New Roman" w:hAnsi="Arial" w:cs="Arial"/>
          <w:color w:val="222222"/>
          <w:sz w:val="19"/>
          <w:szCs w:val="19"/>
          <w:shd w:val="clear" w:color="auto" w:fill="FFFFFF"/>
        </w:rPr>
      </w:pPr>
    </w:p>
    <w:p w14:paraId="283C8F59"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25B9750" w14:textId="77777777" w:rsidR="008B31DB" w:rsidRDefault="008B31DB"/>
    <w:sectPr w:rsidR="008B31DB"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1E44AD"/>
    <w:rsid w:val="00235908"/>
    <w:rsid w:val="00295BBA"/>
    <w:rsid w:val="00434BB4"/>
    <w:rsid w:val="004B618C"/>
    <w:rsid w:val="00603402"/>
    <w:rsid w:val="00795976"/>
    <w:rsid w:val="00843B64"/>
    <w:rsid w:val="008A323C"/>
    <w:rsid w:val="008B31DB"/>
    <w:rsid w:val="00A40AEF"/>
    <w:rsid w:val="00DA3F41"/>
    <w:rsid w:val="00DD20C6"/>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411</Words>
  <Characters>2344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2018-03-18T20:34:00Z</dcterms:created>
  <dcterms:modified xsi:type="dcterms:W3CDTF">2018-03-18T21:54:00Z</dcterms:modified>
</cp:coreProperties>
</file>