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 xml:space="preserve">at 28 weeks of age </w:t>
      </w:r>
      <w:r w:rsidR="00C93721">
        <w:t>following 6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62B2625B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 xml:space="preserve">. </w:t>
      </w:r>
      <w:commentRangeStart w:id="2"/>
      <w:r>
        <w:t>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mice.</w:t>
      </w:r>
      <w:commentRangeEnd w:id="2"/>
      <w:r w:rsidR="00C621B1">
        <w:rPr>
          <w:rStyle w:val="CommentReference"/>
        </w:rPr>
        <w:commentReference w:id="2"/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t>Serum glycerol (A)</w:t>
      </w:r>
      <w:r w:rsidR="004F2D10">
        <w:t xml:space="preserve"> following 16 hour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</w:t>
      </w:r>
      <w:r w:rsidR="00DB2945">
        <w:lastRenderedPageBreak/>
        <w:t>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>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B0FDDD0" w14:textId="77777777" w:rsidR="00AF359A" w:rsidRDefault="00AF359A" w:rsidP="00AF359A"/>
    <w:p w14:paraId="33DE7CD9" w14:textId="77777777" w:rsidR="00AF359A" w:rsidRPr="00676D96" w:rsidRDefault="00AF359A" w:rsidP="00AF359A">
      <w:bookmarkStart w:id="3" w:name="_GoBack"/>
      <w:bookmarkEnd w:id="3"/>
    </w:p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15T14:34:00Z" w:initials="Office">
    <w:p w14:paraId="429FD927" w14:textId="6E52A21C" w:rsidR="00C621B1" w:rsidRDefault="00C621B1">
      <w:pPr>
        <w:pStyle w:val="CommentText"/>
      </w:pPr>
      <w:r>
        <w:rPr>
          <w:rStyle w:val="CommentReference"/>
        </w:rPr>
        <w:annotationRef/>
      </w:r>
      <w:r>
        <w:t xml:space="preserve">Check when </w:t>
      </w:r>
      <w:proofErr w:type="spellStart"/>
      <w:r>
        <w:t>iso</w:t>
      </w:r>
      <w:proofErr w:type="spellEnd"/>
      <w:r>
        <w:t xml:space="preserve"> test was in ref to sac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429FD9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482</Words>
  <Characters>2753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122</cp:revision>
  <dcterms:created xsi:type="dcterms:W3CDTF">2017-08-04T15:12:00Z</dcterms:created>
  <dcterms:modified xsi:type="dcterms:W3CDTF">2017-08-16T20:10:00Z</dcterms:modified>
</cp:coreProperties>
</file>