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7E2A1F9"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w:t>
      </w:r>
      <w:r w:rsidR="00BC54E5" w:rsidRPr="00951518">
        <w:rPr>
          <w:rFonts w:eastAsia="Times New Roman" w:cs="Times New Roman"/>
          <w:color w:val="000000" w:themeColor="text1"/>
          <w:highlight w:val="yellow"/>
        </w:rPr>
        <w:t>University of Michigan Pharmacokinetic and Mass Spectrometry Core</w:t>
      </w:r>
      <w:r w:rsidR="00D23B5A">
        <w:rPr>
          <w:rFonts w:eastAsia="Times New Roman" w:cs="Times New Roman"/>
          <w:color w:val="000000" w:themeColor="text1"/>
        </w:rPr>
        <w:t xml:space="preserve"> </w:t>
      </w:r>
      <w:bookmarkStart w:id="0" w:name="_GoBack"/>
      <w:bookmarkEnd w:id="0"/>
      <w:r w:rsidR="00D23B5A" w:rsidRPr="00D23B5A">
        <w:rPr>
          <w:rFonts w:eastAsia="Times New Roman" w:cs="Times New Roman"/>
          <w:color w:val="000000" w:themeColor="text1"/>
          <w:highlight w:val="yellow"/>
        </w:rPr>
        <w:t>(P30-CA046592)</w:t>
      </w:r>
      <w:r w:rsidRPr="00D23B5A">
        <w:rPr>
          <w:bCs/>
          <w:color w:val="000000" w:themeColor="text1"/>
          <w:highlight w:val="yellow"/>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w:t>
      </w:r>
      <w:r w:rsidR="001B4988" w:rsidRPr="000377C5">
        <w:rPr>
          <w:color w:val="000000" w:themeColor="text1"/>
          <w:highlight w:val="yellow"/>
        </w:rPr>
        <w:t>fasting glucose</w:t>
      </w:r>
      <w:r w:rsidR="001B4988">
        <w:rPr>
          <w:color w:val="000000" w:themeColor="text1"/>
        </w:rPr>
        <w:t>,</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rsidRPr="009D3417">
        <w:rPr>
          <w:highlight w:val="yellow"/>
        </w:rPr>
        <w:t>associated</w:t>
      </w:r>
      <w:r w:rsidR="009D5DF6">
        <w:t xml:space="preserve">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sidRPr="009354E2">
        <w:rPr>
          <w:rFonts w:eastAsia="Times New Roman" w:cs="Times New Roman"/>
          <w:color w:val="000000" w:themeColor="text1"/>
          <w:highlight w:val="yellow"/>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w:t>
      </w:r>
      <w:r w:rsidR="000A1CCE" w:rsidRPr="009354E2">
        <w:rPr>
          <w:rFonts w:eastAsia="Times New Roman" w:cs="Times New Roman"/>
          <w:color w:val="000000" w:themeColor="text1"/>
          <w:highlight w:val="yellow"/>
          <w:shd w:val="clear" w:color="auto" w:fill="FFFFFF"/>
        </w:rPr>
        <w:t>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w:t>
      </w:r>
      <w:proofErr w:type="spellStart"/>
      <w:r w:rsidRPr="00803C71">
        <w:rPr>
          <w:rFonts w:cs="Arial"/>
          <w:highlight w:val="yellow"/>
        </w:rPr>
        <w:t>mL.</w:t>
      </w:r>
      <w:proofErr w:type="spellEnd"/>
      <w:r w:rsidRPr="00803C71">
        <w:rPr>
          <w:rFonts w:cs="Arial"/>
          <w:highlight w:val="yellow"/>
        </w:rPr>
        <w:t xml:space="preserve"> A separate weighing of dexamethasone was used to make quality control standards at 3 and 30 ng/</w:t>
      </w:r>
      <w:proofErr w:type="spellStart"/>
      <w:r w:rsidRPr="00803C71">
        <w:rPr>
          <w:rFonts w:cs="Arial"/>
          <w:highlight w:val="yellow"/>
        </w:rPr>
        <w:t>mL.</w:t>
      </w:r>
      <w:proofErr w:type="spellEnd"/>
      <w:r w:rsidRPr="00803C71">
        <w:rPr>
          <w:rFonts w:cs="Arial"/>
          <w:highlight w:val="yellow"/>
        </w:rPr>
        <w:t xml:space="preserve"> Quality control standards were run in triplicate before and during sample analysis. For each calibration standard and quality control standard, 10 µL of blank plasma, 10 µL of calibration or QC standard, and 40 µL of internal standard were mixed in a 96-</w:t>
      </w:r>
      <w:proofErr w:type="gramStart"/>
      <w:r w:rsidRPr="00803C71">
        <w:rPr>
          <w:rFonts w:cs="Arial"/>
          <w:highlight w:val="yellow"/>
        </w:rPr>
        <w:t>well</w:t>
      </w:r>
      <w:proofErr w:type="gramEnd"/>
      <w:r w:rsidRPr="00803C71">
        <w:rPr>
          <w:rFonts w:cs="Arial"/>
          <w:highlight w:val="yellow"/>
        </w:rPr>
        <w:t xml:space="preserve"> plate. Each analytical sample was prepared by mixing 10 µL mouse plasma, 10 µL acetonitrile and 40 µL internal standard into a well of a 96-</w:t>
      </w:r>
      <w:proofErr w:type="gramStart"/>
      <w:r w:rsidRPr="00803C71">
        <w:rPr>
          <w:rFonts w:cs="Arial"/>
          <w:highlight w:val="yellow"/>
        </w:rPr>
        <w:t>well</w:t>
      </w:r>
      <w:proofErr w:type="gramEnd"/>
      <w:r w:rsidRPr="00803C71">
        <w:rPr>
          <w:rFonts w:cs="Arial"/>
          <w:highlight w:val="yellow"/>
        </w:rPr>
        <w:t xml:space="preserve">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803C71">
        <w:rPr>
          <w:rFonts w:cs="Arial"/>
          <w:highlight w:val="yellow"/>
        </w:rPr>
        <w:t>Xevo</w:t>
      </w:r>
      <w:proofErr w:type="spellEnd"/>
      <w:r w:rsidRPr="00803C71">
        <w:rPr>
          <w:rFonts w:cs="Arial"/>
          <w:highlight w:val="yellow"/>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sidRPr="009354E2">
        <w:rPr>
          <w:rFonts w:cs="Times New Roman"/>
          <w:color w:val="000000" w:themeColor="text1"/>
          <w:highlight w:val="yellow"/>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sidRPr="00E26BDC">
        <w:rPr>
          <w:color w:val="000000" w:themeColor="text1"/>
          <w:highlight w:val="yellow"/>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A474446"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354E2" w:rsidRPr="009354E2">
        <w:rPr>
          <w:rFonts w:cs="Helvetica"/>
          <w:color w:val="000000" w:themeColor="text1"/>
          <w:highlight w:val="yellow"/>
        </w:rPr>
        <w:t>,</w:t>
      </w:r>
      <w:r w:rsidR="009C4452">
        <w:rPr>
          <w:rFonts w:cs="Helvetica"/>
          <w:color w:val="000000" w:themeColor="text1"/>
        </w:rPr>
        <w:t xml:space="preserve"> </w:t>
      </w:r>
      <w:r w:rsidR="009C4452" w:rsidRPr="009354E2">
        <w:rPr>
          <w:rFonts w:cs="Helvetica"/>
          <w:color w:val="000000" w:themeColor="text1"/>
          <w:highlight w:val="yellow"/>
        </w:rPr>
        <w:t>with dexamethasone media being refreshed on day three and extracted on day five</w:t>
      </w:r>
      <w:r w:rsidR="005B3B55" w:rsidRPr="009354E2">
        <w:rPr>
          <w:rFonts w:cs="Helvetica"/>
          <w:color w:val="000000" w:themeColor="text1"/>
          <w:highlight w:val="yellow"/>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683AAE1"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proofErr w:type="gramStart"/>
      <w:r w:rsidR="006D4570" w:rsidRPr="006D4570">
        <w:rPr>
          <w:rFonts w:eastAsia="Times New Roman" w:cs="Times New Roman"/>
          <w:color w:val="000000" w:themeColor="text1"/>
          <w:highlight w:val="yellow"/>
          <w:shd w:val="clear" w:color="auto" w:fill="FFFFFF"/>
        </w:rPr>
        <w:t>RRID:AB</w:t>
      </w:r>
      <w:proofErr w:type="gramEnd"/>
      <w:r w:rsidR="006D4570" w:rsidRPr="006D4570">
        <w:rPr>
          <w:rFonts w:eastAsia="Times New Roman" w:cs="Times New Roman"/>
          <w:color w:val="000000" w:themeColor="text1"/>
          <w:highlight w:val="yellow"/>
          <w:shd w:val="clear" w:color="auto" w:fill="FFFFFF"/>
        </w:rPr>
        <w:t>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w:t>
      </w:r>
      <w:r w:rsidR="00C41426">
        <w:rPr>
          <w:rFonts w:eastAsia="Times New Roman" w:cs="Times New Roman"/>
          <w:color w:val="000000" w:themeColor="text1"/>
          <w:highlight w:val="yellow"/>
          <w:shd w:val="clear" w:color="auto" w:fill="FFFFFF"/>
        </w:rPr>
        <w:t>, RRID:</w:t>
      </w:r>
      <w:r w:rsidR="0011652A">
        <w:rPr>
          <w:rFonts w:eastAsia="Times New Roman" w:cs="Times New Roman"/>
          <w:color w:val="000000" w:themeColor="text1"/>
          <w:highlight w:val="yellow"/>
          <w:shd w:val="clear" w:color="auto" w:fill="FFFFFF"/>
        </w:rPr>
        <w:t>AB_2135495</w:t>
      </w:r>
      <w:r w:rsidR="00E12EA7" w:rsidRPr="00123885">
        <w:rPr>
          <w:rFonts w:eastAsia="Times New Roman" w:cs="Times New Roman"/>
          <w:color w:val="000000" w:themeColor="text1"/>
          <w:highlight w:val="yellow"/>
          <w:shd w:val="clear" w:color="auto" w:fill="FFFFFF"/>
        </w:rPr>
        <w:t xml:space="preserve"> and #4126,</w:t>
      </w:r>
      <w:r w:rsidR="0011652A">
        <w:rPr>
          <w:rFonts w:eastAsia="Times New Roman" w:cs="Times New Roman"/>
          <w:color w:val="000000" w:themeColor="text1"/>
          <w:highlight w:val="yellow"/>
          <w:shd w:val="clear" w:color="auto" w:fill="FFFFFF"/>
        </w:rPr>
        <w:t xml:space="preserve"> RRID:AB_490997,</w:t>
      </w:r>
      <w:r w:rsidR="00E12EA7" w:rsidRPr="00123885">
        <w:rPr>
          <w:rFonts w:eastAsia="Times New Roman" w:cs="Times New Roman"/>
          <w:color w:val="000000" w:themeColor="text1"/>
          <w:highlight w:val="yellow"/>
          <w:shd w:val="clear" w:color="auto" w:fill="FFFFFF"/>
        </w:rPr>
        <w:t xml:space="preserve"> respectively</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xml:space="preserve">. Antibody complexes were detected by anti-mouse and anti-rabbit fluorescent conjugated </w:t>
      </w:r>
      <w:r w:rsidRPr="006902F6">
        <w:rPr>
          <w:rFonts w:eastAsia="Times New Roman" w:cs="Times New Roman"/>
          <w:color w:val="000000" w:themeColor="text1"/>
          <w:shd w:val="clear" w:color="auto" w:fill="FFFFFF"/>
        </w:rPr>
        <w:lastRenderedPageBreak/>
        <w:t>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2D46E7">
        <w:rPr>
          <w:rFonts w:eastAsia="Times New Roman" w:cs="Arial"/>
          <w:color w:val="000000" w:themeColor="text1"/>
          <w:highlight w:val="yellow"/>
          <w:shd w:val="clear" w:color="auto" w:fill="FFFFFF"/>
        </w:rPr>
        <w:t xml:space="preserve">When normalized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sidRPr="009354E2">
        <w:rPr>
          <w:color w:val="000000" w:themeColor="text1"/>
          <w:highlight w:val="yellow"/>
        </w:rPr>
        <w:t>, but no differences in fat mass</w:t>
      </w:r>
      <w:r w:rsidR="0003545C" w:rsidRPr="006902F6">
        <w:rPr>
          <w:color w:val="000000" w:themeColor="text1"/>
        </w:rPr>
        <w:t xml:space="preserve"> (Supplementary Figures </w:t>
      </w:r>
      <w:r w:rsidR="0003545C" w:rsidRPr="009354E2">
        <w:rPr>
          <w:color w:val="000000" w:themeColor="text1"/>
          <w:highlight w:val="yellow"/>
        </w:rPr>
        <w:t>1</w:t>
      </w:r>
      <w:r w:rsidR="00120828" w:rsidRPr="009354E2">
        <w:rPr>
          <w:color w:val="000000" w:themeColor="text1"/>
          <w:highlight w:val="yellow"/>
        </w:rPr>
        <w:t>B</w:t>
      </w:r>
      <w:r w:rsidR="00AD4256" w:rsidRPr="009354E2">
        <w:rPr>
          <w:color w:val="000000" w:themeColor="text1"/>
          <w:highlight w:val="yellow"/>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 xml:space="preserve">(Supplementary Figure </w:t>
      </w:r>
      <w:r w:rsidR="00501D0B" w:rsidRPr="009354E2">
        <w:rPr>
          <w:color w:val="000000" w:themeColor="text1"/>
          <w:highlight w:val="yellow"/>
        </w:rPr>
        <w:t>1F</w:t>
      </w:r>
      <w:r w:rsidR="003667DE" w:rsidRPr="009354E2">
        <w:rPr>
          <w:color w:val="000000" w:themeColor="text1"/>
          <w:highlight w:val="yellow"/>
        </w:rPr>
        <w:t>-</w:t>
      </w:r>
      <w:r w:rsidR="00120828" w:rsidRPr="009354E2">
        <w:rPr>
          <w:color w:val="000000" w:themeColor="text1"/>
          <w:highlight w:val="yellow"/>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xml:space="preserve">; </w:t>
      </w:r>
      <w:r w:rsidR="00120828" w:rsidRPr="009354E2">
        <w:rPr>
          <w:color w:val="000000" w:themeColor="text1"/>
          <w:highlight w:val="yellow"/>
        </w:rPr>
        <w:t>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w:t>
      </w:r>
      <w:r w:rsidR="00976FAB" w:rsidRPr="009354E2">
        <w:rPr>
          <w:color w:val="000000" w:themeColor="text1"/>
          <w:highlight w:val="yellow"/>
        </w:rPr>
        <w:t>1</w:t>
      </w:r>
      <w:r w:rsidR="003667DE" w:rsidRPr="009354E2">
        <w:rPr>
          <w:color w:val="000000" w:themeColor="text1"/>
          <w:highlight w:val="yellow"/>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sidRPr="009354E2">
        <w:rPr>
          <w:color w:val="000000" w:themeColor="text1"/>
          <w:highlight w:val="yellow"/>
        </w:rPr>
        <w:t>body weight</w:t>
      </w:r>
      <w:r w:rsidR="003667DE">
        <w:rPr>
          <w:color w:val="000000" w:themeColor="text1"/>
        </w:rPr>
        <w:t xml:space="preserve"> </w:t>
      </w:r>
      <w:r w:rsidR="003667DE" w:rsidRPr="009354E2">
        <w:rPr>
          <w:color w:val="000000" w:themeColor="text1"/>
          <w:highlight w:val="yellow"/>
        </w:rPr>
        <w:t>and</w:t>
      </w:r>
      <w:r w:rsidR="003667DE">
        <w:rPr>
          <w:color w:val="000000" w:themeColor="text1"/>
        </w:rPr>
        <w:t xml:space="preserve">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sidRPr="009354E2">
        <w:rPr>
          <w:color w:val="000000" w:themeColor="text1"/>
          <w:highlight w:val="yellow"/>
        </w:rPr>
        <w:t>Lean</w:t>
      </w:r>
      <w:r w:rsidR="00883B29">
        <w:rPr>
          <w:color w:val="000000" w:themeColor="text1"/>
        </w:rPr>
        <w:t xml:space="preserve"> dexamethasone-treated mice ate significantly less than </w:t>
      </w:r>
      <w:r w:rsidR="003667DE" w:rsidRPr="009354E2">
        <w:rPr>
          <w:color w:val="000000" w:themeColor="text1"/>
          <w:highlight w:val="yellow"/>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sidRPr="009354E2">
        <w:rPr>
          <w:color w:val="000000" w:themeColor="text1"/>
          <w:highlight w:val="yellow"/>
        </w:rPr>
        <w:t>obese</w:t>
      </w:r>
      <w:r w:rsidR="003667DE">
        <w:rPr>
          <w:color w:val="000000" w:themeColor="text1"/>
        </w:rPr>
        <w:t xml:space="preserve"> </w:t>
      </w:r>
      <w:r w:rsidR="007374F3" w:rsidRPr="006902F6">
        <w:rPr>
          <w:color w:val="000000" w:themeColor="text1"/>
        </w:rPr>
        <w:t xml:space="preserve">dexamethasone-treated </w:t>
      </w:r>
      <w:r w:rsidR="003667DE" w:rsidRPr="009354E2">
        <w:rPr>
          <w:color w:val="000000" w:themeColor="text1"/>
          <w:highlight w:val="yellow"/>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xml:space="preserve">; </w:t>
      </w:r>
      <w:r w:rsidR="003667DE" w:rsidRPr="002D416C">
        <w:rPr>
          <w:color w:val="000000" w:themeColor="text1"/>
          <w:highlight w:val="yellow"/>
        </w:rPr>
        <w:t>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w:t>
      </w:r>
      <w:r w:rsidRPr="002D416C">
        <w:rPr>
          <w:color w:val="000000" w:themeColor="text1"/>
          <w:highlight w:val="yellow"/>
        </w:rPr>
        <w:t>act on</w:t>
      </w:r>
      <w:r w:rsidRPr="006902F6">
        <w:rPr>
          <w:color w:val="000000" w:themeColor="text1"/>
        </w:rPr>
        <w:t xml:space="preserve">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w:t>
      </w:r>
      <w:proofErr w:type="spellStart"/>
      <w:r w:rsidRPr="00CF34C5">
        <w:rPr>
          <w:rFonts w:eastAsia="Times New Roman" w:cs="Arial"/>
          <w:color w:val="000000" w:themeColor="text1"/>
          <w:highlight w:val="yellow"/>
          <w:shd w:val="clear" w:color="auto" w:fill="FFFFFF"/>
        </w:rPr>
        <w:t>lipogenic</w:t>
      </w:r>
      <w:proofErr w:type="spellEnd"/>
      <w:r w:rsidRPr="00CF34C5">
        <w:rPr>
          <w:rFonts w:eastAsia="Times New Roman" w:cs="Arial"/>
          <w:color w:val="000000" w:themeColor="text1"/>
          <w:highlight w:val="yellow"/>
          <w:shd w:val="clear" w:color="auto" w:fill="FFFFFF"/>
        </w:rPr>
        <w:t xml:space="preserve">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w:t>
      </w:r>
      <w:r w:rsidR="00AF489A" w:rsidRPr="002D416C">
        <w:rPr>
          <w:bCs/>
          <w:color w:val="000000" w:themeColor="text1"/>
          <w:highlight w:val="yellow"/>
        </w:rPr>
        <w:t xml:space="preserve">Lynne </w:t>
      </w:r>
      <w:proofErr w:type="spellStart"/>
      <w:r w:rsidR="00AF489A" w:rsidRPr="002D416C">
        <w:rPr>
          <w:bCs/>
          <w:color w:val="000000" w:themeColor="text1"/>
          <w:highlight w:val="yellow"/>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sidRPr="002D416C">
        <w:rPr>
          <w:bCs/>
          <w:color w:val="000000" w:themeColor="text1"/>
          <w:highlight w:val="yellow"/>
        </w:rPr>
        <w:t>(University of Michigan)</w:t>
      </w:r>
      <w:r w:rsidR="00AF489A">
        <w:rPr>
          <w:bCs/>
          <w:color w:val="000000" w:themeColor="text1"/>
        </w:rPr>
        <w:t xml:space="preserve">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 xml:space="preserve">Edwards Park </w:t>
      </w:r>
      <w:r w:rsidR="00A23F57" w:rsidRPr="002D416C">
        <w:rPr>
          <w:bCs/>
          <w:color w:val="000000" w:themeColor="text1"/>
          <w:highlight w:val="yellow"/>
        </w:rPr>
        <w:t>(U</w:t>
      </w:r>
      <w:r w:rsidR="00AF489A" w:rsidRPr="002D416C">
        <w:rPr>
          <w:bCs/>
          <w:color w:val="000000" w:themeColor="text1"/>
          <w:highlight w:val="yellow"/>
        </w:rPr>
        <w:t xml:space="preserve">niversity of </w:t>
      </w:r>
      <w:r w:rsidR="00A23F57" w:rsidRPr="002D416C">
        <w:rPr>
          <w:bCs/>
          <w:color w:val="000000" w:themeColor="text1"/>
          <w:highlight w:val="yellow"/>
        </w:rPr>
        <w:t>T</w:t>
      </w:r>
      <w:r w:rsidR="00AF489A" w:rsidRPr="002D416C">
        <w:rPr>
          <w:bCs/>
          <w:color w:val="000000" w:themeColor="text1"/>
          <w:highlight w:val="yellow"/>
        </w:rPr>
        <w:t xml:space="preserve">ennessee </w:t>
      </w:r>
      <w:r w:rsidR="00A23F57" w:rsidRPr="002D416C">
        <w:rPr>
          <w:bCs/>
          <w:color w:val="000000" w:themeColor="text1"/>
          <w:highlight w:val="yellow"/>
        </w:rPr>
        <w:t>H</w:t>
      </w:r>
      <w:r w:rsidR="00AF489A" w:rsidRPr="002D416C">
        <w:rPr>
          <w:bCs/>
          <w:color w:val="000000" w:themeColor="text1"/>
          <w:highlight w:val="yellow"/>
        </w:rPr>
        <w:t xml:space="preserve">ealth </w:t>
      </w:r>
      <w:r w:rsidR="00A23F57" w:rsidRPr="002D416C">
        <w:rPr>
          <w:bCs/>
          <w:color w:val="000000" w:themeColor="text1"/>
          <w:highlight w:val="yellow"/>
        </w:rPr>
        <w:t>S</w:t>
      </w:r>
      <w:r w:rsidR="00AF489A" w:rsidRPr="002D416C">
        <w:rPr>
          <w:bCs/>
          <w:color w:val="000000" w:themeColor="text1"/>
          <w:highlight w:val="yellow"/>
        </w:rPr>
        <w:t xml:space="preserve">cience </w:t>
      </w:r>
      <w:r w:rsidR="00A23F57" w:rsidRPr="002D416C">
        <w:rPr>
          <w:bCs/>
          <w:color w:val="000000" w:themeColor="text1"/>
          <w:highlight w:val="yellow"/>
        </w:rPr>
        <w:t>C</w:t>
      </w:r>
      <w:r w:rsidR="00AF489A" w:rsidRPr="002D416C">
        <w:rPr>
          <w:bCs/>
          <w:color w:val="000000" w:themeColor="text1"/>
          <w:highlight w:val="yellow"/>
        </w:rPr>
        <w:t>enter</w:t>
      </w:r>
      <w:r w:rsidR="00A23F57" w:rsidRPr="002D416C">
        <w:rPr>
          <w:bCs/>
          <w:color w:val="000000" w:themeColor="text1"/>
          <w:highlight w:val="yellow"/>
        </w:rPr>
        <w:t>)</w:t>
      </w:r>
      <w:r w:rsidR="00A23F57" w:rsidRPr="006902F6">
        <w:rPr>
          <w:bCs/>
          <w:color w:val="000000" w:themeColor="text1"/>
        </w:rPr>
        <w:t xml:space="preserve"> </w:t>
      </w:r>
      <w:r w:rsidR="00AF489A" w:rsidRPr="002D416C">
        <w:rPr>
          <w:bCs/>
          <w:color w:val="000000" w:themeColor="text1"/>
          <w:highlight w:val="yellow"/>
        </w:rPr>
        <w:t>and Tobias Else (University of Michigan)</w:t>
      </w:r>
      <w:r w:rsidR="00AF489A">
        <w:rPr>
          <w:bCs/>
          <w:color w:val="000000" w:themeColor="text1"/>
        </w:rPr>
        <w:t xml:space="preserve">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Mouse blood glucose levels during insulin tolerance test (</w:t>
      </w:r>
      <w:r w:rsidRPr="00816B87">
        <w:rPr>
          <w:highlight w:val="yellow"/>
        </w:rPr>
        <w:t>A)</w:t>
      </w:r>
      <w:r>
        <w:t xml:space="preserve"> and prior to insulin injection (basal; </w:t>
      </w:r>
      <w:r w:rsidRPr="00816B87">
        <w:rPr>
          <w:highlight w:val="yellow"/>
        </w:rPr>
        <w:t>B</w:t>
      </w:r>
      <w:r>
        <w:t xml:space="preserve">).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w:t>
      </w:r>
      <w:r w:rsidRPr="00816B87">
        <w:rPr>
          <w:highlight w:val="yellow"/>
        </w:rPr>
        <w:t>C</w:t>
      </w:r>
      <w:r>
        <w:t>) endogenous glucose production (EGP</w:t>
      </w:r>
      <w:r w:rsidRPr="00816B87">
        <w:rPr>
          <w:highlight w:val="yellow"/>
        </w:rPr>
        <w:t>; D</w:t>
      </w:r>
      <w:r>
        <w:t xml:space="preserve">), </w:t>
      </w:r>
      <w:r w:rsidR="00A72ADD">
        <w:t xml:space="preserve">insulin </w:t>
      </w:r>
      <w:r w:rsidRPr="00B669C1">
        <w:rPr>
          <w:highlight w:val="yellow"/>
        </w:rPr>
        <w:t>suppression</w:t>
      </w:r>
      <w:r>
        <w:t xml:space="preserve"> of glucose production (</w:t>
      </w:r>
      <w:r w:rsidRPr="00816B87">
        <w:rPr>
          <w:highlight w:val="yellow"/>
        </w:rPr>
        <w:t>E</w:t>
      </w:r>
      <w:r>
        <w:t>) and glucose turnover rate (</w:t>
      </w:r>
      <w:r w:rsidRPr="00816B87">
        <w:rPr>
          <w:highlight w:val="yellow"/>
        </w:rPr>
        <w:t>F</w:t>
      </w:r>
      <w:r>
        <w:t xml:space="preserve">)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rsidRPr="005562FD">
        <w:rPr>
          <w:highlight w:val="yellow"/>
        </w:rPr>
        <w:t xml:space="preserve">Amount of dexamethasone consumed per mouse throughout the study normalized to body weight as determined by volume consumed per cage per week for NCD- (n=12) and HFD-fed (n=20) mice (E). Concentration of dexamethasone in serum of NCD-fed (n=8) and HFD-fed (n=11) at the end of the study as determined by LC-MS (F). </w:t>
      </w:r>
      <w:r w:rsidRPr="005562FD">
        <w:rPr>
          <w:highlight w:val="yellow"/>
        </w:rPr>
        <w:t>Asterisks indicate a statistically significant treatment</w:t>
      </w:r>
      <w:r w:rsidR="007B304A" w:rsidRPr="005562FD">
        <w:rPr>
          <w:highlight w:val="yellow"/>
        </w:rPr>
        <w:t xml:space="preserve"> or diet</w:t>
      </w:r>
      <w:r w:rsidRPr="005562FD">
        <w:rPr>
          <w:highlight w:val="yellow"/>
        </w:rP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 xml:space="preserve">d representative western blot </w:t>
      </w:r>
      <w:r w:rsidR="00F72E9E" w:rsidRPr="00B669C1">
        <w:rPr>
          <w:highlight w:val="yellow"/>
        </w:rPr>
        <w:t>and quantification</w:t>
      </w:r>
      <w:r w:rsidR="00F72E9E">
        <w:t xml:space="preserve">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2DC60" w14:textId="77777777" w:rsidR="000B4D81" w:rsidRDefault="000B4D81" w:rsidP="001975C6">
      <w:r>
        <w:separator/>
      </w:r>
    </w:p>
  </w:endnote>
  <w:endnote w:type="continuationSeparator" w:id="0">
    <w:p w14:paraId="44C46C07" w14:textId="77777777" w:rsidR="000B4D81" w:rsidRDefault="000B4D81"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23B5A">
      <w:rPr>
        <w:caps/>
        <w:noProof/>
        <w:color w:val="5B9BD5" w:themeColor="accent1"/>
      </w:rPr>
      <w:t>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7DCFC" w14:textId="77777777" w:rsidR="000B4D81" w:rsidRDefault="000B4D81" w:rsidP="001975C6">
      <w:r>
        <w:separator/>
      </w:r>
    </w:p>
  </w:footnote>
  <w:footnote w:type="continuationSeparator" w:id="0">
    <w:p w14:paraId="41E1D962" w14:textId="77777777" w:rsidR="000B4D81" w:rsidRDefault="000B4D81"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377C5"/>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4D81"/>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52A"/>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16C"/>
    <w:rsid w:val="002D46E7"/>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562FD"/>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6B87"/>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4E2"/>
    <w:rsid w:val="00935654"/>
    <w:rsid w:val="00935C68"/>
    <w:rsid w:val="0094028A"/>
    <w:rsid w:val="009402FD"/>
    <w:rsid w:val="00944696"/>
    <w:rsid w:val="00945214"/>
    <w:rsid w:val="00946384"/>
    <w:rsid w:val="0095015B"/>
    <w:rsid w:val="00951518"/>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417"/>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669C1"/>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1426"/>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5A"/>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6BDC"/>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54157979">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3BFA8-C27D-6049-9A3D-2EE09767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31</Pages>
  <Words>35691</Words>
  <Characters>203443</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78</cp:revision>
  <cp:lastPrinted>2018-03-27T17:55:00Z</cp:lastPrinted>
  <dcterms:created xsi:type="dcterms:W3CDTF">2018-02-07T20:59:00Z</dcterms:created>
  <dcterms:modified xsi:type="dcterms:W3CDTF">2018-04-01T18:01:00Z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