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JeAnna R. Redd</w:t>
      </w:r>
      <w:r>
        <w:rPr>
          <w:vertAlign w:val="superscript"/>
        </w:rPr>
        <w:t>1,2</w:t>
      </w:r>
      <w:r>
        <w:t>, Quynh T. Tran</w:t>
      </w:r>
      <w:r>
        <w:rPr>
          <w:vertAlign w:val="superscript"/>
        </w:rPr>
        <w:t>4</w:t>
      </w:r>
      <w:r>
        <w:t>, Irit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Rambam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lipolytic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 xml:space="preserve">polytic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5L0D LabDiet;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 xml:space="preserve">week dexamethasone </w:t>
      </w:r>
      <w:r w:rsidR="00915C5C" w:rsidRPr="006902F6">
        <w:rPr>
          <w:rFonts w:eastAsia="Times New Roman" w:cs="Times New Roman"/>
          <w:color w:val="000000" w:themeColor="text1"/>
          <w:shd w:val="clear" w:color="auto" w:fill="FFFFFF"/>
        </w:rPr>
        <w:lastRenderedPageBreak/>
        <w:t>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 xml:space="preserve">choMRI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(iWAT)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r w:rsidR="00EB0A54" w:rsidRPr="006902F6">
        <w:rPr>
          <w:rFonts w:eastAsia="Times New Roman" w:cs="Times New Roman"/>
          <w:color w:val="000000" w:themeColor="text1"/>
          <w:shd w:val="clear" w:color="auto" w:fill="FFFFFF"/>
        </w:rPr>
        <w:t xml:space="preserve">epididymal </w:t>
      </w:r>
      <w:r w:rsidR="002854C2">
        <w:rPr>
          <w:rFonts w:eastAsia="Times New Roman" w:cs="Times New Roman"/>
          <w:color w:val="000000" w:themeColor="text1"/>
          <w:shd w:val="clear" w:color="auto" w:fill="FFFFFF"/>
        </w:rPr>
        <w:t>white adipose tissue (eWAT)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r w:rsidR="004A26F2">
        <w:rPr>
          <w:b/>
          <w:color w:val="000000" w:themeColor="text1"/>
        </w:rPr>
        <w:t xml:space="preserve">Hyperinsulinemic </w:t>
      </w:r>
      <w:r w:rsidRPr="006902F6">
        <w:rPr>
          <w:b/>
          <w:color w:val="000000" w:themeColor="text1"/>
        </w:rPr>
        <w:t xml:space="preserve">Euglycemic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(Humulin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(Lifescan).</w:t>
      </w:r>
      <w:r w:rsidR="00BF4435" w:rsidRPr="006902F6">
        <w:rPr>
          <w:color w:val="000000" w:themeColor="text1"/>
        </w:rPr>
        <w:t xml:space="preserve"> For the </w:t>
      </w:r>
      <w:r w:rsidR="004A26F2">
        <w:rPr>
          <w:color w:val="000000" w:themeColor="text1"/>
        </w:rPr>
        <w:t>hyper</w:t>
      </w:r>
      <w:r w:rsidR="0011694F">
        <w:rPr>
          <w:color w:val="000000" w:themeColor="text1"/>
        </w:rPr>
        <w:t>insulinemic</w:t>
      </w:r>
      <w:r w:rsidR="00BF4435" w:rsidRPr="006902F6">
        <w:rPr>
          <w:color w:val="000000" w:themeColor="text1"/>
        </w:rPr>
        <w:t xml:space="preserve"> </w:t>
      </w:r>
      <w:r w:rsidR="00D72995">
        <w:rPr>
          <w:color w:val="000000" w:themeColor="text1"/>
        </w:rPr>
        <w:lastRenderedPageBreak/>
        <w:t>euglycemic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mU/kg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mU/kg/min) of human insulin (Novo Nordisk). Euglycemia (120~130 mg/dL)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w:t>
      </w:r>
      <w:r w:rsidR="00C86E77" w:rsidRPr="006902F6">
        <w:rPr>
          <w:rFonts w:ascii="Calibri" w:hAnsi="Calibri" w:cs="Arial"/>
          <w:color w:val="000000" w:themeColor="text1"/>
        </w:rPr>
        <w:lastRenderedPageBreak/>
        <w:t>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Blood glucose was measured using an Accu-Chek glucometer (Roche, Germany). Plasma insulin was measured using the Linco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plasma samples were deproteinized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(Thermo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w:t>
      </w:r>
      <w:r w:rsidR="007A78D7">
        <w:rPr>
          <w:color w:val="000000" w:themeColor="text1"/>
        </w:rPr>
        <w:lastRenderedPageBreak/>
        <w:t xml:space="preserve">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mM Tris pH 8, 5 mM EDTA, 30 mM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TissueLyser II (Qiagen)</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w:t>
      </w:r>
      <w:r w:rsidR="001F7771">
        <w:rPr>
          <w:color w:val="000000" w:themeColor="text1"/>
        </w:rPr>
        <w:lastRenderedPageBreak/>
        <w:t xml:space="preserve">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microscope and cellSense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TRIzol</w:t>
      </w:r>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r w:rsidR="005C636B" w:rsidRPr="006902F6">
        <w:rPr>
          <w:rFonts w:eastAsia="Times New Roman" w:cs="Times New Roman"/>
          <w:color w:val="000000" w:themeColor="text1"/>
          <w:szCs w:val="21"/>
          <w:shd w:val="clear" w:color="auto" w:fill="FFFFFF"/>
        </w:rPr>
        <w:t>TissueLyser II, as decribed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r w:rsidR="00877762" w:rsidRPr="006902F6">
        <w:rPr>
          <w:rFonts w:cs="Times New Roman"/>
          <w:color w:val="000000" w:themeColor="text1"/>
        </w:rPr>
        <w:t>PureLink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using the QuantStudio 5</w:t>
      </w:r>
      <w:r w:rsidR="00CD11DF">
        <w:rPr>
          <w:rFonts w:cs="Times New Roman"/>
          <w:color w:val="000000" w:themeColor="text1"/>
        </w:rPr>
        <w:t xml:space="preserve"> (Thermo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r w:rsidR="00D6022E" w:rsidRPr="006902F6">
        <w:rPr>
          <w:rFonts w:cs="Times New Roman"/>
          <w:i/>
          <w:color w:val="000000" w:themeColor="text1"/>
        </w:rPr>
        <w:t>Actb</w:t>
      </w:r>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(50 mM Tris, pH 7.4, 0.25% sodium deoxycholate, 1% NP40, 150 mM sodium chloride, 1 mM EDTA, 100 uM sodium orthovanadate, 5 mM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mM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r w:rsidR="00DA4887" w:rsidRPr="006902F6">
        <w:rPr>
          <w:rFonts w:eastAsia="Times New Roman" w:cs="Times New Roman"/>
          <w:color w:val="000000" w:themeColor="text1"/>
          <w:shd w:val="clear" w:color="auto" w:fill="FFFFFF"/>
        </w:rPr>
        <w:lastRenderedPageBreak/>
        <w:t>CLx</w:t>
      </w:r>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(LiCOR)</w:t>
      </w:r>
      <w:r w:rsidR="00827CC4">
        <w:rPr>
          <w:rFonts w:eastAsia="Times New Roman" w:cs="Times New Roman"/>
          <w:color w:val="000000" w:themeColor="text1"/>
          <w:shd w:val="clear" w:color="auto" w:fill="FFFFFF"/>
        </w:rPr>
        <w:t xml:space="preserve"> and normalized to Revert Total Protein Stain (LiCOR</w:t>
      </w:r>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normality and equal variance were tested using Shapiro-Wilk and Levene’s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68C868B"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t>
      </w:r>
      <w:r w:rsidR="003145E7" w:rsidRPr="006902F6">
        <w:rPr>
          <w:rFonts w:eastAsia="Times New Roman" w:cs="Times New Roman"/>
          <w:color w:val="000000" w:themeColor="text1"/>
          <w:shd w:val="clear" w:color="auto" w:fill="FFFFFF"/>
        </w:rPr>
        <w:lastRenderedPageBreak/>
        <w:t xml:space="preserve">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we performed hyperinsulinemic</w:t>
      </w:r>
      <w:r w:rsidR="005A4E16">
        <w:rPr>
          <w:color w:val="000000" w:themeColor="text1"/>
        </w:rPr>
        <w:t>-</w:t>
      </w:r>
      <w:r w:rsidR="00B77F49" w:rsidRPr="006902F6">
        <w:rPr>
          <w:color w:val="000000" w:themeColor="text1"/>
        </w:rPr>
        <w:t>euglycemic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euglycemia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 xml:space="preserve">glucose </w:t>
      </w:r>
      <w:r w:rsidR="00222D60">
        <w:rPr>
          <w:color w:val="000000" w:themeColor="text1"/>
        </w:rPr>
        <w:lastRenderedPageBreak/>
        <w:t>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r w:rsidR="00B63F75" w:rsidRPr="006902F6">
        <w:rPr>
          <w:i/>
          <w:color w:val="000000" w:themeColor="text1"/>
        </w:rPr>
        <w:t>Fasn</w:t>
      </w:r>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r w:rsidR="001C4E38">
        <w:rPr>
          <w:color w:val="000000" w:themeColor="text1"/>
        </w:rPr>
        <w:t>iWAT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r w:rsidR="001C4E38">
        <w:rPr>
          <w:color w:val="000000" w:themeColor="text1"/>
        </w:rPr>
        <w:t>eWAT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ub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w:t>
      </w:r>
      <w:r w:rsidR="00D4046E" w:rsidRPr="006902F6">
        <w:rPr>
          <w:color w:val="000000" w:themeColor="text1"/>
        </w:rPr>
        <w:lastRenderedPageBreak/>
        <w:t xml:space="preserve">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r w:rsidR="001C4E38">
        <w:rPr>
          <w:color w:val="000000" w:themeColor="text1"/>
        </w:rPr>
        <w:t>iWAT</w:t>
      </w:r>
      <w:r w:rsidR="001C4E38" w:rsidRPr="006902F6">
        <w:rPr>
          <w:color w:val="000000" w:themeColor="text1"/>
        </w:rPr>
        <w:t xml:space="preserve"> </w:t>
      </w:r>
      <w:r w:rsidR="00D4046E" w:rsidRPr="006902F6">
        <w:rPr>
          <w:color w:val="000000" w:themeColor="text1"/>
        </w:rPr>
        <w:t xml:space="preserve">or </w:t>
      </w:r>
      <w:r w:rsidR="001C4E38">
        <w:rPr>
          <w:color w:val="000000" w:themeColor="text1"/>
        </w:rPr>
        <w:t>eWAT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In order to identify a potential GR-dependent lipolytic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xml:space="preserve">) and </w:t>
      </w:r>
      <w:r w:rsidR="003A5F27" w:rsidRPr="006902F6">
        <w:rPr>
          <w:color w:val="000000" w:themeColor="text1"/>
        </w:rPr>
        <w:lastRenderedPageBreak/>
        <w:t>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r w:rsidR="006066A2" w:rsidRPr="006902F6">
        <w:rPr>
          <w:color w:val="000000" w:themeColor="text1"/>
        </w:rPr>
        <w:t xml:space="preserve">iWAT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hyperinsulinemic euglycemic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xml:space="preserve">% reduction in </w:t>
      </w:r>
      <w:r w:rsidR="00914AF8">
        <w:rPr>
          <w:color w:val="000000" w:themeColor="text1"/>
        </w:rPr>
        <w:lastRenderedPageBreak/>
        <w:t>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iWAT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w:t>
      </w:r>
      <w:r>
        <w:rPr>
          <w:color w:val="000000" w:themeColor="text1"/>
        </w:rPr>
        <w:lastRenderedPageBreak/>
        <w:t xml:space="preserve">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a lipodystrophic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xml:space="preserve">, possibly as a way to promote </w:t>
      </w:r>
      <w:r w:rsidR="00FE35A0" w:rsidRPr="006902F6">
        <w:rPr>
          <w:color w:val="000000" w:themeColor="text1"/>
        </w:rPr>
        <w:lastRenderedPageBreak/>
        <w:t>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w:t>
      </w:r>
      <w:r w:rsidR="009C5B00" w:rsidRPr="006902F6">
        <w:rPr>
          <w:color w:val="000000" w:themeColor="text1"/>
        </w:rPr>
        <w:lastRenderedPageBreak/>
        <w:t>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I.Ha. and I.Ho. were responsible for conceptualizing the study. D.B., I.Ha. and N.Q. designed the experiments. I.Ha. performed all cell experiments. I.Ha., E.S. and J.R. performed mouse experiments. D.B. and Q.T. performed statistical analyses. I.Ha. wrote the manuscript. I.Ha.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DelProposto and Carey Lumeng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We would like to thank the other members of the Bridges laboratory, Thurl Harris (University of Virginia)</w:t>
      </w:r>
      <w:r w:rsidR="00F33C5C">
        <w:rPr>
          <w:bCs/>
          <w:color w:val="000000" w:themeColor="text1"/>
        </w:rPr>
        <w:t>, Christoph Buettner</w:t>
      </w:r>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w:t>
      </w:r>
      <w:r w:rsidRPr="00245EC7">
        <w:rPr>
          <w:rFonts w:ascii="Calibri" w:eastAsia="Times New Roman" w:hAnsi="Calibri" w:cs="Times New Roman"/>
          <w:noProof/>
        </w:rPr>
        <w:lastRenderedPageBreak/>
        <w:t>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w:t>
      </w:r>
      <w:r w:rsidRPr="00245EC7">
        <w:rPr>
          <w:rFonts w:ascii="Calibri" w:eastAsia="Times New Roman" w:hAnsi="Calibri" w:cs="Times New Roman"/>
          <w:noProof/>
        </w:rPr>
        <w:lastRenderedPageBreak/>
        <w:t xml:space="preserve">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w:t>
      </w:r>
      <w:r w:rsidRPr="00245EC7">
        <w:rPr>
          <w:rFonts w:ascii="Calibri" w:eastAsia="Times New Roman" w:hAnsi="Calibri" w:cs="Times New Roman"/>
          <w:noProof/>
        </w:rPr>
        <w:lastRenderedPageBreak/>
        <w:t xml:space="preserve">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w:t>
      </w:r>
      <w:r w:rsidRPr="00245EC7">
        <w:rPr>
          <w:rFonts w:ascii="Calibri" w:eastAsia="Times New Roman" w:hAnsi="Calibri" w:cs="Times New Roman"/>
          <w:noProof/>
        </w:rPr>
        <w:lastRenderedPageBreak/>
        <w:t>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Mouse blood glucose levels during insulin tolerance test (C) and prior to insulin injection (basal; D). Insulin was given via i.p. injection at a concentration of 2.5 U/kg following five weeks of dexamethasone (NCD n=12; HFD n=12) or vehicle (NCD n=12; HFD n=12) treatment and 17 weeks of diet. Mouse glucose infusion rate (GIR; E) and endogenous glucose production (EGP; F) during euglycemic clamp following 3 weeks of dexamethasone (n=14) or vehicle (n=11) treatment and 11 weeks of HFD. For clamp experiments, insulin was infused at 8 mU/kg/min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lipogenic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lastRenderedPageBreak/>
        <w:t>Weekly total body mass (A) and fat mass (B) measures via EchoMRI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Triglyceride levels (A), glycerol released in media (B), qPCR of lipolytic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lipolytic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lastRenderedPageBreak/>
        <w:t xml:space="preserve">Serum glycerol (A) following 16 hour fast, serum NEFA in obese dexamethasone treated (n=14) or control (n=11) mice following a 5 hour fast, before and after insulin during hyperinsulinemic euglycemic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r w:rsidRPr="00C636C1">
              <w:rPr>
                <w:i/>
              </w:rPr>
              <w:t>Actb</w:t>
            </w:r>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r>
              <w:rPr>
                <w:i/>
              </w:rPr>
              <w:t>Fasn</w:t>
            </w:r>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bookmarkStart w:id="0" w:name="_GoBack"/>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bookmarkEnd w:id="0"/>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A9A9C" w14:textId="77777777" w:rsidR="00056775" w:rsidRDefault="00056775" w:rsidP="001975C6">
      <w:r>
        <w:separator/>
      </w:r>
    </w:p>
  </w:endnote>
  <w:endnote w:type="continuationSeparator" w:id="0">
    <w:p w14:paraId="523C5660" w14:textId="77777777" w:rsidR="00056775" w:rsidRDefault="00056775"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0181B">
      <w:rPr>
        <w:caps/>
        <w:noProof/>
        <w:color w:val="5B9BD5" w:themeColor="accent1"/>
      </w:rPr>
      <w:t>32</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61836" w14:textId="77777777" w:rsidR="00056775" w:rsidRDefault="00056775" w:rsidP="001975C6">
      <w:r>
        <w:separator/>
      </w:r>
    </w:p>
  </w:footnote>
  <w:footnote w:type="continuationSeparator" w:id="0">
    <w:p w14:paraId="2E21100C" w14:textId="77777777" w:rsidR="00056775" w:rsidRDefault="00056775" w:rsidP="00197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ebrid@umich.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68F85-3E6A-CA4D-B1EE-CB8607EA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29892</Words>
  <Characters>170385</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Dave Bridges</cp:lastModifiedBy>
  <cp:revision>3</cp:revision>
  <cp:lastPrinted>2018-02-07T20:59:00Z</cp:lastPrinted>
  <dcterms:created xsi:type="dcterms:W3CDTF">2018-02-07T20:59:00Z</dcterms:created>
  <dcterms:modified xsi:type="dcterms:W3CDTF">2018-02-07T21:01:00Z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