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77777777" w:rsidR="00310383" w:rsidRDefault="00310383" w:rsidP="00310383">
      <w:r>
        <w:rPr>
          <w:b/>
        </w:rPr>
        <w:t>Short</w:t>
      </w:r>
      <w:r w:rsidRPr="00E50061">
        <w:rPr>
          <w:b/>
        </w:rPr>
        <w:t xml:space="preserve"> title:</w:t>
      </w:r>
      <w:r>
        <w:t xml:space="preserve"> Glucocorticoids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77777777" w:rsidR="00310383" w:rsidRDefault="00310383" w:rsidP="00310383">
      <w:r>
        <w:rPr>
          <w:b/>
        </w:rPr>
        <w:t>Word Count:</w:t>
      </w:r>
      <w:r>
        <w:t xml:space="preserve"> 4512 (includes title page and up to references)</w:t>
      </w:r>
    </w:p>
    <w:p w14:paraId="0D523EBB" w14:textId="77777777" w:rsidR="00310383" w:rsidRPr="00BC77B6" w:rsidRDefault="00310383" w:rsidP="00310383"/>
    <w:p w14:paraId="46C06F15" w14:textId="77777777" w:rsidR="00310383" w:rsidRDefault="00310383" w:rsidP="00310383">
      <w:pPr>
        <w:rPr>
          <w:b/>
        </w:rPr>
      </w:pPr>
    </w:p>
    <w:p w14:paraId="5F725C5B" w14:textId="77777777" w:rsidR="00310383" w:rsidRDefault="00310383" w:rsidP="00310383">
      <w:pPr>
        <w:rPr>
          <w:b/>
        </w:rPr>
      </w:pPr>
    </w:p>
    <w:p w14:paraId="414E0632" w14:textId="77777777" w:rsidR="00310383" w:rsidRDefault="00310383" w:rsidP="00310383">
      <w:pPr>
        <w:rPr>
          <w:b/>
        </w:rPr>
      </w:pPr>
    </w:p>
    <w:p w14:paraId="69507EA8" w14:textId="77777777" w:rsidR="00310383" w:rsidRDefault="00310383" w:rsidP="00310383">
      <w:pPr>
        <w:rPr>
          <w:b/>
        </w:rPr>
      </w:pPr>
    </w:p>
    <w:p w14:paraId="5017F2B5" w14:textId="77777777" w:rsidR="00310383" w:rsidRDefault="00310383" w:rsidP="00310383">
      <w:pPr>
        <w:rPr>
          <w:b/>
        </w:rPr>
      </w:pPr>
    </w:p>
    <w:p w14:paraId="41C6F760" w14:textId="77777777" w:rsidR="00310383" w:rsidRDefault="00310383" w:rsidP="00310383">
      <w:pPr>
        <w:rPr>
          <w:b/>
        </w:rPr>
      </w:pPr>
    </w:p>
    <w:p w14:paraId="090CEDC1" w14:textId="77777777" w:rsidR="00310383" w:rsidRDefault="00310383" w:rsidP="00310383">
      <w:pPr>
        <w:rPr>
          <w:b/>
        </w:rPr>
      </w:pPr>
    </w:p>
    <w:p w14:paraId="5009AA5A" w14:textId="77777777" w:rsidR="00310383" w:rsidRDefault="00310383" w:rsidP="00310383">
      <w:pPr>
        <w:rPr>
          <w:b/>
        </w:rPr>
      </w:pPr>
    </w:p>
    <w:p w14:paraId="1DD9231A" w14:textId="77777777" w:rsidR="00310383" w:rsidRDefault="00310383" w:rsidP="00310383">
      <w:pPr>
        <w:rPr>
          <w:b/>
        </w:rPr>
      </w:pPr>
    </w:p>
    <w:p w14:paraId="2E245F35" w14:textId="77777777" w:rsidR="00310383" w:rsidRDefault="00310383" w:rsidP="00310383">
      <w:pPr>
        <w:rPr>
          <w:b/>
        </w:rPr>
      </w:pPr>
    </w:p>
    <w:p w14:paraId="44654806" w14:textId="77777777" w:rsidR="00310383" w:rsidRDefault="00310383" w:rsidP="00310383">
      <w:pPr>
        <w:rPr>
          <w:b/>
        </w:rPr>
      </w:pPr>
    </w:p>
    <w:p w14:paraId="7C88EADD" w14:textId="77777777" w:rsidR="00310383" w:rsidRDefault="00310383" w:rsidP="00310383">
      <w:pPr>
        <w:rPr>
          <w:b/>
        </w:rPr>
      </w:pPr>
    </w:p>
    <w:p w14:paraId="2BA71493" w14:textId="77777777" w:rsidR="00310383" w:rsidRDefault="00310383" w:rsidP="00310383"/>
    <w:p w14:paraId="43CD21A5" w14:textId="77777777" w:rsidR="00310383" w:rsidRDefault="00310383" w:rsidP="00310383">
      <w:pPr>
        <w:rPr>
          <w:bCs/>
          <w:color w:val="000000" w:themeColor="text1"/>
        </w:rPr>
      </w:pPr>
    </w:p>
    <w:p w14:paraId="2F909367" w14:textId="77777777" w:rsidR="00310383" w:rsidRDefault="00310383" w:rsidP="00310383"/>
    <w:p w14:paraId="5E687007" w14:textId="77777777" w:rsidR="00310383" w:rsidRDefault="00310383">
      <w:pPr>
        <w:rPr>
          <w:b/>
          <w:color w:val="000000" w:themeColor="text1"/>
          <w:sz w:val="36"/>
          <w:u w:val="single"/>
        </w:rPr>
      </w:pPr>
      <w:r>
        <w:rPr>
          <w:b/>
          <w:color w:val="000000" w:themeColor="text1"/>
          <w:sz w:val="36"/>
          <w:u w:val="single"/>
        </w:rPr>
        <w:br w:type="page"/>
      </w: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05CCC52A" w:rsidR="000C0722" w:rsidRDefault="00A72041" w:rsidP="00FF21CB">
      <w:pPr>
        <w:spacing w:line="480" w:lineRule="auto"/>
        <w:rPr>
          <w:color w:val="000000" w:themeColor="text1"/>
        </w:rPr>
      </w:pPr>
      <w:r>
        <w:rPr>
          <w:b/>
          <w:color w:val="000000" w:themeColor="text1"/>
        </w:rPr>
        <w:t xml:space="preserve">Objective: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6066D139" w:rsidR="002B0844" w:rsidRDefault="00A3343F" w:rsidP="00FF21CB">
      <w:pPr>
        <w:spacing w:line="480" w:lineRule="auto"/>
        <w:rPr>
          <w:color w:val="000000" w:themeColor="text1"/>
        </w:rPr>
      </w:pPr>
      <w:r>
        <w:t xml:space="preserve">Cushing’s syndrome manifests in response to chronically elevated levels of glucocorticoids and is often associated with changes in adipose mass and distribution, </w:t>
      </w:r>
      <w:r w:rsidR="00F31BBD">
        <w:t xml:space="preserve">non-alcoholic </w:t>
      </w:r>
      <w:r>
        <w:t>fatty liver</w:t>
      </w:r>
      <w:r w:rsidR="00F31BBD">
        <w:t xml:space="preserve"> disease (NAFLD)</w:t>
      </w:r>
      <w:r w:rsidR="00A30887">
        <w:t xml:space="preserve"> and</w:t>
      </w:r>
      <w:r>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t xml:space="preserve">. </w:t>
      </w:r>
      <w:r w:rsidR="00B36EF4">
        <w:t>While</w:t>
      </w:r>
      <w:r>
        <w:t xml:space="preserve"> Cushing’s </w:t>
      </w:r>
      <w:r w:rsidR="00B36EF4">
        <w:t xml:space="preserve">disease </w:t>
      </w:r>
      <w:r>
        <w:t>is rare,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lastRenderedPageBreak/>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3E27BFD2"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 xml:space="preserve">that chronically elevated glucocorticoids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Obese glucocorticoid</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2321A36A" w:rsidR="00EB0A54" w:rsidRPr="006902F6" w:rsidRDefault="004B1467" w:rsidP="00FF21CB">
      <w:pPr>
        <w:spacing w:line="480" w:lineRule="auto"/>
        <w:rPr>
          <w:rFonts w:eastAsia="Times New Roman" w:cs="Times New Roman"/>
          <w:color w:val="000000" w:themeColor="text1"/>
        </w:rPr>
      </w:pPr>
      <w:r w:rsidRPr="006902F6">
        <w:rPr>
          <w:b/>
          <w:color w:val="000000" w:themeColor="text1"/>
        </w:rPr>
        <w:lastRenderedPageBreak/>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At the </w:t>
      </w:r>
      <w:r w:rsidR="00EB0A54" w:rsidRPr="006902F6">
        <w:rPr>
          <w:rFonts w:eastAsia="Times New Roman" w:cs="Times New Roman"/>
          <w:color w:val="000000" w:themeColor="text1"/>
          <w:shd w:val="clear" w:color="auto" w:fill="FFFFFF"/>
        </w:rPr>
        <w:lastRenderedPageBreak/>
        <w:t>end of treatment, mice were fasted for 16 h</w:t>
      </w:r>
      <w:r w:rsidR="00F27853">
        <w:rPr>
          <w:rFonts w:eastAsia="Times New Roman" w:cs="Times New Roman"/>
          <w:color w:val="000000" w:themeColor="text1"/>
          <w:shd w:val="clear" w:color="auto" w:fill="FFFFFF"/>
        </w:rPr>
        <w:t xml:space="preserve"> beginning a 17:00 h</w:t>
      </w:r>
      <w:bookmarkStart w:id="0" w:name="_GoBack"/>
      <w:bookmarkEnd w:id="0"/>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540D61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4A26F2" w:rsidRPr="006902F6">
        <w:rPr>
          <w:rFonts w:cs="Times New Roman"/>
          <w:color w:val="000000" w:themeColor="text1"/>
        </w:rPr>
        <w:t>ollowing a six hour fast</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 xml:space="preserve">regain to or above 90% </w:t>
      </w:r>
      <w:r w:rsidR="00C86E77" w:rsidRPr="006902F6">
        <w:rPr>
          <w:rFonts w:ascii="Calibri" w:hAnsi="Calibri" w:cs="Arial"/>
          <w:color w:val="000000" w:themeColor="text1"/>
          <w:szCs w:val="22"/>
        </w:rPr>
        <w:lastRenderedPageBreak/>
        <w:t>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54DF53D3" w:rsidR="00873DCF" w:rsidRPr="006902F6" w:rsidRDefault="00343149" w:rsidP="00FF21CB">
      <w:pPr>
        <w:spacing w:line="480" w:lineRule="auto"/>
        <w:rPr>
          <w:rFonts w:eastAsia="Times New Roman" w:cs="Times New Roman"/>
          <w:color w:val="000000" w:themeColor="text1"/>
        </w:rPr>
      </w:pPr>
      <w:r>
        <w:rPr>
          <w:b/>
          <w:color w:val="000000" w:themeColor="text1"/>
        </w:rPr>
        <w:lastRenderedPageBreak/>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w:t>
      </w:r>
      <w:r w:rsidR="00487B74" w:rsidRPr="006902F6">
        <w:rPr>
          <w:rFonts w:cs="Times New Roman"/>
          <w:color w:val="000000" w:themeColor="text1"/>
        </w:rPr>
        <w:lastRenderedPageBreak/>
        <w:t>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w:t>
      </w:r>
      <w:r w:rsidR="00737415">
        <w:rPr>
          <w:color w:val="000000" w:themeColor="text1"/>
        </w:rPr>
        <w:lastRenderedPageBreak/>
        <w:t xml:space="preserve">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7312E1AC"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or treated with glucocortic</w:t>
      </w:r>
      <w:r w:rsidR="00B24C2D">
        <w:rPr>
          <w:color w:val="000000" w:themeColor="text1"/>
        </w:rPr>
        <w:t>oids (d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 xml:space="preserve">Animals were </w:t>
      </w:r>
      <w:r w:rsidR="00DA3579" w:rsidRPr="006902F6">
        <w:rPr>
          <w:color w:val="000000" w:themeColor="text1"/>
        </w:rPr>
        <w:lastRenderedPageBreak/>
        <w:t>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r w:rsidR="001C4E38">
        <w:rPr>
          <w:color w:val="000000" w:themeColor="text1"/>
        </w:rPr>
        <w:t>iWAT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r w:rsidR="001C4E38">
        <w:rPr>
          <w:color w:val="000000" w:themeColor="text1"/>
        </w:rPr>
        <w:t>eWAT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ub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r w:rsidR="001C4E38">
        <w:rPr>
          <w:color w:val="000000" w:themeColor="text1"/>
        </w:rPr>
        <w:t>iWAT</w:t>
      </w:r>
      <w:r w:rsidR="001C4E38" w:rsidRPr="006902F6">
        <w:rPr>
          <w:color w:val="000000" w:themeColor="text1"/>
        </w:rPr>
        <w:t xml:space="preserve"> </w:t>
      </w:r>
      <w:r w:rsidR="00D4046E" w:rsidRPr="006902F6">
        <w:rPr>
          <w:color w:val="000000" w:themeColor="text1"/>
        </w:rPr>
        <w:t xml:space="preserve">or </w:t>
      </w:r>
      <w:r w:rsidR="001C4E38">
        <w:rPr>
          <w:color w:val="000000" w:themeColor="text1"/>
        </w:rPr>
        <w:t>eWAT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lastRenderedPageBreak/>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lastRenderedPageBreak/>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 xml:space="preserve">that glucocorticoid-stimulated </w:t>
      </w:r>
      <w:r w:rsidR="00DD385B" w:rsidRPr="006902F6">
        <w:rPr>
          <w:color w:val="000000" w:themeColor="text1"/>
        </w:rPr>
        <w:lastRenderedPageBreak/>
        <w:t>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w:t>
      </w:r>
      <w:r w:rsidR="007637C8" w:rsidRPr="006902F6">
        <w:rPr>
          <w:color w:val="000000" w:themeColor="text1"/>
        </w:rPr>
        <w:lastRenderedPageBreak/>
        <w:t xml:space="preserve">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w:t>
      </w:r>
      <w:r w:rsidRPr="006902F6">
        <w:rPr>
          <w:color w:val="000000" w:themeColor="text1"/>
        </w:rPr>
        <w:lastRenderedPageBreak/>
        <w:t xml:space="preserve">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RDefault="00D26E2F" w:rsidP="00E13216">
      <w:pPr>
        <w:spacing w:line="480" w:lineRule="auto"/>
        <w:rPr>
          <w:color w:val="000000" w:themeColor="text1"/>
        </w:rPr>
      </w:pPr>
    </w:p>
    <w:p w14:paraId="32CDFF5C" w14:textId="77777777" w:rsidR="00706726" w:rsidRDefault="00706726" w:rsidP="0068384E">
      <w:pPr>
        <w:spacing w:line="480" w:lineRule="auto"/>
      </w:pPr>
      <w:r w:rsidRPr="00E50061">
        <w:rPr>
          <w:b/>
        </w:rPr>
        <w:t>D</w:t>
      </w:r>
      <w:r>
        <w:rPr>
          <w:b/>
        </w:rPr>
        <w:t>eclaration of Interest</w:t>
      </w:r>
      <w:r w:rsidRPr="00E50061">
        <w:rPr>
          <w:b/>
        </w:rPr>
        <w:t>:</w:t>
      </w:r>
      <w:r>
        <w:t xml:space="preserve"> The authors declared no conflict of interest that could be perceived as prejudicing the impartiality of the research reported.</w:t>
      </w:r>
    </w:p>
    <w:p w14:paraId="23CA46F0" w14:textId="77777777" w:rsidR="00706726" w:rsidRDefault="00706726" w:rsidP="0068384E">
      <w:pPr>
        <w:spacing w:line="480" w:lineRule="auto"/>
      </w:pPr>
    </w:p>
    <w:p w14:paraId="221028DA" w14:textId="596561EC" w:rsidR="00706726" w:rsidRPr="004F4F38" w:rsidRDefault="00706726" w:rsidP="0068384E">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sidR="004F4F38">
        <w:rPr>
          <w:color w:val="000000" w:themeColor="text1"/>
        </w:rPr>
        <w:t xml:space="preserve"> and a</w:t>
      </w:r>
      <w:r w:rsidR="004F4F38"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w:t>
      </w:r>
      <w:r w:rsidRPr="006902F6">
        <w:rPr>
          <w:bCs/>
          <w:color w:val="000000" w:themeColor="text1"/>
        </w:rPr>
        <w:lastRenderedPageBreak/>
        <w:t>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We would like to thank the other members of the Bridges laboratory, Thurl Harris (University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w:t>
      </w:r>
      <w:r w:rsidRPr="00245EC7">
        <w:rPr>
          <w:rFonts w:ascii="Calibri" w:eastAsia="Times New Roman" w:hAnsi="Calibri" w:cs="Times New Roman"/>
          <w:noProof/>
        </w:rPr>
        <w:lastRenderedPageBreak/>
        <w:t xml:space="preserve">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w:t>
      </w:r>
      <w:r w:rsidRPr="00245EC7">
        <w:rPr>
          <w:rFonts w:ascii="Calibri" w:eastAsia="Times New Roman" w:hAnsi="Calibri" w:cs="Times New Roman"/>
          <w:noProof/>
        </w:rPr>
        <w:lastRenderedPageBreak/>
        <w:t xml:space="preserve">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w:t>
      </w:r>
      <w:r w:rsidRPr="00245EC7">
        <w:rPr>
          <w:rFonts w:ascii="Calibri" w:eastAsia="Times New Roman" w:hAnsi="Calibri" w:cs="Times New Roman"/>
          <w:noProof/>
        </w:rPr>
        <w:lastRenderedPageBreak/>
        <w:t xml:space="preserve">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w:t>
      </w:r>
      <w:r w:rsidRPr="00245EC7">
        <w:rPr>
          <w:rFonts w:ascii="Calibri" w:eastAsia="Times New Roman" w:hAnsi="Calibri" w:cs="Times New Roman"/>
          <w:noProof/>
        </w:rPr>
        <w:lastRenderedPageBreak/>
        <w:t xml:space="preserve">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w:t>
      </w:r>
      <w:r w:rsidRPr="00245EC7">
        <w:rPr>
          <w:rFonts w:ascii="Calibri" w:eastAsia="Times New Roman" w:hAnsi="Calibri" w:cs="Times New Roman"/>
          <w:noProof/>
        </w:rPr>
        <w:lastRenderedPageBreak/>
        <w:t>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lastRenderedPageBreak/>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Mouse blood glucose levels during insulin tolerance test (C) and prior to insulin injection (basal; D). Insulin was given via i.p. injection at a concentration of 2.5 U/kg following five weeks of dexamethasone (NCD n=12; HFD n=12) or vehicle (NCD n=12; HFD n=12) treatment and 17 weeks of diet. Mouse glucose infusion rate (GIR; E) and endogenous glucose production (EGP;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lipogenic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lastRenderedPageBreak/>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Triglyceride levels (A), glycerol released in media (B), qPCR of lipolytic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lastRenderedPageBreak/>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lastRenderedPageBreak/>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D57C9" w14:textId="77777777" w:rsidR="00AA1071" w:rsidRDefault="00AA1071" w:rsidP="001975C6">
      <w:r>
        <w:separator/>
      </w:r>
    </w:p>
  </w:endnote>
  <w:endnote w:type="continuationSeparator" w:id="0">
    <w:p w14:paraId="728C0303" w14:textId="77777777" w:rsidR="00AA1071" w:rsidRDefault="00AA1071"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45EC7">
      <w:rPr>
        <w:caps/>
        <w:noProof/>
        <w:color w:val="5B9BD5" w:themeColor="accent1"/>
      </w:rPr>
      <w:t>32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5A343" w14:textId="77777777" w:rsidR="00AA1071" w:rsidRDefault="00AA1071" w:rsidP="001975C6">
      <w:r>
        <w:separator/>
      </w:r>
    </w:p>
  </w:footnote>
  <w:footnote w:type="continuationSeparator" w:id="0">
    <w:p w14:paraId="0CBC6037" w14:textId="77777777" w:rsidR="00AA1071" w:rsidRDefault="00AA1071"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3373"/>
    <w:rsid w:val="001E37D2"/>
    <w:rsid w:val="001E38F5"/>
    <w:rsid w:val="001E4F13"/>
    <w:rsid w:val="001E535C"/>
    <w:rsid w:val="001E582E"/>
    <w:rsid w:val="001E5D86"/>
    <w:rsid w:val="001E667A"/>
    <w:rsid w:val="001E66B0"/>
    <w:rsid w:val="001E66C4"/>
    <w:rsid w:val="001F0B65"/>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754A"/>
    <w:rsid w:val="00517A7B"/>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1071"/>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2E84"/>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B759E-7000-CC4A-A631-C36BAE532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32</Pages>
  <Words>29795</Words>
  <Characters>169837</Characters>
  <Application>Microsoft Macintosh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394</cp:revision>
  <cp:lastPrinted>2017-12-21T16:12:00Z</cp:lastPrinted>
  <dcterms:created xsi:type="dcterms:W3CDTF">2017-08-21T12:00:00Z</dcterms:created>
  <dcterms:modified xsi:type="dcterms:W3CDTF">2018-02-07T17:53:00Z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