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7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proofErr w:type="spellStart"/>
      <w:r w:rsidR="00D6022E" w:rsidRPr="009C4CFA">
        <w:rPr>
          <w:rFonts w:cs="Times New Roman"/>
          <w:i/>
        </w:rPr>
        <w:t>Actb</w:t>
      </w:r>
      <w:commentRangeEnd w:id="80"/>
      <w:proofErr w:type="spellEnd"/>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 xml:space="preserve">in mice via </w:t>
      </w:r>
      <w:proofErr w:type="spellStart"/>
      <w:r>
        <w:t>EchoMRI</w:t>
      </w:r>
      <w:proofErr w:type="spellEnd"/>
      <w:r>
        <w:t>.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 xml:space="preserve">2.7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5A7E48F0"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del w:id="147" w:author="Dave Bridges" w:date="2017-08-11T11:37:00Z">
        <w:r w:rsidR="00A112BE" w:rsidDel="00467863">
          <w:rPr>
            <w:color w:val="000000" w:themeColor="text1"/>
          </w:rPr>
          <w:delText xml:space="preserve">measured </w:delText>
        </w:r>
        <w:r w:rsidR="00BD56C3" w:rsidDel="00467863">
          <w:rPr>
            <w:color w:val="000000" w:themeColor="text1"/>
          </w:rPr>
          <w:delText xml:space="preserve">the by-products of triglyceride breakdown, </w:delText>
        </w:r>
      </w:del>
      <w:r w:rsidR="00BD56C3">
        <w:rPr>
          <w:color w:val="000000" w:themeColor="text1"/>
        </w:rPr>
        <w:t>gly</w:t>
      </w:r>
      <w:r w:rsidR="008254B0">
        <w:rPr>
          <w:color w:val="000000" w:themeColor="text1"/>
        </w:rPr>
        <w:t xml:space="preserve">cerol </w:t>
      </w:r>
      <w:del w:id="148" w:author="Dave Bridges" w:date="2017-08-11T11:37:00Z">
        <w:r w:rsidR="008254B0" w:rsidDel="00467863">
          <w:rPr>
            <w:color w:val="000000" w:themeColor="text1"/>
          </w:rPr>
          <w:delText>and free fatty acids</w:delText>
        </w:r>
      </w:del>
      <w:ins w:id="149" w:author="Dave Bridges" w:date="2017-08-11T11:37:00Z">
        <w:r w:rsidR="00467863">
          <w:rPr>
            <w:color w:val="000000" w:themeColor="text1"/>
          </w:rPr>
          <w:t>levels in animals chronically exposed to glucocorticoids,</w:t>
        </w:r>
      </w:ins>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del w:id="150" w:author="Dave Bridges" w:date="2017-08-11T11:37:00Z">
        <w:r w:rsidR="00850A4C" w:rsidDel="00467863">
          <w:rPr>
            <w:color w:val="000000" w:themeColor="text1"/>
          </w:rPr>
          <w:delText xml:space="preserve"> </w:delText>
        </w:r>
      </w:del>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del w:id="151" w:author="Dave Bridges" w:date="2017-08-11T11:38:00Z">
        <w:r w:rsidR="004A5E48" w:rsidDel="00467863">
          <w:rPr>
            <w:color w:val="000000" w:themeColor="text1"/>
          </w:rPr>
          <w:delText xml:space="preserve">Serum free fatty acids and glycerol were measured for each of these conditions. </w:delText>
        </w:r>
      </w:del>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del w:id="152" w:author="Dave Bridges" w:date="2017-08-11T11:38:00Z">
        <w:r w:rsidR="00A2566C" w:rsidDel="00467863">
          <w:rPr>
            <w:color w:val="000000" w:themeColor="text1"/>
          </w:rPr>
          <w:delText xml:space="preserve">basal </w:delText>
        </w:r>
      </w:del>
      <w:ins w:id="153" w:author="Dave Bridges" w:date="2017-08-11T11:38:00Z">
        <w:r w:rsidR="00467863">
          <w:rPr>
            <w:color w:val="000000" w:themeColor="text1"/>
          </w:rPr>
          <w:t>the fed</w:t>
        </w:r>
        <w:r w:rsidR="00467863">
          <w:rPr>
            <w:color w:val="000000" w:themeColor="text1"/>
          </w:rPr>
          <w:t xml:space="preserve"> </w:t>
        </w:r>
      </w:ins>
      <w:r w:rsidR="00A2566C">
        <w:rPr>
          <w:color w:val="000000" w:themeColor="text1"/>
        </w:rPr>
        <w:t>(</w:t>
      </w:r>
      <w:del w:id="154" w:author="Dave Bridges" w:date="2017-08-11T11:38:00Z">
        <w:r w:rsidR="00A2566C" w:rsidDel="00467863">
          <w:rPr>
            <w:color w:val="000000" w:themeColor="text1"/>
          </w:rPr>
          <w:delText>p&lt;0.01</w:delText>
        </w:r>
        <w:r w:rsidR="00001E0D" w:rsidDel="00467863">
          <w:rPr>
            <w:color w:val="000000" w:themeColor="text1"/>
          </w:rPr>
          <w:delText>;</w:delText>
        </w:r>
        <w:r w:rsidR="00001E0D" w:rsidRPr="00001E0D" w:rsidDel="00467863">
          <w:rPr>
            <w:color w:val="000000" w:themeColor="text1"/>
          </w:rPr>
          <w:delText xml:space="preserve"> </w:delText>
        </w:r>
        <w:commentRangeStart w:id="155"/>
        <w:r w:rsidR="00001E0D" w:rsidDel="00467863">
          <w:rPr>
            <w:color w:val="000000" w:themeColor="text1"/>
          </w:rPr>
          <w:delText xml:space="preserve">XX </w:delText>
        </w:r>
        <w:commentRangeEnd w:id="155"/>
        <w:r w:rsidR="00001E0D" w:rsidDel="00467863">
          <w:rPr>
            <w:rStyle w:val="CommentReference"/>
          </w:rPr>
          <w:commentReference w:id="155"/>
        </w:r>
        <w:r w:rsidR="00001E0D" w:rsidDel="00467863">
          <w:rPr>
            <w:color w:val="000000" w:themeColor="text1"/>
          </w:rPr>
          <w:delText>fold</w:delText>
        </w:r>
      </w:del>
      <w:ins w:id="156" w:author="Dave Bridges" w:date="2017-08-11T11:38:00Z">
        <w:r w:rsidR="00467863">
          <w:rPr>
            <w:color w:val="000000" w:themeColor="text1"/>
          </w:rPr>
          <w:t>2.9 fold</w:t>
        </w:r>
      </w:ins>
      <w:r w:rsidR="00A2566C">
        <w:rPr>
          <w:color w:val="000000" w:themeColor="text1"/>
        </w:rPr>
        <w:t>), fasted (</w:t>
      </w:r>
      <w:del w:id="157" w:author="Dave Bridges" w:date="2017-08-11T11:38:00Z">
        <w:r w:rsidR="00A2566C" w:rsidDel="00467863">
          <w:rPr>
            <w:color w:val="000000" w:themeColor="text1"/>
          </w:rPr>
          <w:delText>p=0.01</w:delText>
        </w:r>
        <w:r w:rsidR="00001E0D" w:rsidDel="00467863">
          <w:rPr>
            <w:color w:val="000000" w:themeColor="text1"/>
          </w:rPr>
          <w:delText xml:space="preserve">; </w:delText>
        </w:r>
        <w:commentRangeStart w:id="158"/>
        <w:r w:rsidR="00001E0D" w:rsidDel="00467863">
          <w:rPr>
            <w:color w:val="000000" w:themeColor="text1"/>
          </w:rPr>
          <w:delText>XX</w:delText>
        </w:r>
      </w:del>
      <w:ins w:id="159" w:author="Dave Bridges" w:date="2017-08-11T11:38:00Z">
        <w:r w:rsidR="00467863">
          <w:rPr>
            <w:color w:val="000000" w:themeColor="text1"/>
          </w:rPr>
          <w:t>1.5</w:t>
        </w:r>
      </w:ins>
      <w:r w:rsidR="00001E0D">
        <w:rPr>
          <w:color w:val="000000" w:themeColor="text1"/>
        </w:rPr>
        <w:t xml:space="preserve"> </w:t>
      </w:r>
      <w:commentRangeEnd w:id="158"/>
      <w:r w:rsidR="00001E0D">
        <w:rPr>
          <w:rStyle w:val="CommentReference"/>
        </w:rPr>
        <w:commentReference w:id="15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w:t>
      </w:r>
      <w:del w:id="160" w:author="Dave Bridges" w:date="2017-08-11T11:38:00Z">
        <w:r w:rsidR="00A2566C" w:rsidDel="00467863">
          <w:rPr>
            <w:color w:val="000000" w:themeColor="text1"/>
          </w:rPr>
          <w:delText>p&lt;0.01</w:delText>
        </w:r>
        <w:r w:rsidR="00001E0D" w:rsidDel="00467863">
          <w:rPr>
            <w:color w:val="000000" w:themeColor="text1"/>
          </w:rPr>
          <w:delText xml:space="preserve">; </w:delText>
        </w:r>
        <w:commentRangeStart w:id="161"/>
        <w:r w:rsidR="00001E0D" w:rsidDel="00467863">
          <w:rPr>
            <w:color w:val="000000" w:themeColor="text1"/>
          </w:rPr>
          <w:delText>XX</w:delText>
        </w:r>
      </w:del>
      <w:ins w:id="162" w:author="Dave Bridges" w:date="2017-08-11T11:38:00Z">
        <w:r w:rsidR="00467863">
          <w:rPr>
            <w:color w:val="000000" w:themeColor="text1"/>
          </w:rPr>
          <w:t>1.4</w:t>
        </w:r>
      </w:ins>
      <w:r w:rsidR="00001E0D">
        <w:rPr>
          <w:color w:val="000000" w:themeColor="text1"/>
        </w:rPr>
        <w:t xml:space="preserve"> </w:t>
      </w:r>
      <w:commentRangeEnd w:id="161"/>
      <w:r w:rsidR="00001E0D">
        <w:rPr>
          <w:rStyle w:val="CommentReference"/>
        </w:rPr>
        <w:commentReference w:id="161"/>
      </w:r>
      <w:r w:rsidR="00001E0D">
        <w:rPr>
          <w:color w:val="000000" w:themeColor="text1"/>
        </w:rPr>
        <w:t>fold</w:t>
      </w:r>
      <w:ins w:id="163" w:author="Dave Bridges" w:date="2017-08-11T11:39:00Z">
        <w:r w:rsidR="00467863">
          <w:rPr>
            <w:color w:val="000000" w:themeColor="text1"/>
          </w:rPr>
          <w:t>, all groups p&lt;0.05</w:t>
        </w:r>
      </w:ins>
      <w:r w:rsidR="00A2566C">
        <w:rPr>
          <w:color w:val="000000" w:themeColor="text1"/>
        </w:rPr>
        <w:t xml:space="preserve">) </w:t>
      </w:r>
      <w:del w:id="164" w:author="Dave Bridges" w:date="2017-08-11T11:38:00Z">
        <w:r w:rsidR="006B18E4" w:rsidDel="00467863">
          <w:rPr>
            <w:color w:val="000000" w:themeColor="text1"/>
          </w:rPr>
          <w:delText>glycerol</w:delText>
        </w:r>
        <w:r w:rsidR="004E70A0" w:rsidDel="00467863">
          <w:rPr>
            <w:color w:val="000000" w:themeColor="text1"/>
          </w:rPr>
          <w:delText xml:space="preserve"> </w:delText>
        </w:r>
      </w:del>
      <w:ins w:id="165" w:author="Dave Bridges" w:date="2017-08-11T11:38:00Z">
        <w:r w:rsidR="00467863">
          <w:rPr>
            <w:color w:val="000000" w:themeColor="text1"/>
          </w:rPr>
          <w:t xml:space="preserve">conditions, </w:t>
        </w:r>
      </w:ins>
      <w:del w:id="166" w:author="Dave Bridges" w:date="2017-08-11T11:39:00Z">
        <w:r w:rsidR="00A2566C" w:rsidDel="00467863">
          <w:rPr>
            <w:color w:val="000000" w:themeColor="text1"/>
          </w:rPr>
          <w:delText>as well as basal (p&lt;0.01</w:delText>
        </w:r>
        <w:r w:rsidR="00001E0D" w:rsidDel="00467863">
          <w:rPr>
            <w:color w:val="000000" w:themeColor="text1"/>
          </w:rPr>
          <w:delText xml:space="preserve">; </w:delText>
        </w:r>
        <w:commentRangeStart w:id="167"/>
        <w:r w:rsidR="00001E0D" w:rsidDel="00467863">
          <w:rPr>
            <w:color w:val="000000" w:themeColor="text1"/>
          </w:rPr>
          <w:delText xml:space="preserve">XX </w:delText>
        </w:r>
        <w:commentRangeEnd w:id="167"/>
        <w:r w:rsidR="00001E0D" w:rsidDel="00467863">
          <w:rPr>
            <w:rStyle w:val="CommentReference"/>
          </w:rPr>
          <w:commentReference w:id="167"/>
        </w:r>
        <w:r w:rsidR="00001E0D" w:rsidDel="00467863">
          <w:rPr>
            <w:color w:val="000000" w:themeColor="text1"/>
          </w:rPr>
          <w:delText>fold</w:delText>
        </w:r>
        <w:r w:rsidR="00A2566C" w:rsidDel="00467863">
          <w:rPr>
            <w:color w:val="000000" w:themeColor="text1"/>
          </w:rPr>
          <w:delText>) and stimulated (p&lt;0.01</w:delText>
        </w:r>
        <w:r w:rsidR="00001E0D" w:rsidDel="00467863">
          <w:rPr>
            <w:color w:val="000000" w:themeColor="text1"/>
          </w:rPr>
          <w:delText xml:space="preserve">; </w:delText>
        </w:r>
        <w:commentRangeStart w:id="168"/>
        <w:r w:rsidR="00001E0D" w:rsidDel="00467863">
          <w:rPr>
            <w:color w:val="000000" w:themeColor="text1"/>
          </w:rPr>
          <w:delText xml:space="preserve">XX </w:delText>
        </w:r>
        <w:commentRangeEnd w:id="168"/>
        <w:r w:rsidR="00001E0D" w:rsidDel="00467863">
          <w:rPr>
            <w:rStyle w:val="CommentReference"/>
          </w:rPr>
          <w:commentReference w:id="168"/>
        </w:r>
        <w:r w:rsidR="00001E0D" w:rsidDel="00467863">
          <w:rPr>
            <w:color w:val="000000" w:themeColor="text1"/>
          </w:rPr>
          <w:delText>fold</w:delText>
        </w:r>
        <w:r w:rsidR="00A2566C" w:rsidDel="00467863">
          <w:rPr>
            <w:color w:val="000000" w:themeColor="text1"/>
          </w:rPr>
          <w:delText>)</w:delText>
        </w:r>
        <w:r w:rsidR="004E70A0" w:rsidDel="00467863">
          <w:rPr>
            <w:color w:val="000000" w:themeColor="text1"/>
          </w:rPr>
          <w:delText xml:space="preserve"> free fatty acids</w:delText>
        </w:r>
        <w:r w:rsidR="00A2566C" w:rsidDel="00467863">
          <w:rPr>
            <w:color w:val="000000" w:themeColor="text1"/>
          </w:rPr>
          <w:delText xml:space="preserve">, </w:delText>
        </w:r>
      </w:del>
      <w:r w:rsidR="00C47964">
        <w:rPr>
          <w:color w:val="000000" w:themeColor="text1"/>
        </w:rPr>
        <w:t>indicating</w:t>
      </w:r>
      <w:r w:rsidR="00DD7567">
        <w:rPr>
          <w:color w:val="000000" w:themeColor="text1"/>
        </w:rPr>
        <w:t xml:space="preserve"> </w:t>
      </w:r>
      <w:ins w:id="169" w:author="Dave Bridges" w:date="2017-08-11T11:39:00Z">
        <w:r w:rsidR="00467863">
          <w:rPr>
            <w:color w:val="000000" w:themeColor="text1"/>
          </w:rPr>
          <w:t xml:space="preserve">that </w:t>
        </w:r>
      </w:ins>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170" w:author="Dave Bridges" w:date="2017-08-11T11:39:00Z">
        <w:r w:rsidR="00001E0D" w:rsidDel="00467863">
          <w:rPr>
            <w:color w:val="000000" w:themeColor="text1"/>
          </w:rPr>
          <w:delText xml:space="preserve">lean </w:delText>
        </w:r>
      </w:del>
      <w:ins w:id="171" w:author="Dave Bridges" w:date="2017-08-11T11:39:00Z">
        <w:r w:rsidR="00467863">
          <w:rPr>
            <w:color w:val="000000" w:themeColor="text1"/>
          </w:rPr>
          <w:t>chow-fed</w:t>
        </w:r>
        <w:r w:rsidR="00467863">
          <w:rPr>
            <w:color w:val="000000" w:themeColor="text1"/>
          </w:rPr>
          <w:t xml:space="preserve"> </w:t>
        </w:r>
      </w:ins>
      <w:r w:rsidR="00A7294B">
        <w:rPr>
          <w:color w:val="000000" w:themeColor="text1"/>
        </w:rPr>
        <w:t>mice</w:t>
      </w:r>
      <w:ins w:id="172" w:author="Dave Bridges" w:date="2017-08-11T11:40:00Z">
        <w:r w:rsidR="00467863">
          <w:rPr>
            <w:color w:val="000000" w:themeColor="text1"/>
          </w:rPr>
          <w:t xml:space="preserve">, as has been previously </w:t>
        </w:r>
        <w:commentRangeStart w:id="173"/>
        <w:r w:rsidR="00467863">
          <w:rPr>
            <w:color w:val="000000" w:themeColor="text1"/>
          </w:rPr>
          <w:t>reported</w:t>
        </w:r>
        <w:commentRangeEnd w:id="173"/>
        <w:r w:rsidR="00467863">
          <w:rPr>
            <w:rStyle w:val="CommentReference"/>
          </w:rPr>
          <w:commentReference w:id="173"/>
        </w:r>
      </w:ins>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w:t>
      </w:r>
      <w:bookmarkStart w:id="174" w:name="_GoBack"/>
      <w:bookmarkEnd w:id="174"/>
      <w:r w:rsidR="006066A2">
        <w:rPr>
          <w:color w:val="000000" w:themeColor="text1"/>
        </w:rPr>
        <w:t xml:space="preserve">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75"/>
      <w:r w:rsidR="006066A2">
        <w:rPr>
          <w:color w:val="000000" w:themeColor="text1"/>
        </w:rPr>
        <w:t>p</w:t>
      </w:r>
      <w:commentRangeEnd w:id="175"/>
      <w:r w:rsidR="006066A2">
        <w:rPr>
          <w:rStyle w:val="CommentReference"/>
        </w:rPr>
        <w:commentReference w:id="175"/>
      </w:r>
      <w:r w:rsidR="006066A2">
        <w:rPr>
          <w:color w:val="000000" w:themeColor="text1"/>
        </w:rPr>
        <w:t xml:space="preserve">=; </w:t>
      </w:r>
      <w:commentRangeStart w:id="176"/>
      <w:r w:rsidR="00001E0D">
        <w:rPr>
          <w:color w:val="000000" w:themeColor="text1"/>
        </w:rPr>
        <w:t xml:space="preserve">XX </w:t>
      </w:r>
      <w:commentRangeEnd w:id="176"/>
      <w:r w:rsidR="00001E0D">
        <w:rPr>
          <w:rStyle w:val="CommentReference"/>
        </w:rPr>
        <w:commentReference w:id="176"/>
      </w:r>
      <w:proofErr w:type="gramStart"/>
      <w:r w:rsidR="00001E0D">
        <w:rPr>
          <w:color w:val="000000" w:themeColor="text1"/>
        </w:rPr>
        <w:t>fold ;</w:t>
      </w:r>
      <w:proofErr w:type="gramEnd"/>
      <w:r w:rsidR="00001E0D">
        <w:rPr>
          <w:color w:val="000000" w:themeColor="text1"/>
        </w:rPr>
        <w:t xml:space="preserve"> </w:t>
      </w:r>
      <w:commentRangeStart w:id="177"/>
      <w:r w:rsidR="006066A2">
        <w:rPr>
          <w:color w:val="000000" w:themeColor="text1"/>
        </w:rPr>
        <w:t>Figure 4F</w:t>
      </w:r>
      <w:commentRangeEnd w:id="177"/>
      <w:r w:rsidR="00001E0D">
        <w:rPr>
          <w:rStyle w:val="CommentReference"/>
        </w:rPr>
        <w:commentReference w:id="177"/>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78"/>
      <w:r w:rsidR="00656421">
        <w:rPr>
          <w:color w:val="000000" w:themeColor="text1"/>
        </w:rPr>
        <w:t>017</w:t>
      </w:r>
      <w:commentRangeEnd w:id="178"/>
      <w:r w:rsidR="00001E0D">
        <w:rPr>
          <w:rStyle w:val="CommentReference"/>
        </w:rPr>
        <w:commentReference w:id="17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79"/>
      <w:r w:rsidR="00250376">
        <w:rPr>
          <w:color w:val="000000" w:themeColor="text1"/>
        </w:rPr>
        <w:t xml:space="preserve">ATGL </w:t>
      </w:r>
      <w:commentRangeStart w:id="180"/>
      <w:r w:rsidR="00250376">
        <w:rPr>
          <w:color w:val="000000" w:themeColor="text1"/>
        </w:rPr>
        <w:t>and</w:t>
      </w:r>
      <w:commentRangeEnd w:id="180"/>
      <w:r w:rsidR="00CB723C">
        <w:rPr>
          <w:rStyle w:val="CommentReference"/>
        </w:rPr>
        <w:commentReference w:id="180"/>
      </w:r>
      <w:r w:rsidR="00250376">
        <w:rPr>
          <w:color w:val="000000" w:themeColor="text1"/>
        </w:rPr>
        <w:t xml:space="preserve"> HSL</w:t>
      </w:r>
      <w:commentRangeEnd w:id="179"/>
      <w:r w:rsidR="00354C68">
        <w:rPr>
          <w:rStyle w:val="CommentReference"/>
        </w:rPr>
        <w:commentReference w:id="17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81"/>
      <w:r>
        <w:rPr>
          <w:color w:val="000000" w:themeColor="text1"/>
        </w:rPr>
        <w:t>mice</w:t>
      </w:r>
      <w:commentRangeEnd w:id="181"/>
      <w:r w:rsidR="00D555D6">
        <w:rPr>
          <w:rStyle w:val="CommentReference"/>
        </w:rPr>
        <w:commentReference w:id="18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82"/>
      <w:commentRangeStart w:id="183"/>
      <w:commentRangeStart w:id="184"/>
      <w:r>
        <w:rPr>
          <w:color w:val="000000" w:themeColor="text1"/>
        </w:rPr>
        <w:t>These</w:t>
      </w:r>
      <w:commentRangeEnd w:id="182"/>
      <w:r w:rsidR="006139F2">
        <w:rPr>
          <w:rStyle w:val="CommentReference"/>
        </w:rPr>
        <w:commentReference w:id="182"/>
      </w:r>
      <w:commentRangeEnd w:id="183"/>
      <w:r w:rsidR="00001E0D">
        <w:rPr>
          <w:rStyle w:val="CommentReference"/>
        </w:rPr>
        <w:commentReference w:id="183"/>
      </w:r>
      <w:commentRangeEnd w:id="184"/>
      <w:r w:rsidR="00D770B9">
        <w:rPr>
          <w:rStyle w:val="CommentReference"/>
        </w:rPr>
        <w:commentReference w:id="18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85"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86"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87" w:author="Microsoft Office User" w:date="2017-08-08T13:56:00Z">
        <w:r w:rsidR="00182A3A">
          <w:rPr>
            <w:color w:val="000000" w:themeColor="text1"/>
          </w:rPr>
          <w:t>ere</w:t>
        </w:r>
      </w:ins>
      <w:del w:id="188"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89"/>
      <w:r w:rsidR="00B32E07">
        <w:rPr>
          <w:color w:val="000000" w:themeColor="text1"/>
        </w:rPr>
        <w:t>glucocorticoids</w:t>
      </w:r>
      <w:commentRangeEnd w:id="189"/>
      <w:r w:rsidR="00B32E07">
        <w:rPr>
          <w:rStyle w:val="CommentReference"/>
        </w:rPr>
        <w:commentReference w:id="189"/>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90"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91"/>
      <w:r>
        <w:rPr>
          <w:color w:val="000000" w:themeColor="text1"/>
        </w:rPr>
        <w:t>studies</w:t>
      </w:r>
      <w:commentRangeEnd w:id="191"/>
      <w:r w:rsidR="00142E5E">
        <w:rPr>
          <w:rStyle w:val="CommentReference"/>
        </w:rPr>
        <w:commentReference w:id="191"/>
      </w:r>
      <w:ins w:id="192" w:author="Microsoft Office User" w:date="2017-08-09T12:25:00Z">
        <w:r w:rsidR="00D646E1">
          <w:rPr>
            <w:color w:val="000000" w:themeColor="text1"/>
          </w:rPr>
          <w:t xml:space="preserve"> </w:t>
        </w:r>
      </w:ins>
      <w:ins w:id="193"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94"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95"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96" w:author="Microsoft Office User" w:date="2017-08-09T11:29:00Z">
        <w:r w:rsidR="00C440FD">
          <w:rPr>
            <w:color w:val="000000" w:themeColor="text1"/>
          </w:rPr>
          <w:t>, a key function of these hormones</w:t>
        </w:r>
      </w:ins>
      <w:ins w:id="197" w:author="Microsoft Office User" w:date="2017-08-09T11:08:00Z">
        <w:r w:rsidR="00FE35A0">
          <w:rPr>
            <w:color w:val="000000" w:themeColor="text1"/>
          </w:rPr>
          <w:t>.</w:t>
        </w:r>
      </w:ins>
      <w:r>
        <w:rPr>
          <w:color w:val="000000" w:themeColor="text1"/>
        </w:rPr>
        <w:t xml:space="preserve"> </w:t>
      </w:r>
      <w:ins w:id="198"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99" w:author="Microsoft Office User" w:date="2017-08-09T11:12:00Z">
        <w:r w:rsidR="00FE35A0">
          <w:rPr>
            <w:color w:val="000000" w:themeColor="text1"/>
          </w:rPr>
          <w:fldChar w:fldCharType="separate"/>
        </w:r>
      </w:ins>
      <w:r w:rsidR="00D646E1" w:rsidRPr="00D646E1">
        <w:rPr>
          <w:noProof/>
          <w:color w:val="000000" w:themeColor="text1"/>
        </w:rPr>
        <w:t>(53)</w:t>
      </w:r>
      <w:ins w:id="200" w:author="Microsoft Office User" w:date="2017-08-09T11:12:00Z">
        <w:r w:rsidR="00FE35A0">
          <w:rPr>
            <w:color w:val="000000" w:themeColor="text1"/>
          </w:rPr>
          <w:fldChar w:fldCharType="end"/>
        </w:r>
        <w:r w:rsidR="00FE35A0">
          <w:rPr>
            <w:color w:val="000000" w:themeColor="text1"/>
          </w:rPr>
          <w:t>.</w:t>
        </w:r>
      </w:ins>
      <w:ins w:id="201" w:author="Microsoft Office User" w:date="2017-08-09T11:13:00Z">
        <w:r w:rsidR="004574B3">
          <w:rPr>
            <w:color w:val="000000" w:themeColor="text1"/>
          </w:rPr>
          <w:t xml:space="preserve"> </w:t>
        </w:r>
      </w:ins>
      <w:ins w:id="202"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03" w:author="Microsoft Office User" w:date="2017-08-09T11:32:00Z">
        <w:r w:rsidR="00562E5E">
          <w:rPr>
            <w:color w:val="000000" w:themeColor="text1"/>
          </w:rPr>
          <w:t>s</w:t>
        </w:r>
      </w:ins>
      <w:ins w:id="204" w:author="Microsoft Office User" w:date="2017-08-09T11:19:00Z">
        <w:r w:rsidR="003563CC">
          <w:rPr>
            <w:color w:val="000000" w:themeColor="text1"/>
          </w:rPr>
          <w:t xml:space="preserve">is </w:t>
        </w:r>
      </w:ins>
      <w:ins w:id="205" w:author="Microsoft Office User" w:date="2017-08-09T12:37:00Z">
        <w:r w:rsidR="00190BDE">
          <w:rPr>
            <w:color w:val="000000" w:themeColor="text1"/>
          </w:rPr>
          <w:t xml:space="preserve">is also associated with </w:t>
        </w:r>
      </w:ins>
      <w:commentRangeStart w:id="206"/>
      <w:ins w:id="207" w:author="Microsoft Office User" w:date="2017-08-09T11:19:00Z">
        <w:r w:rsidR="003563CC">
          <w:rPr>
            <w:color w:val="000000" w:themeColor="text1"/>
          </w:rPr>
          <w:t>NAFLD</w:t>
        </w:r>
      </w:ins>
      <w:commentRangeEnd w:id="206"/>
      <w:ins w:id="208" w:author="Microsoft Office User" w:date="2017-08-09T11:24:00Z">
        <w:r w:rsidR="000F4220">
          <w:rPr>
            <w:rStyle w:val="CommentReference"/>
          </w:rPr>
          <w:commentReference w:id="206"/>
        </w:r>
      </w:ins>
      <w:ins w:id="209"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210" w:author="Microsoft Office User" w:date="2017-08-09T12:36:00Z">
        <w:r w:rsidR="00190BDE">
          <w:rPr>
            <w:color w:val="000000" w:themeColor="text1"/>
          </w:rPr>
          <w:fldChar w:fldCharType="end"/>
        </w:r>
      </w:ins>
      <w:ins w:id="211" w:author="Microsoft Office User" w:date="2017-08-09T11:19:00Z">
        <w:r w:rsidR="003563CC">
          <w:rPr>
            <w:color w:val="000000" w:themeColor="text1"/>
          </w:rPr>
          <w:t>. We found synergistic elevations in glycerol, indicative of enhance lipolysis, as well as in hepatic fat accumulation</w:t>
        </w:r>
      </w:ins>
      <w:ins w:id="212" w:author="Microsoft Office User" w:date="2017-08-09T11:23:00Z">
        <w:r w:rsidR="000F4220">
          <w:rPr>
            <w:color w:val="000000" w:themeColor="text1"/>
          </w:rPr>
          <w:t xml:space="preserve"> in the HFD-fed dexamethasone-treated mice</w:t>
        </w:r>
      </w:ins>
      <w:ins w:id="213" w:author="Microsoft Office User" w:date="2017-08-09T11:19:00Z">
        <w:r w:rsidR="003563CC">
          <w:rPr>
            <w:color w:val="000000" w:themeColor="text1"/>
          </w:rPr>
          <w:t xml:space="preserve">, but </w:t>
        </w:r>
      </w:ins>
      <w:ins w:id="214" w:author="Microsoft Office User" w:date="2017-08-09T11:21:00Z">
        <w:r w:rsidR="003563CC">
          <w:rPr>
            <w:color w:val="000000" w:themeColor="text1"/>
          </w:rPr>
          <w:t xml:space="preserve">there was no </w:t>
        </w:r>
      </w:ins>
      <w:ins w:id="215" w:author="Microsoft Office User" w:date="2017-08-09T11:24:00Z">
        <w:r w:rsidR="000F4220">
          <w:rPr>
            <w:color w:val="000000" w:themeColor="text1"/>
          </w:rPr>
          <w:t>data to support enhanced</w:t>
        </w:r>
      </w:ins>
      <w:ins w:id="216" w:author="Microsoft Office User" w:date="2017-08-09T11:25:00Z">
        <w:r w:rsidR="005801D2">
          <w:rPr>
            <w:color w:val="000000" w:themeColor="text1"/>
          </w:rPr>
          <w:t xml:space="preserve"> hepatic</w:t>
        </w:r>
      </w:ins>
      <w:ins w:id="217"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18" w:author="Microsoft Office User" w:date="2017-08-09T11:32:00Z">
        <w:r w:rsidR="00E603E5">
          <w:rPr>
            <w:color w:val="000000" w:themeColor="text1"/>
          </w:rPr>
          <w:t xml:space="preserve"> These findings suggest that lipolysis is </w:t>
        </w:r>
      </w:ins>
      <w:ins w:id="219" w:author="Microsoft Office User" w:date="2017-08-09T11:33:00Z">
        <w:r w:rsidR="00E603E5">
          <w:rPr>
            <w:color w:val="000000" w:themeColor="text1"/>
          </w:rPr>
          <w:t xml:space="preserve">driving </w:t>
        </w:r>
        <w:r w:rsidR="00CA3800">
          <w:rPr>
            <w:color w:val="000000" w:themeColor="text1"/>
          </w:rPr>
          <w:t>enhanced</w:t>
        </w:r>
      </w:ins>
      <w:ins w:id="220" w:author="Microsoft Office User" w:date="2017-08-09T11:32:00Z">
        <w:r w:rsidR="00E603E5">
          <w:rPr>
            <w:color w:val="000000" w:themeColor="text1"/>
          </w:rPr>
          <w:t xml:space="preserve"> </w:t>
        </w:r>
      </w:ins>
      <w:ins w:id="221"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22" w:author="Microsoft Office User" w:date="2017-08-08T13:53:00Z"/>
          <w:color w:val="000000" w:themeColor="text1"/>
        </w:rPr>
      </w:pPr>
      <w:del w:id="223"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24"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25"/>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25"/>
      <w:r w:rsidR="0015242A">
        <w:rPr>
          <w:rStyle w:val="CommentReference"/>
        </w:rPr>
        <w:commentReference w:id="225"/>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26"/>
      <w:r w:rsidR="0015242A">
        <w:rPr>
          <w:color w:val="000000" w:themeColor="text1"/>
        </w:rPr>
        <w:t>receptors</w:t>
      </w:r>
      <w:commentRangeEnd w:id="226"/>
      <w:r w:rsidR="0015242A">
        <w:rPr>
          <w:rStyle w:val="CommentReference"/>
        </w:rPr>
        <w:commentReference w:id="226"/>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27"/>
      <w:r w:rsidR="0015242A">
        <w:rPr>
          <w:color w:val="000000" w:themeColor="text1"/>
        </w:rPr>
        <w:t>transcripts</w:t>
      </w:r>
      <w:commentRangeEnd w:id="227"/>
      <w:r w:rsidR="0015242A">
        <w:rPr>
          <w:rStyle w:val="CommentReference"/>
        </w:rPr>
        <w:commentReference w:id="227"/>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28"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29" w:author="Microsoft Office User" w:date="2017-08-09T12:30:00Z">
        <w:r w:rsidR="00102DFF">
          <w:rPr>
            <w:color w:val="000000" w:themeColor="text1"/>
          </w:rPr>
          <w:t>)</w:t>
        </w:r>
      </w:ins>
      <w:ins w:id="230" w:author="Microsoft Office User" w:date="2017-08-09T12:28:00Z">
        <w:r w:rsidR="00A61718">
          <w:rPr>
            <w:color w:val="000000" w:themeColor="text1"/>
          </w:rPr>
          <w:t>, the rate limiting enzyme for</w:t>
        </w:r>
      </w:ins>
      <w:ins w:id="231" w:author="Microsoft Office User" w:date="2017-08-09T12:29:00Z">
        <w:r w:rsidR="00A61718">
          <w:rPr>
            <w:color w:val="000000" w:themeColor="text1"/>
          </w:rPr>
          <w:t xml:space="preserve"> adipose</w:t>
        </w:r>
      </w:ins>
      <w:ins w:id="232" w:author="Microsoft Office User" w:date="2017-08-09T12:28:00Z">
        <w:r w:rsidR="00A61718">
          <w:rPr>
            <w:color w:val="000000" w:themeColor="text1"/>
          </w:rPr>
          <w:t xml:space="preserve"> triglyceride lipolysis</w:t>
        </w:r>
      </w:ins>
      <w:ins w:id="233"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34" w:author="Microsoft Office User" w:date="2017-08-09T11:36:00Z">
        <w:r w:rsidR="001F0B65">
          <w:rPr>
            <w:color w:val="000000" w:themeColor="text1"/>
          </w:rPr>
          <w:t xml:space="preserve">These findings </w:t>
        </w:r>
        <w:commentRangeStart w:id="235"/>
        <w:r w:rsidR="001F0B65">
          <w:rPr>
            <w:color w:val="000000" w:themeColor="text1"/>
          </w:rPr>
          <w:t>are c</w:t>
        </w:r>
      </w:ins>
      <w:del w:id="236" w:author="Microsoft Office User" w:date="2017-08-09T11:36:00Z">
        <w:r w:rsidR="0015242A" w:rsidDel="001F0B65">
          <w:rPr>
            <w:color w:val="000000" w:themeColor="text1"/>
          </w:rPr>
          <w:delText>C</w:delText>
        </w:r>
      </w:del>
      <w:r w:rsidR="0015242A">
        <w:rPr>
          <w:color w:val="000000" w:themeColor="text1"/>
        </w:rPr>
        <w:t>onsistent with</w:t>
      </w:r>
      <w:ins w:id="237" w:author="Microsoft Office User" w:date="2017-08-09T11:38:00Z">
        <w:r w:rsidR="0014428B">
          <w:rPr>
            <w:color w:val="000000" w:themeColor="text1"/>
          </w:rPr>
          <w:t xml:space="preserve"> the strikingly</w:t>
        </w:r>
      </w:ins>
      <w:r w:rsidR="0015242A">
        <w:rPr>
          <w:color w:val="000000" w:themeColor="text1"/>
        </w:rPr>
        <w:t xml:space="preserve"> </w:t>
      </w:r>
      <w:ins w:id="238" w:author="Microsoft Office User" w:date="2017-08-09T11:38:00Z">
        <w:r w:rsidR="0014428B">
          <w:rPr>
            <w:color w:val="000000" w:themeColor="text1"/>
          </w:rPr>
          <w:t xml:space="preserve">similar </w:t>
        </w:r>
      </w:ins>
      <w:del w:id="239"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40" w:author="Microsoft Office User" w:date="2017-08-09T11:37:00Z">
        <w:r w:rsidR="001F0B65">
          <w:rPr>
            <w:color w:val="000000" w:themeColor="text1"/>
          </w:rPr>
          <w:t>synergistic</w:t>
        </w:r>
      </w:ins>
      <w:commentRangeEnd w:id="235"/>
      <w:ins w:id="241" w:author="Microsoft Office User" w:date="2017-08-09T11:41:00Z">
        <w:r w:rsidR="005727CB">
          <w:rPr>
            <w:rStyle w:val="CommentReference"/>
          </w:rPr>
          <w:commentReference w:id="235"/>
        </w:r>
      </w:ins>
      <w:ins w:id="242" w:author="Microsoft Office User" w:date="2017-08-09T11:37:00Z">
        <w:r w:rsidR="001F0B65">
          <w:rPr>
            <w:color w:val="000000" w:themeColor="text1"/>
          </w:rPr>
          <w:t xml:space="preserve"> elevations in</w:t>
        </w:r>
      </w:ins>
      <w:ins w:id="243"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44" w:author="Microsoft Office User" w:date="2017-08-09T12:31:00Z">
        <w:r w:rsidR="0015242A" w:rsidDel="00C927B2">
          <w:rPr>
            <w:color w:val="000000" w:themeColor="text1"/>
          </w:rPr>
          <w:delText xml:space="preserve"> </w:delText>
        </w:r>
      </w:del>
      <w:del w:id="245" w:author="Microsoft Office User" w:date="2017-08-09T11:38:00Z">
        <w:r w:rsidR="0015242A" w:rsidDel="0014428B">
          <w:rPr>
            <w:color w:val="000000" w:themeColor="text1"/>
          </w:rPr>
          <w:delText xml:space="preserve">than </w:delText>
        </w:r>
      </w:del>
      <w:ins w:id="246"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47"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48"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49" w:author="Microsoft Office User" w:date="2017-08-08T13:52:00Z">
        <w:r w:rsidR="000112F1">
          <w:rPr>
            <w:color w:val="000000" w:themeColor="text1"/>
          </w:rPr>
          <w:t>s</w:t>
        </w:r>
      </w:ins>
      <w:r w:rsidR="009C5B00">
        <w:rPr>
          <w:color w:val="000000" w:themeColor="text1"/>
        </w:rPr>
        <w:t xml:space="preserve"> used to treat a multitude of health issues</w:t>
      </w:r>
      <w:ins w:id="25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51"/>
      <w:r w:rsidR="004B1467">
        <w:rPr>
          <w:bCs/>
          <w:iCs/>
        </w:rPr>
        <w:t>Core</w:t>
      </w:r>
      <w:commentRangeEnd w:id="251"/>
      <w:r w:rsidR="004B1467">
        <w:rPr>
          <w:rStyle w:val="CommentReference"/>
        </w:rPr>
        <w:commentReference w:id="251"/>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467863"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7"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29"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5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6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6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6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7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175"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76" w:author="Dave Bridges" w:date="2017-07-31T18:08:00Z" w:initials="DB">
    <w:p w14:paraId="0BDADE3E" w14:textId="77777777" w:rsidR="00CC09E6" w:rsidRDefault="00CC09E6" w:rsidP="00001E0D">
      <w:pPr>
        <w:pStyle w:val="CommentText"/>
      </w:pPr>
      <w:r>
        <w:rPr>
          <w:rStyle w:val="CommentReference"/>
        </w:rPr>
        <w:annotationRef/>
      </w:r>
      <w:r>
        <w:t>add</w:t>
      </w:r>
    </w:p>
  </w:comment>
  <w:comment w:id="17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7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8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7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8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8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8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84"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89"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91"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06" w:author="Microsoft Office User" w:date="2017-08-09T11:24:00Z" w:initials="Office">
    <w:p w14:paraId="78B4B89C" w14:textId="554273A3" w:rsidR="000F4220" w:rsidRDefault="000F4220">
      <w:pPr>
        <w:pStyle w:val="CommentText"/>
      </w:pPr>
      <w:r>
        <w:rPr>
          <w:rStyle w:val="CommentReference"/>
        </w:rPr>
        <w:annotationRef/>
      </w:r>
      <w:r>
        <w:t>cite</w:t>
      </w:r>
    </w:p>
  </w:comment>
  <w:comment w:id="225"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26"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227"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35"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5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39C0F53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13</Pages>
  <Words>32857</Words>
  <Characters>187289</Characters>
  <Application>Microsoft Macintosh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653</cp:revision>
  <dcterms:created xsi:type="dcterms:W3CDTF">2016-09-21T15:11:00Z</dcterms:created>
  <dcterms:modified xsi:type="dcterms:W3CDTF">2017-08-11T15:40:00Z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