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w:t>
      </w:r>
      <w:r w:rsidRPr="00E50061">
        <w:rPr>
          <w:b/>
        </w:rPr>
        <w:t>ing title:</w:t>
      </w:r>
      <w:r>
        <w:t xml:space="preserve"> Glucocorticoids and O</w:t>
      </w:r>
      <w:r>
        <w:t xml:space="preserve">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4E219FC5" w:rsidR="00BC77B6" w:rsidRPr="00BC77B6" w:rsidRDefault="00BC77B6" w:rsidP="00CC12EF">
      <w:r>
        <w:rPr>
          <w:b/>
        </w:rPr>
        <w:t>Word Count:</w:t>
      </w:r>
      <w:r>
        <w:t xml:space="preserve"> 5424</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bookmarkStart w:id="0" w:name="_GoBack"/>
      <w:r w:rsidRPr="004A0C3E">
        <w:rPr>
          <w:b/>
          <w:bCs/>
          <w:color w:val="000000" w:themeColor="text1"/>
        </w:rPr>
        <w:lastRenderedPageBreak/>
        <w:t>Study Importance:</w:t>
      </w:r>
    </w:p>
    <w:bookmarkEnd w:id="0"/>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2EB0B3A9" w:rsidR="0003155D" w:rsidRPr="006902F6" w:rsidRDefault="0017598A" w:rsidP="00FF21CB">
      <w:pPr>
        <w:spacing w:line="480" w:lineRule="auto"/>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49AB9451" w:rsidR="006A1504" w:rsidRDefault="00EF0E90" w:rsidP="00FF21CB">
      <w:pPr>
        <w:spacing w:line="480" w:lineRule="auto"/>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lastRenderedPageBreak/>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F21CB">
      <w:pPr>
        <w:spacing w:line="480" w:lineRule="auto"/>
        <w:rPr>
          <w:color w:val="000000" w:themeColor="text1"/>
        </w:rPr>
      </w:pPr>
    </w:p>
    <w:p w14:paraId="170DB107" w14:textId="1342408E"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0CE20BD1"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1344A8C8" w:rsidR="00AE79F4" w:rsidRPr="006902F6" w:rsidRDefault="003E5E79" w:rsidP="00FF21CB">
      <w:pPr>
        <w:spacing w:line="480" w:lineRule="auto"/>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w:t>
      </w:r>
      <w:r w:rsidR="008C41F3" w:rsidRPr="006902F6">
        <w:rPr>
          <w:color w:val="000000" w:themeColor="text1"/>
        </w:rPr>
        <w:lastRenderedPageBreak/>
        <w:t>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9FF061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CD23235"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 xml:space="preserve">as </w:t>
      </w:r>
      <w:r w:rsidR="00F46BC5">
        <w:rPr>
          <w:rFonts w:cs="Times New Roman"/>
          <w:color w:val="000000" w:themeColor="text1"/>
        </w:rPr>
        <w:lastRenderedPageBreak/>
        <w:t>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w:t>
      </w:r>
      <w:r w:rsidR="00C86E77" w:rsidRPr="006902F6">
        <w:rPr>
          <w:rFonts w:ascii="Calibri" w:hAnsi="Calibri" w:cs="Arial"/>
          <w:color w:val="000000" w:themeColor="text1"/>
        </w:rPr>
        <w:lastRenderedPageBreak/>
        <w:t>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0E97B10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xml:space="preserve">, streptomycin and </w:t>
      </w:r>
      <w:r w:rsidR="00B90861" w:rsidRPr="006902F6">
        <w:rPr>
          <w:color w:val="000000" w:themeColor="text1"/>
        </w:rPr>
        <w:lastRenderedPageBreak/>
        <w:t>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1B172EB"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611F0C79"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2828F515"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loading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57F3530"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2B5B4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w:t>
      </w:r>
      <w:r w:rsidR="00222D60">
        <w:rPr>
          <w:color w:val="000000" w:themeColor="text1"/>
        </w:rPr>
        <w:lastRenderedPageBreak/>
        <w:t xml:space="preserve">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9ABCE7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6FD9467B"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w:t>
      </w:r>
      <w:r w:rsidR="0086228C" w:rsidRPr="006902F6">
        <w:rPr>
          <w:color w:val="000000" w:themeColor="text1"/>
        </w:rPr>
        <w:lastRenderedPageBreak/>
        <w:t xml:space="preserve">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rsidP="00E13216">
      <w:pPr>
        <w:spacing w:line="480" w:lineRule="auto"/>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 xml:space="preserve">ulin </w:t>
      </w:r>
      <w:r w:rsidR="003E7C21" w:rsidRPr="006902F6">
        <w:rPr>
          <w:color w:val="000000" w:themeColor="text1"/>
        </w:rPr>
        <w:lastRenderedPageBreak/>
        <w:t>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D71D61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 xml:space="preserve">Consistent </w:t>
      </w:r>
      <w:r w:rsidR="00D473FD" w:rsidRPr="006902F6">
        <w:rPr>
          <w:color w:val="000000" w:themeColor="text1"/>
        </w:rPr>
        <w:lastRenderedPageBreak/>
        <w:t>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3874C035" w:rsidR="00472706" w:rsidRPr="006902F6" w:rsidRDefault="00271BB3" w:rsidP="00E13216">
      <w:pPr>
        <w:spacing w:line="480" w:lineRule="auto"/>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rsidP="00E13216">
      <w:pPr>
        <w:spacing w:line="480" w:lineRule="auto"/>
        <w:rPr>
          <w:color w:val="000000" w:themeColor="text1"/>
        </w:rPr>
      </w:pPr>
    </w:p>
    <w:p w14:paraId="5E9492F1" w14:textId="20BE3FA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 xml:space="preserve">dexamethasone-treated </w:t>
      </w:r>
      <w:r w:rsidRPr="006902F6">
        <w:rPr>
          <w:color w:val="000000" w:themeColor="text1"/>
        </w:rPr>
        <w:lastRenderedPageBreak/>
        <w:t>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367AE572" w:rsidR="00990237" w:rsidRDefault="00C1438E" w:rsidP="00E13216">
      <w:pPr>
        <w:spacing w:line="480" w:lineRule="auto"/>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13216">
      <w:pPr>
        <w:spacing w:line="480" w:lineRule="auto"/>
        <w:rPr>
          <w:color w:val="000000" w:themeColor="text1"/>
        </w:rPr>
      </w:pPr>
    </w:p>
    <w:p w14:paraId="34AF8A1F" w14:textId="18B7D212" w:rsidR="00830B0C" w:rsidRPr="006902F6" w:rsidRDefault="00C1438E" w:rsidP="00E13216">
      <w:pPr>
        <w:spacing w:line="480" w:lineRule="auto"/>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lastRenderedPageBreak/>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13216">
      <w:pPr>
        <w:spacing w:line="480" w:lineRule="auto"/>
        <w:rPr>
          <w:color w:val="000000" w:themeColor="text1"/>
        </w:rPr>
      </w:pPr>
    </w:p>
    <w:p w14:paraId="7FCCABF5" w14:textId="0C7AC724"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13216">
      <w:pPr>
        <w:spacing w:line="480" w:lineRule="auto"/>
        <w:rPr>
          <w:color w:val="000000" w:themeColor="text1"/>
        </w:rPr>
      </w:pPr>
    </w:p>
    <w:p w14:paraId="59378091" w14:textId="6750F63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w:t>
      </w:r>
      <w:r w:rsidR="00FE35A0" w:rsidRPr="006902F6">
        <w:rPr>
          <w:color w:val="000000" w:themeColor="text1"/>
        </w:rPr>
        <w:lastRenderedPageBreak/>
        <w:t xml:space="preserve">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1CD3293E" w14:textId="2803144B"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1FD1BCA3" w:rsidR="00CD1457" w:rsidRPr="006902F6" w:rsidRDefault="00CD1457" w:rsidP="00E13216">
      <w:pPr>
        <w:spacing w:line="480" w:lineRule="auto"/>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 xml:space="preserve">Further studies are </w:t>
      </w:r>
      <w:r w:rsidR="0015242A" w:rsidRPr="006902F6">
        <w:rPr>
          <w:color w:val="000000" w:themeColor="text1"/>
        </w:rPr>
        <w:lastRenderedPageBreak/>
        <w:t>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AB658B4"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FF4BE1" w:rsidRDefault="000A7B51" w:rsidP="00E13216">
      <w:pPr>
        <w:widowControl w:val="0"/>
        <w:autoSpaceDE w:val="0"/>
        <w:autoSpaceDN w:val="0"/>
        <w:adjustRightInd w:val="0"/>
        <w:spacing w:before="480"/>
        <w:rPr>
          <w:color w:val="000000" w:themeColor="text1"/>
          <w:sz w:val="32"/>
        </w:rPr>
      </w:pPr>
      <w:r w:rsidRPr="00FF4BE1">
        <w:rPr>
          <w:color w:val="000000" w:themeColor="text1"/>
          <w:sz w:val="32"/>
        </w:rPr>
        <w:lastRenderedPageBreak/>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w:t>
      </w:r>
      <w:r w:rsidRPr="009C426D">
        <w:rPr>
          <w:rFonts w:ascii="Calibri" w:eastAsia="Times New Roman" w:hAnsi="Calibri" w:cs="Times New Roman"/>
          <w:noProof/>
        </w:rPr>
        <w:lastRenderedPageBreak/>
        <w:t xml:space="preserve">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w:t>
      </w:r>
      <w:r w:rsidRPr="009C426D">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C426D">
        <w:rPr>
          <w:rFonts w:ascii="Calibri" w:eastAsia="Times New Roman" w:hAnsi="Calibri" w:cs="Times New Roman"/>
          <w:noProof/>
        </w:rPr>
        <w:lastRenderedPageBreak/>
        <w:t xml:space="preserve">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w:t>
      </w:r>
      <w:r w:rsidRPr="009C426D">
        <w:rPr>
          <w:rFonts w:ascii="Calibri" w:eastAsia="Times New Roman" w:hAnsi="Calibri" w:cs="Times New Roman"/>
          <w:noProof/>
        </w:rPr>
        <w:lastRenderedPageBreak/>
        <w:t xml:space="preserve">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9C426D">
        <w:rPr>
          <w:rFonts w:ascii="Calibri" w:eastAsia="Times New Roman" w:hAnsi="Calibri" w:cs="Times New Roman"/>
          <w:noProof/>
        </w:rPr>
        <w:lastRenderedPageBreak/>
        <w:t xml:space="preserve">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CBE6E" w14:textId="77777777" w:rsidR="00B54204" w:rsidRDefault="00B54204" w:rsidP="001975C6">
      <w:r>
        <w:separator/>
      </w:r>
    </w:p>
  </w:endnote>
  <w:endnote w:type="continuationSeparator" w:id="0">
    <w:p w14:paraId="56909B6B" w14:textId="77777777" w:rsidR="00B54204" w:rsidRDefault="00B54204"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1975C6" w:rsidRDefault="001975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A0C3E">
      <w:rPr>
        <w:caps/>
        <w:noProof/>
        <w:color w:val="5B9BD5" w:themeColor="accent1"/>
      </w:rPr>
      <w:t>2</w:t>
    </w:r>
    <w:r>
      <w:rPr>
        <w:caps/>
        <w:noProof/>
        <w:color w:val="5B9BD5" w:themeColor="accent1"/>
      </w:rPr>
      <w:fldChar w:fldCharType="end"/>
    </w:r>
  </w:p>
  <w:p w14:paraId="35E016A9" w14:textId="77777777" w:rsidR="001975C6" w:rsidRDefault="00197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D1EE0" w14:textId="77777777" w:rsidR="00B54204" w:rsidRDefault="00B54204" w:rsidP="001975C6">
      <w:r>
        <w:separator/>
      </w:r>
    </w:p>
  </w:footnote>
  <w:footnote w:type="continuationSeparator" w:id="0">
    <w:p w14:paraId="6BDBAF75" w14:textId="77777777" w:rsidR="00B54204" w:rsidRDefault="00B54204"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0CA2"/>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204"/>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96E03-9174-BB4C-8B58-44C51FDD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27</Pages>
  <Words>33349</Words>
  <Characters>190094</Characters>
  <Application>Microsoft Macintosh Word</Application>
  <DocSecurity>0</DocSecurity>
  <Lines>1584</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198</cp:revision>
  <dcterms:created xsi:type="dcterms:W3CDTF">2017-08-21T12:00:00Z</dcterms:created>
  <dcterms:modified xsi:type="dcterms:W3CDTF">2017-09-18T16:48:00Z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