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ins w:id="0" w:author="Microsoft Office User" w:date="2017-08-14T11:33:00Z"/>
          <w:b/>
          <w:sz w:val="44"/>
        </w:rPr>
      </w:pPr>
      <w:ins w:id="1" w:author="Microsoft Office User" w:date="2017-08-14T10:58:00Z">
        <w:r>
          <w:rPr>
            <w:b/>
            <w:sz w:val="44"/>
          </w:rPr>
          <w:t xml:space="preserve">Glucocorticoid-Induced </w:t>
        </w:r>
      </w:ins>
      <w:r w:rsidR="00E046CC" w:rsidRPr="00E046CC">
        <w:rPr>
          <w:b/>
          <w:sz w:val="44"/>
        </w:rPr>
        <w:t xml:space="preserve">Metabolic </w:t>
      </w:r>
      <w:ins w:id="2" w:author="Microsoft Office User" w:date="2017-08-14T10:58:00Z">
        <w:r>
          <w:rPr>
            <w:b/>
            <w:sz w:val="44"/>
          </w:rPr>
          <w:t>Disturbances</w:t>
        </w:r>
        <w:r>
          <w:rPr>
            <w:b/>
            <w:sz w:val="44"/>
          </w:rPr>
          <w:t xml:space="preserve"> </w:t>
        </w:r>
      </w:ins>
      <w:ins w:id="3" w:author="Microsoft Office User" w:date="2017-08-14T10:57:00Z">
        <w:r>
          <w:rPr>
            <w:b/>
            <w:sz w:val="44"/>
          </w:rPr>
          <w:t>are Exacerbated</w:t>
        </w:r>
      </w:ins>
      <w:r w:rsidR="00E046CC" w:rsidRPr="00E046CC">
        <w:rPr>
          <w:b/>
          <w:sz w:val="44"/>
        </w:rPr>
        <w:t xml:space="preserve"> in Obesity</w:t>
      </w:r>
    </w:p>
    <w:p w14:paraId="6B810AE6" w14:textId="7C44424E" w:rsidR="00D05F0E" w:rsidRDefault="00BE03D9" w:rsidP="00E046CC">
      <w:pPr>
        <w:jc w:val="center"/>
        <w:rPr>
          <w:ins w:id="4" w:author="Microsoft Office User" w:date="2017-08-14T11:37:00Z"/>
          <w:vertAlign w:val="superscript"/>
        </w:rPr>
      </w:pPr>
      <w:ins w:id="5" w:author="Microsoft Office User" w:date="2017-08-14T11:35:00Z">
        <w:r w:rsidRPr="00142FA8">
          <w:t xml:space="preserve">I </w:t>
        </w:r>
      </w:ins>
      <w:ins w:id="6" w:author="Microsoft Office User" w:date="2017-08-14T11:33:00Z">
        <w:r w:rsidRPr="00142FA8">
          <w:t>Harvey</w:t>
        </w:r>
      </w:ins>
      <w:ins w:id="7" w:author="Microsoft Office User" w:date="2017-08-14T11:36:00Z">
        <w:r>
          <w:rPr>
            <w:vertAlign w:val="superscript"/>
          </w:rPr>
          <w:t>1</w:t>
        </w:r>
      </w:ins>
      <w:ins w:id="8" w:author="Microsoft Office User" w:date="2017-08-14T11:45:00Z">
        <w:r w:rsidR="00A57C9E">
          <w:rPr>
            <w:vertAlign w:val="superscript"/>
          </w:rPr>
          <w:t>-3</w:t>
        </w:r>
      </w:ins>
      <w:ins w:id="9" w:author="Microsoft Office User" w:date="2017-08-14T11:33:00Z">
        <w:r w:rsidR="00E71ED1" w:rsidRPr="00142FA8">
          <w:t xml:space="preserve">, </w:t>
        </w:r>
      </w:ins>
      <w:ins w:id="10" w:author="Microsoft Office User" w:date="2017-08-14T11:35:00Z">
        <w:r w:rsidRPr="00142FA8">
          <w:t xml:space="preserve">EJ </w:t>
        </w:r>
      </w:ins>
      <w:ins w:id="11" w:author="Microsoft Office User" w:date="2017-08-14T11:34:00Z">
        <w:r w:rsidRPr="00142FA8">
          <w:t>Stephenson</w:t>
        </w:r>
      </w:ins>
      <w:ins w:id="12" w:author="Microsoft Office User" w:date="2017-08-14T11:36:00Z">
        <w:r>
          <w:rPr>
            <w:vertAlign w:val="superscript"/>
          </w:rPr>
          <w:t>2</w:t>
        </w:r>
      </w:ins>
      <w:ins w:id="13" w:author="Microsoft Office User" w:date="2017-08-14T11:45:00Z">
        <w:r w:rsidR="00A57C9E">
          <w:rPr>
            <w:vertAlign w:val="superscript"/>
          </w:rPr>
          <w:t>,3</w:t>
        </w:r>
      </w:ins>
      <w:ins w:id="14" w:author="Microsoft Office User" w:date="2017-08-14T11:35:00Z">
        <w:r w:rsidRPr="00142FA8">
          <w:t>, J</w:t>
        </w:r>
      </w:ins>
      <w:ins w:id="15" w:author="Microsoft Office User" w:date="2017-08-14T11:45:00Z">
        <w:r w:rsidR="001C311C">
          <w:t>R</w:t>
        </w:r>
      </w:ins>
      <w:ins w:id="16" w:author="Microsoft Office User" w:date="2017-08-14T11:35:00Z">
        <w:r w:rsidRPr="00142FA8">
          <w:t xml:space="preserve"> Redd</w:t>
        </w:r>
      </w:ins>
      <w:ins w:id="17" w:author="Microsoft Office User" w:date="2017-08-14T11:36:00Z">
        <w:r>
          <w:rPr>
            <w:vertAlign w:val="superscript"/>
          </w:rPr>
          <w:t>1</w:t>
        </w:r>
      </w:ins>
      <w:ins w:id="18" w:author="Microsoft Office User" w:date="2017-08-14T11:45:00Z">
        <w:r w:rsidR="00A57C9E">
          <w:rPr>
            <w:vertAlign w:val="superscript"/>
          </w:rPr>
          <w:t>-3</w:t>
        </w:r>
      </w:ins>
      <w:ins w:id="19" w:author="Microsoft Office User" w:date="2017-08-14T11:35:00Z">
        <w:r w:rsidRPr="00142FA8">
          <w:t>, Q</w:t>
        </w:r>
      </w:ins>
      <w:ins w:id="20" w:author="Microsoft Office User" w:date="2017-08-14T11:45:00Z">
        <w:r w:rsidR="001C311C">
          <w:t>T</w:t>
        </w:r>
      </w:ins>
      <w:ins w:id="21" w:author="Microsoft Office User" w:date="2017-08-14T11:35:00Z">
        <w:r w:rsidRPr="00142FA8">
          <w:t xml:space="preserve"> Tran</w:t>
        </w:r>
      </w:ins>
      <w:ins w:id="22" w:author="Microsoft Office User" w:date="2017-08-14T11:36:00Z">
        <w:r>
          <w:rPr>
            <w:vertAlign w:val="superscript"/>
          </w:rPr>
          <w:t>2</w:t>
        </w:r>
      </w:ins>
      <w:ins w:id="23" w:author="Microsoft Office User" w:date="2017-08-14T11:35:00Z">
        <w:r w:rsidRPr="00142FA8">
          <w:t>, I Hochberg</w:t>
        </w:r>
      </w:ins>
      <w:ins w:id="24" w:author="Microsoft Office User" w:date="2017-08-14T11:37:00Z">
        <w:r>
          <w:rPr>
            <w:vertAlign w:val="superscript"/>
          </w:rPr>
          <w:t>4</w:t>
        </w:r>
      </w:ins>
      <w:ins w:id="25" w:author="Microsoft Office User" w:date="2017-08-14T11:35:00Z">
        <w:r w:rsidRPr="00142FA8">
          <w:t xml:space="preserve"> and D Bridges</w:t>
        </w:r>
      </w:ins>
      <w:ins w:id="26" w:author="Microsoft Office User" w:date="2017-08-14T11:36:00Z">
        <w:r>
          <w:rPr>
            <w:vertAlign w:val="superscript"/>
          </w:rPr>
          <w:t>1</w:t>
        </w:r>
      </w:ins>
      <w:ins w:id="27" w:author="Microsoft Office User" w:date="2017-08-14T11:45:00Z">
        <w:r w:rsidR="00A57C9E">
          <w:rPr>
            <w:vertAlign w:val="superscript"/>
          </w:rPr>
          <w:t>-3</w:t>
        </w:r>
      </w:ins>
    </w:p>
    <w:p w14:paraId="20E274A0" w14:textId="56955A29" w:rsidR="00BE03D9" w:rsidRPr="00142FA8" w:rsidRDefault="00BE03D9" w:rsidP="00E046CC">
      <w:pPr>
        <w:jc w:val="center"/>
        <w:rPr>
          <w:u w:val="single"/>
        </w:rPr>
      </w:pPr>
      <w:ins w:id="28" w:author="Microsoft Office User" w:date="2017-08-14T11:37:00Z">
        <w:r>
          <w:rPr>
            <w:vertAlign w:val="superscript"/>
          </w:rPr>
          <w:t>1</w:t>
        </w:r>
        <w:r>
          <w:t>University of Michigan</w:t>
        </w:r>
      </w:ins>
      <w:ins w:id="29" w:author="Microsoft Office User" w:date="2017-08-14T11:38:00Z">
        <w:r>
          <w:t xml:space="preserve">, Ann Arbor, MI; </w:t>
        </w:r>
        <w:r>
          <w:rPr>
            <w:vertAlign w:val="superscript"/>
          </w:rPr>
          <w:t>2</w:t>
        </w:r>
        <w:r>
          <w:t xml:space="preserve">Children’s </w:t>
        </w:r>
      </w:ins>
      <w:ins w:id="30" w:author="Microsoft Office User" w:date="2017-08-14T11:40:00Z">
        <w:r>
          <w:t xml:space="preserve">Foundation </w:t>
        </w:r>
      </w:ins>
      <w:ins w:id="31" w:author="Microsoft Office User" w:date="2017-08-14T11:38:00Z">
        <w:r>
          <w:t>Resea</w:t>
        </w:r>
      </w:ins>
      <w:ins w:id="32" w:author="Microsoft Office User" w:date="2017-08-14T11:39:00Z">
        <w:r>
          <w:t>r</w:t>
        </w:r>
      </w:ins>
      <w:ins w:id="33" w:author="Microsoft Office User" w:date="2017-08-14T11:38:00Z">
        <w:r>
          <w:t>ch Institute</w:t>
        </w:r>
      </w:ins>
      <w:ins w:id="34" w:author="Microsoft Office User" w:date="2017-08-14T11:39:00Z">
        <w:r>
          <w:t xml:space="preserve">, Le Bonheur </w:t>
        </w:r>
      </w:ins>
      <w:ins w:id="35" w:author="Microsoft Office User" w:date="2017-08-14T11:40:00Z">
        <w:r>
          <w:t>Children’s Hospital</w:t>
        </w:r>
      </w:ins>
      <w:ins w:id="36" w:author="Microsoft Office User" w:date="2017-08-14T11:39:00Z">
        <w:r>
          <w:t xml:space="preserve">, Memphis, TN; </w:t>
        </w:r>
        <w:r>
          <w:rPr>
            <w:vertAlign w:val="superscript"/>
          </w:rPr>
          <w:t>3</w:t>
        </w:r>
      </w:ins>
      <w:ins w:id="37" w:author="Microsoft Office User" w:date="2017-08-14T11:44:00Z">
        <w:r w:rsidR="00A57C9E">
          <w:t>University of Tennessee Health Science Center, Memphis,</w:t>
        </w:r>
      </w:ins>
      <w:ins w:id="38" w:author="Microsoft Office User" w:date="2017-08-14T11:46:00Z">
        <w:r w:rsidR="001E3102">
          <w:t xml:space="preserve"> </w:t>
        </w:r>
      </w:ins>
      <w:ins w:id="39" w:author="Microsoft Office User" w:date="2017-08-14T11:44:00Z">
        <w:r w:rsidR="00A57C9E">
          <w:t>TN</w:t>
        </w:r>
      </w:ins>
      <w:ins w:id="40" w:author="Microsoft Office User" w:date="2017-08-14T11:39:00Z">
        <w:r>
          <w:t>;</w:t>
        </w:r>
      </w:ins>
      <w:ins w:id="41" w:author="Microsoft Office User" w:date="2017-08-14T11:40:00Z">
        <w:r>
          <w:t xml:space="preserve"> </w:t>
        </w:r>
        <w:r>
          <w:rPr>
            <w:vertAlign w:val="superscript"/>
          </w:rPr>
          <w:t>4</w:t>
        </w:r>
      </w:ins>
      <w:ins w:id="42" w:author="Microsoft Office User" w:date="2017-08-14T11:41:00Z">
        <w:r>
          <w:rPr>
            <w:vertAlign w:val="superscript"/>
          </w:rPr>
          <w:t xml:space="preserve"> </w:t>
        </w:r>
        <w:r>
          <w:rPr>
            <w:u w:val="single"/>
          </w:rPr>
          <w:t xml:space="preserve">Rambam Medical Center, </w:t>
        </w:r>
      </w:ins>
      <w:ins w:id="43" w:author="Microsoft Office User" w:date="2017-08-14T11:42:00Z">
        <w:r>
          <w:rPr>
            <w:u w:val="single"/>
          </w:rPr>
          <w:t>Haifa, Israel</w:t>
        </w:r>
      </w:ins>
    </w:p>
    <w:p w14:paraId="33063CEA" w14:textId="4015D6E9" w:rsidR="00BE03D9" w:rsidRDefault="00AB0CC0">
      <w:pPr>
        <w:rPr>
          <w:ins w:id="44" w:author="Microsoft Office User" w:date="2017-08-14T11:46:00Z"/>
          <w:b/>
          <w:sz w:val="36"/>
          <w:u w:val="single"/>
        </w:rPr>
      </w:pPr>
      <w:r>
        <w:rPr>
          <w:b/>
          <w:sz w:val="36"/>
          <w:u w:val="single"/>
        </w:rPr>
        <w:t>Abstract</w:t>
      </w:r>
    </w:p>
    <w:p w14:paraId="4E695FAE" w14:textId="77777777" w:rsidR="00D13F22" w:rsidRDefault="00D13F22">
      <w:pPr>
        <w:rPr>
          <w:b/>
          <w:sz w:val="36"/>
          <w:u w:val="single"/>
        </w:rPr>
      </w:pPr>
      <w:bookmarkStart w:id="45" w:name="_GoBack"/>
      <w:bookmarkEnd w:id="45"/>
    </w:p>
    <w:p w14:paraId="5799BD45" w14:textId="5D3C23FE" w:rsidR="0003155D" w:rsidRDefault="0017598A" w:rsidP="00AB0CC0">
      <w:r>
        <w:t xml:space="preserve">Obesity and chronically elevated </w:t>
      </w:r>
      <w:r w:rsidR="008A2638">
        <w:t xml:space="preserve">glucocorticoids </w:t>
      </w:r>
      <w:r>
        <w:t xml:space="preserve">result in similar co-morbidities, but the combination of these ailments on metabolic outcomes </w:t>
      </w:r>
      <w:r w:rsidR="00472259">
        <w:t>is unclear</w:t>
      </w:r>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r w:rsidR="00472259">
        <w:t>dexamethasone</w:t>
      </w:r>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6AD813DC" w14:textId="77777777" w:rsidR="00AB0CC0" w:rsidRDefault="00AB0CC0">
      <w:pPr>
        <w:rPr>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46"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47"/>
      <w:r w:rsidR="00A82500">
        <w:t>instances</w:t>
      </w:r>
      <w:commentRangeEnd w:id="47"/>
      <w:r w:rsidR="00281A98">
        <w:rPr>
          <w:rStyle w:val="CommentReference"/>
        </w:rPr>
        <w:commentReference w:id="47"/>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48"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49"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r>
        <w:t xml:space="preserve">Obesity is often accompanied by a multitude of metabolic complications, such as insulin resistance </w:t>
      </w:r>
      <w:r>
        <w:fldChar w:fldCharType="begin" w:fldLock="1"/>
      </w:r>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fldChar w:fldCharType="separate"/>
      </w:r>
      <w:r w:rsidR="00BF554F" w:rsidRPr="00BF554F">
        <w:rPr>
          <w:noProof/>
        </w:rPr>
        <w:t>(7–9)</w:t>
      </w:r>
      <w:r>
        <w:fldChar w:fldCharType="end"/>
      </w:r>
      <w:r>
        <w:t xml:space="preserve"> and non-alcoholic fatty liver disease (NAFLD; </w:t>
      </w:r>
      <w:r>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fldChar w:fldCharType="separate"/>
      </w:r>
      <w:r w:rsidR="00BF554F" w:rsidRPr="00BF554F">
        <w:rPr>
          <w:noProof/>
        </w:rPr>
        <w:t>(10,11)</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fldChar w:fldCharType="separate"/>
      </w:r>
      <w:r w:rsidR="00BF554F" w:rsidRPr="00BF554F">
        <w:rPr>
          <w:noProof/>
        </w:rPr>
        <w:t>(12,13)</w:t>
      </w:r>
      <w:r>
        <w:fldChar w:fldCharType="end"/>
      </w:r>
      <w:r>
        <w:t xml:space="preserve"> and is associated with fatty liver </w:t>
      </w:r>
      <w:r>
        <w:fldChar w:fldCharType="begin" w:fldLock="1"/>
      </w:r>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fldChar w:fldCharType="separate"/>
      </w:r>
      <w:r w:rsidR="00BF554F" w:rsidRPr="00BF554F">
        <w:rPr>
          <w:noProof/>
        </w:rPr>
        <w:t>(14,15)</w:t>
      </w:r>
      <w:r>
        <w:fldChar w:fldCharType="end"/>
      </w:r>
      <w:r>
        <w:t xml:space="preserve">, and changes in fat mass and distribution </w:t>
      </w:r>
      <w:r>
        <w:fldChar w:fldCharType="begin" w:fldLock="1"/>
      </w:r>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fldChar w:fldCharType="separate"/>
      </w:r>
      <w:r w:rsidR="00BF554F" w:rsidRPr="00BF554F">
        <w:rPr>
          <w:noProof/>
        </w:rPr>
        <w:t>(16)</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Default="005E120F" w:rsidP="005E120F"/>
    <w:p w14:paraId="449F1257" w14:textId="77777777" w:rsidR="00A82500" w:rsidRDefault="00A82500" w:rsidP="0048623D"/>
    <w:p w14:paraId="3DBAAC4B" w14:textId="4F81EE7B" w:rsidR="00C30018" w:rsidRDefault="00026A0B" w:rsidP="0048623D">
      <w:r>
        <w:lastRenderedPageBreak/>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0"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1"/>
      <w:commentRangeStart w:id="52"/>
      <w:r w:rsidR="00C15F0C">
        <w:t>NAFLD</w:t>
      </w:r>
      <w:commentRangeEnd w:id="51"/>
      <w:r w:rsidR="00322670">
        <w:rPr>
          <w:rStyle w:val="CommentReference"/>
        </w:rPr>
        <w:commentReference w:id="51"/>
      </w:r>
      <w:commentRangeEnd w:id="52"/>
      <w:r w:rsidR="000B433F">
        <w:rPr>
          <w:rStyle w:val="CommentReference"/>
        </w:rPr>
        <w:commentReference w:id="52"/>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3"/>
      <w:commentRangeStart w:id="54"/>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3"/>
      <w:r w:rsidR="007937AB">
        <w:rPr>
          <w:rStyle w:val="CommentReference"/>
        </w:rPr>
        <w:commentReference w:id="53"/>
      </w:r>
      <w:commentRangeEnd w:id="54"/>
      <w:r w:rsidR="00DB12BD">
        <w:rPr>
          <w:rStyle w:val="CommentReference"/>
        </w:rPr>
        <w:commentReference w:id="54"/>
      </w:r>
    </w:p>
    <w:p w14:paraId="0E231417" w14:textId="77777777" w:rsidR="008607FC" w:rsidRDefault="008607FC" w:rsidP="0048623D"/>
    <w:p w14:paraId="3DDCB893" w14:textId="658FC70E"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5"/>
      <w:commentRangeStart w:id="56"/>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5"/>
      <w:r w:rsidR="00240C1C" w:rsidRPr="00F7444B">
        <w:rPr>
          <w:rStyle w:val="CommentReference"/>
          <w:sz w:val="24"/>
          <w:szCs w:val="24"/>
        </w:rPr>
        <w:commentReference w:id="55"/>
      </w:r>
      <w:commentRangeEnd w:id="56"/>
      <w:r>
        <w:rPr>
          <w:rStyle w:val="CommentReference"/>
        </w:rPr>
        <w:commentReference w:id="56"/>
      </w:r>
      <w:r w:rsidR="00EB0A54" w:rsidRPr="009C4CFA">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Euglycemic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i.p. injections of insulin (Humulin R, Lilly, Indianapolis, </w:t>
      </w:r>
      <w:r w:rsidR="00067455" w:rsidRPr="005354F7">
        <w:rPr>
          <w:rFonts w:cs="Times New Roman"/>
        </w:rPr>
        <w:t>IN, USA) at a concentration of 2.5</w:t>
      </w:r>
      <w:r w:rsidR="00067455" w:rsidRPr="004B1467">
        <w:rPr>
          <w:rFonts w:cs="Times New Roman"/>
        </w:rPr>
        <w:t> mU/g</w:t>
      </w:r>
      <w:r w:rsidR="00A9523A" w:rsidRPr="004B1467">
        <w:rPr>
          <w:rFonts w:cs="Times New Roman"/>
        </w:rPr>
        <w:t xml:space="preserve"> following a six hour fast</w:t>
      </w:r>
      <w:r w:rsidR="00067455" w:rsidRPr="004B1467">
        <w:rPr>
          <w:rFonts w:cs="Times New Roman"/>
        </w:rPr>
        <w:t>. Blood glucose was determined using a One Touch Ultra Glucometer (Lifescan)</w:t>
      </w:r>
      <w:r w:rsidR="00A9523A" w:rsidRPr="004B1467">
        <w:rPr>
          <w:rFonts w:cs="Times New Roman"/>
        </w:rPr>
        <w:t xml:space="preserve"> prior to and every 15 minutes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r>
        <w:t xml:space="preserve">  Conscious glucose clamps were performed as described </w:t>
      </w:r>
      <w:commentRangeStart w:id="57"/>
      <w:r>
        <w:t>in</w:t>
      </w:r>
      <w:commentRangeEnd w:id="57"/>
      <w:r>
        <w:rPr>
          <w:rStyle w:val="CommentReference"/>
        </w:rPr>
        <w:commentReference w:id="57"/>
      </w:r>
      <w:r>
        <w:t xml:space="preserve"> </w:t>
      </w:r>
    </w:p>
    <w:p w14:paraId="5EE9F481" w14:textId="77777777" w:rsidR="004B1467" w:rsidRDefault="004B1467" w:rsidP="009C4CFA">
      <w:pPr>
        <w:rPr>
          <w:ins w:id="58" w:author="Dave Bridges" w:date="2017-07-31T17:32:00Z"/>
        </w:rPr>
      </w:pPr>
    </w:p>
    <w:p w14:paraId="659E5B2F" w14:textId="0EE5482C"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163A9C">
        <w:rPr>
          <w:color w:val="000000" w:themeColor="text1"/>
        </w:rPr>
        <w:t xml:space="preserve"> (NCS)</w:t>
      </w:r>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6223BB" w:rsidRPr="009C4CFA">
        <w:rPr>
          <w:color w:val="000000" w:themeColor="text1"/>
        </w:rPr>
        <w:t>pen</w:t>
      </w:r>
      <w:r w:rsidR="006223BB">
        <w:rPr>
          <w:color w:val="000000" w:themeColor="text1"/>
        </w:rPr>
        <w:t>i</w:t>
      </w:r>
      <w:r w:rsidR="006223BB" w:rsidRPr="009C4CFA">
        <w:rPr>
          <w:color w:val="000000" w:themeColor="text1"/>
        </w:rPr>
        <w:t>cillin</w:t>
      </w:r>
      <w:r w:rsidR="00B90861" w:rsidRPr="009C4CFA">
        <w:rPr>
          <w:color w:val="000000" w:themeColor="text1"/>
        </w:rPr>
        <w:t>, streptomycin and glutamine</w:t>
      </w:r>
      <w:r w:rsidR="00213463">
        <w:rPr>
          <w:color w:val="000000" w:themeColor="text1"/>
        </w:rPr>
        <w:t xml:space="preserve"> (PSG)</w:t>
      </w:r>
      <w:r w:rsidR="00E36D9E" w:rsidRPr="009C4CFA">
        <w:rPr>
          <w:color w:val="000000" w:themeColor="text1"/>
        </w:rPr>
        <w:t xml:space="preserve"> until </w:t>
      </w:r>
      <w:r w:rsidR="00B90861" w:rsidRPr="009C4CFA">
        <w:rPr>
          <w:color w:val="000000" w:themeColor="text1"/>
        </w:rPr>
        <w:t xml:space="preserve">confluence. </w:t>
      </w:r>
      <w:r w:rsidR="00281590">
        <w:rPr>
          <w:color w:val="000000" w:themeColor="text1"/>
        </w:rPr>
        <w:t>Cells were switched to a</w:t>
      </w:r>
      <w:r w:rsidR="00B90861" w:rsidRPr="009C4CFA">
        <w:rPr>
          <w:color w:val="000000" w:themeColor="text1"/>
        </w:rPr>
        <w:t xml:space="preserve"> differentiation cocktail</w:t>
      </w:r>
      <w:r w:rsidR="00281590">
        <w:rPr>
          <w:color w:val="000000" w:themeColor="text1"/>
        </w:rPr>
        <w:t xml:space="preserve"> at two days post confluence</w:t>
      </w:r>
      <w:r w:rsidR="00B90861" w:rsidRPr="009C4CFA">
        <w:rPr>
          <w:color w:val="000000" w:themeColor="text1"/>
        </w:rPr>
        <w:t xml:space="preserve"> including </w:t>
      </w:r>
      <w:r w:rsidR="003A266B" w:rsidRPr="009C4CFA">
        <w:rPr>
          <w:color w:val="000000" w:themeColor="text1"/>
        </w:rPr>
        <w:t xml:space="preserve">250nM </w:t>
      </w:r>
      <w:commentRangeStart w:id="59"/>
      <w:r w:rsidR="00B90861" w:rsidRPr="009C4CFA">
        <w:rPr>
          <w:color w:val="000000" w:themeColor="text1"/>
        </w:rPr>
        <w:t>dexamethasone</w:t>
      </w:r>
      <w:commentRangeEnd w:id="59"/>
      <w:r w:rsidR="00B90861">
        <w:rPr>
          <w:rStyle w:val="CommentReference"/>
        </w:rPr>
        <w:commentReference w:id="59"/>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r w:rsidR="00163A9C">
        <w:rPr>
          <w:rFonts w:cs="Helvetica"/>
          <w:color w:val="1C1C1C"/>
        </w:rPr>
        <w:t xml:space="preserve"> (FBS)</w:t>
      </w:r>
      <w:r w:rsidR="00B90861" w:rsidRPr="005354F7">
        <w:rPr>
          <w:rFonts w:cs="Helvetica"/>
          <w:color w:val="1C1C1C"/>
        </w:rPr>
        <w:t xml:space="preserve">, high glucose DMEM with 1% PSG </w:t>
      </w:r>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remained in FBS media</w:t>
      </w:r>
      <w:r w:rsidR="0011365C">
        <w:rPr>
          <w:rFonts w:cs="Helvetica"/>
          <w:color w:val="1C1C1C"/>
        </w:rPr>
        <w:t xml:space="preserve"> and </w:t>
      </w:r>
      <w:r w:rsidR="005B3B55" w:rsidRPr="004B1467">
        <w:rPr>
          <w:rFonts w:cs="Helvetica"/>
          <w:color w:val="1C1C1C"/>
        </w:rPr>
        <w:t>were treated with</w:t>
      </w:r>
      <w:r w:rsidR="0011365C">
        <w:rPr>
          <w:rFonts w:cs="Helvetica"/>
          <w:color w:val="1C1C1C"/>
        </w:rPr>
        <w:t xml:space="preserve"> ethanol (vehicle) or</w:t>
      </w:r>
      <w:r w:rsidR="005B3B55" w:rsidRPr="004B1467">
        <w:rPr>
          <w:rFonts w:cs="Helvetica"/>
          <w:color w:val="1C1C1C"/>
        </w:rPr>
        <w:t xml:space="preserve"> 250nM dexamethasone for five days before lysing.</w:t>
      </w:r>
    </w:p>
    <w:p w14:paraId="67DC8E02" w14:textId="77777777" w:rsidR="004B1467" w:rsidRDefault="004B1467" w:rsidP="009C4CFA"/>
    <w:p w14:paraId="15A202AF" w14:textId="6980C057" w:rsidR="002633D8" w:rsidRDefault="002633D8" w:rsidP="009C4CFA">
      <w:pPr>
        <w:rPr>
          <w:ins w:id="60"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r w:rsidR="00051E91">
        <w:rPr>
          <w:rFonts w:eastAsia="Times New Roman" w:cs="Times New Roman"/>
          <w:color w:val="252525"/>
          <w:szCs w:val="21"/>
          <w:shd w:val="clear" w:color="auto" w:fill="FFFFFF"/>
        </w:rPr>
        <w:t xml:space="preserve"> a TissueLyser II (Qiagen)</w:t>
      </w:r>
      <w:r w:rsidR="000C3B57">
        <w:rPr>
          <w:rFonts w:eastAsia="Times New Roman" w:cs="Times New Roman"/>
          <w:color w:val="252525"/>
          <w:szCs w:val="21"/>
          <w:shd w:val="clear" w:color="auto" w:fill="FFFFFF"/>
        </w:rPr>
        <w:t xml:space="preserve"> </w:t>
      </w:r>
      <w:r w:rsidR="00051E91">
        <w:rPr>
          <w:rFonts w:eastAsia="Times New Roman" w:cs="Times New Roman"/>
          <w:color w:val="252525"/>
          <w:szCs w:val="21"/>
          <w:shd w:val="clear" w:color="auto" w:fill="FFFFFF"/>
        </w:rPr>
        <w:t xml:space="preserve">set to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r w:rsidR="00051E91">
        <w:rPr>
          <w:rFonts w:eastAsia="Times New Roman" w:cs="Times New Roman"/>
          <w:color w:val="252525"/>
          <w:szCs w:val="21"/>
          <w:shd w:val="clear" w:color="auto" w:fill="FFFFFF"/>
        </w:rPr>
        <w:t xml:space="preserve"> a duration of</w:t>
      </w:r>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61"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r w:rsidR="00051E91">
        <w:rPr>
          <w:rFonts w:eastAsia="Times New Roman" w:cs="Times New Roman"/>
          <w:color w:val="252525"/>
          <w:szCs w:val="21"/>
          <w:shd w:val="clear" w:color="auto" w:fill="FFFFFF"/>
        </w:rPr>
        <w:t>utes</w:t>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62"/>
      <w:r w:rsidR="00131C99">
        <w:rPr>
          <w:rFonts w:eastAsia="Times New Roman" w:cs="Times New Roman"/>
          <w:color w:val="252525"/>
          <w:szCs w:val="21"/>
          <w:shd w:val="clear" w:color="auto" w:fill="FFFFFF"/>
        </w:rPr>
        <w:t>(</w:t>
      </w:r>
      <w:r w:rsidR="004B1467">
        <w:rPr>
          <w:rFonts w:eastAsia="Times New Roman" w:cs="Times New Roman"/>
          <w:color w:val="252525"/>
          <w:szCs w:val="21"/>
          <w:shd w:val="clear" w:color="auto" w:fill="FFFFFF"/>
        </w:rPr>
        <w:t>S</w:t>
      </w:r>
      <w:r w:rsidR="00131C99">
        <w:rPr>
          <w:rFonts w:eastAsia="Times New Roman" w:cs="Times New Roman"/>
          <w:color w:val="252525"/>
          <w:szCs w:val="21"/>
          <w:shd w:val="clear" w:color="auto" w:fill="FFFFFF"/>
        </w:rPr>
        <w:t>igma)</w:t>
      </w:r>
      <w:commentRangeEnd w:id="62"/>
      <w:r w:rsidR="00131C99">
        <w:rPr>
          <w:rStyle w:val="CommentReference"/>
        </w:rPr>
        <w:commentReference w:id="62"/>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63"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64"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r w:rsidR="005354F7">
        <w:t>Tisssues</w:t>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65"/>
      <w:commentRangeStart w:id="66"/>
      <w:r>
        <w:t>t</w:t>
      </w:r>
      <w:del w:id="67" w:author="Microsoft Office User" w:date="2017-08-08T13:41:00Z">
        <w:r w:rsidDel="005C636B">
          <w:delText>richrome</w:delText>
        </w:r>
        <w:commentRangeEnd w:id="65"/>
        <w:r w:rsidR="005354F7" w:rsidDel="005C636B">
          <w:rPr>
            <w:rStyle w:val="CommentReference"/>
          </w:rPr>
          <w:commentReference w:id="65"/>
        </w:r>
        <w:commentRangeEnd w:id="66"/>
        <w:r w:rsidR="007D5D9F" w:rsidDel="005C636B">
          <w:rPr>
            <w:rStyle w:val="CommentReference"/>
          </w:rPr>
          <w:commentReference w:id="66"/>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68" w:author="Dave Bridges" w:date="2017-07-31T17:35:00Z"/>
        </w:rPr>
      </w:pPr>
    </w:p>
    <w:p w14:paraId="48658E05" w14:textId="4D66A76B" w:rsidR="00833B9D" w:rsidRDefault="00642BDD" w:rsidP="009C4CFA">
      <w:pPr>
        <w:rPr>
          <w:ins w:id="69"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TRIzol</w:t>
      </w:r>
      <w:r w:rsidR="00833B9D">
        <w:t xml:space="preserve"> </w:t>
      </w:r>
      <w:r w:rsidR="009E06A7">
        <w:t xml:space="preserve">using </w:t>
      </w:r>
      <w:r w:rsidR="005C636B">
        <w:t xml:space="preserve">the </w:t>
      </w:r>
      <w:r w:rsidR="005C636B">
        <w:rPr>
          <w:rFonts w:eastAsia="Times New Roman" w:cs="Times New Roman"/>
          <w:color w:val="252525"/>
          <w:szCs w:val="21"/>
          <w:shd w:val="clear" w:color="auto" w:fill="FFFFFF"/>
        </w:rPr>
        <w:t>TissueLyser II, as decribed above,</w:t>
      </w:r>
      <w:r w:rsidR="009E06A7">
        <w:t xml:space="preserve"> </w:t>
      </w:r>
      <w:r>
        <w:t xml:space="preserve">and </w:t>
      </w:r>
      <w:r w:rsidR="00D6308A">
        <w:t xml:space="preserve">RNA was extracted using </w:t>
      </w:r>
      <w:r w:rsidR="00877762">
        <w:t xml:space="preserve">the </w:t>
      </w:r>
      <w:r w:rsidR="00877762" w:rsidRPr="005354F7">
        <w:rPr>
          <w:rFonts w:cs="Times New Roman"/>
        </w:rPr>
        <w:t>PureLink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70"/>
      <w:r w:rsidR="00D6022E" w:rsidRPr="009C4CFA">
        <w:rPr>
          <w:rFonts w:cs="Times New Roman"/>
          <w:i/>
        </w:rPr>
        <w:t>Actb</w:t>
      </w:r>
      <w:commentRangeEnd w:id="70"/>
      <w:r w:rsidR="00D6022E">
        <w:rPr>
          <w:rStyle w:val="CommentReference"/>
        </w:rPr>
        <w:commentReference w:id="70"/>
      </w:r>
      <w:r w:rsidR="00D6022E" w:rsidRPr="005354F7">
        <w:rPr>
          <w:rFonts w:cs="Times New Roman"/>
        </w:rPr>
        <w:t xml:space="preserve"> </w:t>
      </w:r>
      <w:r w:rsidR="005354F7">
        <w:rPr>
          <w:rFonts w:cs="Times New Roman"/>
        </w:rPr>
        <w:t>after evaluation of several reference genes</w:t>
      </w:r>
      <w:ins w:id="71" w:author="Microsoft Office User" w:date="2017-08-04T11:35:00Z">
        <w:r w:rsidR="009C4CFA">
          <w:rPr>
            <w:rFonts w:cs="Times New Roman"/>
          </w:rPr>
          <w:t xml:space="preserve"> </w:t>
        </w:r>
      </w:ins>
      <w:r w:rsidR="00D6022E" w:rsidRPr="005354F7">
        <w:rPr>
          <w:rFonts w:cs="Times New Roman"/>
        </w:rPr>
        <w:t>(</w:t>
      </w:r>
      <w:commentRangeStart w:id="72"/>
      <w:r w:rsidR="00D6022E" w:rsidRPr="005354F7">
        <w:rPr>
          <w:rFonts w:cs="Times New Roman"/>
        </w:rPr>
        <w:t>Table</w:t>
      </w:r>
      <w:commentRangeEnd w:id="72"/>
      <w:r w:rsidR="00D6022E">
        <w:rPr>
          <w:rStyle w:val="CommentReference"/>
        </w:rPr>
        <w:commentReference w:id="7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lastRenderedPageBreak/>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73"/>
      <w:commentRangeStart w:id="7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pHSL,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73"/>
      <w:r>
        <w:rPr>
          <w:rStyle w:val="CommentReference"/>
        </w:rPr>
        <w:commentReference w:id="73"/>
      </w:r>
      <w:commentRangeEnd w:id="74"/>
      <w:r w:rsidR="005354F7">
        <w:rPr>
          <w:rStyle w:val="CommentReference"/>
        </w:rPr>
        <w:commentReference w:id="7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75"/>
      <w:r w:rsidRPr="00DE6E98">
        <w:rPr>
          <w:rFonts w:eastAsia="Times New Roman" w:cs="Times New Roman"/>
          <w:color w:val="000000"/>
          <w:shd w:val="clear" w:color="auto" w:fill="FFFFFF"/>
        </w:rPr>
        <w:t>(LiCOR).</w:t>
      </w:r>
      <w:commentRangeEnd w:id="75"/>
      <w:r w:rsidR="00E23AC2">
        <w:rPr>
          <w:rStyle w:val="CommentReference"/>
        </w:rPr>
        <w:commentReference w:id="7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76"/>
      <w:commentRangeStart w:id="77"/>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76"/>
      <w:r>
        <w:rPr>
          <w:rStyle w:val="CommentReference"/>
        </w:rPr>
        <w:commentReference w:id="76"/>
      </w:r>
      <w:commentRangeEnd w:id="77"/>
      <w:r w:rsidR="007D5D9F">
        <w:rPr>
          <w:rStyle w:val="CommentReference"/>
        </w:rPr>
        <w:commentReference w:id="7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ADCE86F"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r w:rsidR="00E72723">
        <w:t>;</w:t>
      </w:r>
      <w:ins w:id="78"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79" w:author="Microsoft Office User" w:date="2017-08-09T11:46:00Z">
        <w:r w:rsidR="00960D10">
          <w:fldChar w:fldCharType="end"/>
        </w:r>
      </w:ins>
      <w:r w:rsidR="00F55C38">
        <w:rPr>
          <w:noProof/>
        </w:rPr>
        <w:t>)</w:t>
      </w:r>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w:t>
      </w:r>
      <w:ins w:id="80" w:author="Microsoft Office User" w:date="2017-08-14T10:51:00Z">
        <w:r w:rsidR="000D7AA7">
          <w:rPr>
            <w:bCs/>
          </w:rPr>
          <w:t>-</w:t>
        </w:r>
      </w:ins>
      <w:r w:rsidR="00F55C38">
        <w:rPr>
          <w:bCs/>
        </w:rPr>
        <w:t>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 xml:space="preserve">glucocorticoids we performed an insulin tolerance test (ITT) on lean (NCD) and diet-induced obese (HFD) mice that were untreated (Control) or treated with glucocorticoids </w:t>
      </w:r>
      <w:r w:rsidR="007E0200">
        <w:lastRenderedPageBreak/>
        <w:t>(Dexamethasone;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03596900"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r w:rsidR="00D9267D">
        <w:t>hyper</w:t>
      </w:r>
      <w:r w:rsidR="0060769C">
        <w:t>insulin</w:t>
      </w:r>
      <w:r w:rsidR="00D9267D">
        <w:t>emic</w:t>
      </w:r>
      <w:r w:rsidR="0060769C">
        <w:t xml:space="preserve"> phase, the</w:t>
      </w:r>
      <w:r w:rsidR="00DA2A9C">
        <w:t xml:space="preserve"> </w:t>
      </w:r>
      <w:r w:rsidR="00F83E6F">
        <w:t xml:space="preserve">glucose </w:t>
      </w:r>
      <w:r w:rsidR="00DA2A9C">
        <w:t>infusion rate was</w:t>
      </w:r>
      <w:r w:rsidR="003F1693">
        <w:t xml:space="preserve"> </w:t>
      </w:r>
      <w:r w:rsidR="00F83E6F">
        <w:t xml:space="preserve">39% </w:t>
      </w:r>
      <w:r w:rsidR="00DA2A9C">
        <w:t xml:space="preserve">lower </w:t>
      </w:r>
      <w:r w:rsidR="00B77F49">
        <w:t xml:space="preserve">in obese dexamethasone-treated mice when compared to obese controls </w:t>
      </w:r>
      <w:r w:rsidR="00D9267D">
        <w:t xml:space="preserve">indicating insulin resistance </w:t>
      </w:r>
      <w:r w:rsidR="00F83E6F">
        <w:t xml:space="preserve">at euglycemia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81"/>
      <w:r w:rsidR="00E25306">
        <w:t>5</w:t>
      </w:r>
      <w:r w:rsidR="00B34443">
        <w:t xml:space="preserve">-fold </w:t>
      </w:r>
      <w:commentRangeEnd w:id="81"/>
      <w:r w:rsidR="00146EBC">
        <w:rPr>
          <w:rStyle w:val="CommentReference"/>
        </w:rPr>
        <w:commentReference w:id="8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82"/>
      <w:r w:rsidR="00624A74">
        <w:t>1G</w:t>
      </w:r>
      <w:commentRangeEnd w:id="82"/>
      <w:r w:rsidR="00A6431D">
        <w:rPr>
          <w:rStyle w:val="CommentReference"/>
        </w:rPr>
        <w:commentReference w:id="82"/>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83"/>
      <w:r w:rsidR="00976FAB">
        <w:t>Figure</w:t>
      </w:r>
      <w:commentRangeEnd w:id="83"/>
      <w:r w:rsidR="000B0A44">
        <w:rPr>
          <w:rStyle w:val="CommentReference"/>
        </w:rPr>
        <w:commentReference w:id="83"/>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40D7A001"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2.8 fold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r w:rsidR="000243F3">
        <w:t>8</w:t>
      </w:r>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w:t>
      </w:r>
      <w:r w:rsidR="00793D2F">
        <w:lastRenderedPageBreak/>
        <w:t xml:space="preserve">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84"/>
      <w:r>
        <w:t xml:space="preserve">evaluated body mass </w:t>
      </w:r>
      <w:commentRangeEnd w:id="84"/>
      <w:r w:rsidR="00255829">
        <w:rPr>
          <w:rStyle w:val="CommentReference"/>
        </w:rPr>
        <w:commentReference w:id="84"/>
      </w:r>
      <w:r>
        <w:t>in mice via EchoMRI. Contrary to expectations, we observed reductions in fat mass in the HFD-fed dexamethasone treated group (</w:t>
      </w:r>
      <w:commentRangeStart w:id="85"/>
      <w:r>
        <w:t>Figure</w:t>
      </w:r>
      <w:commentRangeEnd w:id="85"/>
      <w:r w:rsidR="00E2033A">
        <w:rPr>
          <w:rStyle w:val="CommentReference"/>
        </w:rPr>
        <w:commentReference w:id="85"/>
      </w:r>
      <w:r>
        <w:t xml:space="preserve"> 3A,B).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and epididymal adipose tissue</w:t>
      </w:r>
      <w:r w:rsidR="007F7779">
        <w:t xml:space="preserve"> (59% reduced) from the HFD-fed animals</w:t>
      </w:r>
      <w:r w:rsidR="00E2033A">
        <w:t xml:space="preserve"> (</w:t>
      </w:r>
      <w:commentRangeStart w:id="86"/>
      <w:r w:rsidR="00E2033A">
        <w:t>F</w:t>
      </w:r>
      <w:r>
        <w:t>igure</w:t>
      </w:r>
      <w:commentRangeEnd w:id="86"/>
      <w:r w:rsidR="00E2033A">
        <w:rPr>
          <w:rStyle w:val="CommentReference"/>
        </w:rPr>
        <w:commentReference w:id="86"/>
      </w:r>
      <w:r>
        <w:t xml:space="preserve"> 3C). There was no </w:t>
      </w:r>
      <w:r w:rsidR="007F7779">
        <w:t xml:space="preserve">significant reduction </w:t>
      </w:r>
      <w:r>
        <w:t>in fat mas</w:t>
      </w:r>
      <w:r w:rsidR="00A51C76">
        <w:t>s</w:t>
      </w:r>
      <w:r w:rsidR="00D4046E">
        <w:t>, either by MRI or dissection weights of iWAT or eWAT</w:t>
      </w:r>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87"/>
      <w:r w:rsidR="00567887">
        <w:t>consumption</w:t>
      </w:r>
      <w:commentRangeEnd w:id="87"/>
      <w:r w:rsidR="005A7212">
        <w:t xml:space="preserve"> throughout this study</w:t>
      </w:r>
      <w:r w:rsidR="00567887">
        <w:rPr>
          <w:rStyle w:val="CommentReference"/>
        </w:rPr>
        <w:commentReference w:id="87"/>
      </w:r>
      <w:r>
        <w:t xml:space="preserve"> (</w:t>
      </w:r>
      <w:commentRangeStart w:id="88"/>
      <w:r>
        <w:t>Figure</w:t>
      </w:r>
      <w:commentRangeEnd w:id="88"/>
      <w:r w:rsidR="00E2033A">
        <w:rPr>
          <w:rStyle w:val="CommentReference"/>
        </w:rPr>
        <w:commentReference w:id="88"/>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89"/>
      <w:commentRangeStart w:id="90"/>
      <w:r w:rsidRPr="00481EB2">
        <w:rPr>
          <w:color w:val="2E74B5" w:themeColor="accent1" w:themeShade="BF"/>
          <w:sz w:val="32"/>
          <w:szCs w:val="32"/>
        </w:rPr>
        <w:t>Increased</w:t>
      </w:r>
      <w:commentRangeEnd w:id="89"/>
      <w:r w:rsidR="00A979ED">
        <w:rPr>
          <w:rStyle w:val="CommentReference"/>
        </w:rPr>
        <w:commentReference w:id="89"/>
      </w:r>
      <w:commentRangeEnd w:id="90"/>
      <w:r w:rsidR="00EE515D">
        <w:rPr>
          <w:rStyle w:val="CommentReference"/>
        </w:rPr>
        <w:commentReference w:id="90"/>
      </w:r>
      <w:r w:rsidRPr="00481EB2">
        <w:rPr>
          <w:color w:val="2E74B5" w:themeColor="accent1" w:themeShade="BF"/>
          <w:sz w:val="32"/>
          <w:szCs w:val="32"/>
        </w:rPr>
        <w:t xml:space="preserve"> Lipolysis</w:t>
      </w:r>
    </w:p>
    <w:p w14:paraId="2CEB1620" w14:textId="59937B5E"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91"/>
      <w:r w:rsidR="008C3E9A">
        <w:rPr>
          <w:color w:val="000000" w:themeColor="text1"/>
        </w:rPr>
        <w:t>NAFLD</w:t>
      </w:r>
      <w:commentRangeEnd w:id="91"/>
      <w:r w:rsidR="00DD4CD8">
        <w:rPr>
          <w:rStyle w:val="CommentReference"/>
        </w:rPr>
        <w:commentReference w:id="91"/>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r w:rsidR="00390987">
        <w:rPr>
          <w:color w:val="000000" w:themeColor="text1"/>
        </w:rPr>
        <w:t>undifferentiated</w:t>
      </w:r>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92"/>
      <w:r w:rsidR="00A14D1A">
        <w:rPr>
          <w:color w:val="000000" w:themeColor="text1"/>
        </w:rPr>
        <w:t>p</w:t>
      </w:r>
      <w:commentRangeEnd w:id="92"/>
      <w:r w:rsidR="00A14D1A">
        <w:rPr>
          <w:rStyle w:val="CommentReference"/>
        </w:rPr>
        <w:commentReference w:id="92"/>
      </w:r>
      <w:r w:rsidR="00A14D1A">
        <w:rPr>
          <w:color w:val="000000" w:themeColor="text1"/>
        </w:rPr>
        <w:t>=)</w:t>
      </w:r>
      <w:r w:rsidR="00E00C8F">
        <w:rPr>
          <w:color w:val="000000" w:themeColor="text1"/>
        </w:rPr>
        <w:t xml:space="preserve"> and</w:t>
      </w:r>
      <w:r w:rsidR="00200AAF">
        <w:rPr>
          <w:color w:val="000000" w:themeColor="text1"/>
        </w:rPr>
        <w:t xml:space="preserve"> a 71%</w:t>
      </w:r>
      <w:r w:rsidR="00E00C8F">
        <w:rPr>
          <w:color w:val="000000" w:themeColor="text1"/>
        </w:rPr>
        <w:t xml:space="preserve"> increase</w:t>
      </w:r>
      <w:r w:rsidR="00200AAF">
        <w:rPr>
          <w:color w:val="000000" w:themeColor="text1"/>
        </w:rPr>
        <w:t xml:space="preserve"> in the amount of</w:t>
      </w:r>
      <w:r w:rsidR="00E00C8F">
        <w:rPr>
          <w:color w:val="000000" w:themeColor="text1"/>
        </w:rPr>
        <w:t xml:space="preserve"> glycerol in the media</w:t>
      </w:r>
      <w:r w:rsidR="00A14D1A">
        <w:rPr>
          <w:color w:val="000000" w:themeColor="text1"/>
        </w:rPr>
        <w:t xml:space="preserve"> (</w:t>
      </w:r>
      <w:commentRangeStart w:id="93"/>
      <w:r w:rsidR="00A14D1A">
        <w:rPr>
          <w:color w:val="000000" w:themeColor="text1"/>
        </w:rPr>
        <w:t>p</w:t>
      </w:r>
      <w:commentRangeEnd w:id="93"/>
      <w:r w:rsidR="00A14D1A">
        <w:rPr>
          <w:rStyle w:val="CommentReference"/>
        </w:rPr>
        <w:commentReference w:id="93"/>
      </w:r>
      <w:r w:rsidR="00A14D1A">
        <w:rPr>
          <w:color w:val="000000" w:themeColor="text1"/>
        </w:rPr>
        <w:t>=</w:t>
      </w:r>
      <w:r w:rsidR="000D0E93">
        <w:rPr>
          <w:color w:val="000000" w:themeColor="text1"/>
        </w:rPr>
        <w:t>0.00</w:t>
      </w:r>
      <w:r w:rsidR="009F4B82">
        <w:rPr>
          <w:color w:val="000000" w:themeColor="text1"/>
        </w:rPr>
        <w:t>1</w:t>
      </w:r>
      <w:r w:rsidR="00A14D1A">
        <w:rPr>
          <w:color w:val="000000" w:themeColor="text1"/>
        </w:rPr>
        <w:t>)</w:t>
      </w:r>
      <w:r w:rsidR="00E00C8F">
        <w:rPr>
          <w:color w:val="000000" w:themeColor="text1"/>
        </w:rPr>
        <w:t xml:space="preserve">, </w:t>
      </w:r>
      <w:r w:rsidR="009F4B82">
        <w:rPr>
          <w:color w:val="000000" w:themeColor="text1"/>
        </w:rPr>
        <w:t xml:space="preserve">suggesting </w:t>
      </w:r>
      <w:r w:rsidR="00E00C8F">
        <w:rPr>
          <w:color w:val="000000" w:themeColor="text1"/>
        </w:rPr>
        <w:t>increased lipolysis</w:t>
      </w:r>
      <w:r w:rsidR="004E4E85">
        <w:rPr>
          <w:color w:val="000000" w:themeColor="text1"/>
        </w:rPr>
        <w:t xml:space="preserve"> (Figure 4</w:t>
      </w:r>
      <w:r w:rsidR="00B06214">
        <w:rPr>
          <w:color w:val="000000" w:themeColor="text1"/>
        </w:rPr>
        <w:t>B</w:t>
      </w:r>
      <w:r w:rsidR="004E4E85">
        <w:rPr>
          <w:color w:val="000000" w:themeColor="text1"/>
        </w:rPr>
        <w:t>)</w:t>
      </w:r>
      <w:r w:rsidR="00E00C8F">
        <w:rPr>
          <w:color w:val="000000" w:themeColor="text1"/>
        </w:rPr>
        <w:t xml:space="preserve">. </w:t>
      </w:r>
      <w:r w:rsidR="001944F8">
        <w:rPr>
          <w:color w:val="000000" w:themeColor="text1"/>
        </w:rPr>
        <w:t xml:space="preserve">In order to identify a potential GR-dependent lipolytic target we evaluated the levels of ATGL, the rate limiting enzyme in lipolysis.  </w:t>
      </w:r>
      <w:r w:rsidR="00EA22A1">
        <w:rPr>
          <w:color w:val="000000" w:themeColor="text1"/>
        </w:rPr>
        <w:t>Expression of ATGL</w:t>
      </w:r>
      <w:r w:rsidR="00E00C8F">
        <w:rPr>
          <w:color w:val="000000" w:themeColor="text1"/>
        </w:rPr>
        <w:t xml:space="preserve"> (encoded by</w:t>
      </w:r>
      <w:r w:rsidR="00B90019">
        <w:rPr>
          <w:color w:val="000000" w:themeColor="text1"/>
        </w:rPr>
        <w:t xml:space="preserve"> the</w:t>
      </w:r>
      <w:r w:rsidR="00E00C8F">
        <w:rPr>
          <w:color w:val="000000" w:themeColor="text1"/>
        </w:rPr>
        <w:t xml:space="preserve"> </w:t>
      </w:r>
      <w:r w:rsidR="00E00C8F" w:rsidRPr="00E00C8F">
        <w:rPr>
          <w:i/>
          <w:color w:val="000000" w:themeColor="text1"/>
        </w:rPr>
        <w:t>Pnpla2</w:t>
      </w:r>
      <w:r w:rsidR="00B90019">
        <w:rPr>
          <w:i/>
          <w:color w:val="000000" w:themeColor="text1"/>
        </w:rPr>
        <w:t xml:space="preserve"> </w:t>
      </w:r>
      <w:r w:rsidR="00B90019">
        <w:rPr>
          <w:color w:val="000000" w:themeColor="text1"/>
        </w:rPr>
        <w:t>gene</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treatment</w:t>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r w:rsidR="007C0C14">
        <w:rPr>
          <w:color w:val="000000" w:themeColor="text1"/>
        </w:rPr>
        <w:t xml:space="preserve">2.7 </w:t>
      </w:r>
      <w:r>
        <w:rPr>
          <w:color w:val="000000" w:themeColor="text1"/>
        </w:rPr>
        <w:t>fold</w:t>
      </w:r>
      <w:r w:rsidR="007C0C14">
        <w:rPr>
          <w:color w:val="000000" w:themeColor="text1"/>
        </w:rPr>
        <w:t>, p=0.002</w:t>
      </w:r>
      <w:r w:rsidR="001944F8">
        <w:rPr>
          <w:color w:val="000000" w:themeColor="text1"/>
        </w:rPr>
        <w:t>; Figure 4C</w:t>
      </w:r>
      <w:r w:rsidR="003A5F27">
        <w:rPr>
          <w:color w:val="000000" w:themeColor="text1"/>
        </w:rPr>
        <w:t>) and protein (</w:t>
      </w:r>
      <w:commentRangeStart w:id="94"/>
      <w:r w:rsidR="003A5F27">
        <w:rPr>
          <w:color w:val="000000" w:themeColor="text1"/>
        </w:rPr>
        <w:t>p</w:t>
      </w:r>
      <w:commentRangeEnd w:id="94"/>
      <w:r w:rsidR="003A5F27">
        <w:rPr>
          <w:rStyle w:val="CommentReference"/>
        </w:rPr>
        <w:commentReference w:id="94"/>
      </w:r>
      <w:r w:rsidR="003A5F27">
        <w:rPr>
          <w:color w:val="000000" w:themeColor="text1"/>
        </w:rPr>
        <w:t>=</w:t>
      </w:r>
      <w:r>
        <w:rPr>
          <w:color w:val="000000" w:themeColor="text1"/>
        </w:rPr>
        <w:t xml:space="preserve">; </w:t>
      </w:r>
      <w:commentRangeStart w:id="95"/>
      <w:r>
        <w:rPr>
          <w:color w:val="000000" w:themeColor="text1"/>
        </w:rPr>
        <w:t xml:space="preserve">XX </w:t>
      </w:r>
      <w:commentRangeEnd w:id="95"/>
      <w:r>
        <w:rPr>
          <w:rStyle w:val="CommentReference"/>
        </w:rPr>
        <w:commentReference w:id="95"/>
      </w:r>
      <w:r>
        <w:rPr>
          <w:color w:val="000000" w:themeColor="text1"/>
        </w:rPr>
        <w:t>fold</w:t>
      </w:r>
      <w:r w:rsidR="001944F8">
        <w:rPr>
          <w:color w:val="000000" w:themeColor="text1"/>
        </w:rPr>
        <w:t>; Figure 4D</w:t>
      </w:r>
      <w:r w:rsidR="00676F9B">
        <w:rPr>
          <w:color w:val="000000" w:themeColor="text1"/>
        </w:rPr>
        <w:t>-E</w:t>
      </w:r>
      <w:r w:rsidR="003A5F27">
        <w:rPr>
          <w:color w:val="000000" w:themeColor="text1"/>
        </w:rPr>
        <w:t>) level</w:t>
      </w:r>
      <w:r w:rsidR="00B90019">
        <w:rPr>
          <w:color w:val="000000" w:themeColor="text1"/>
        </w:rPr>
        <w:t>s</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r w:rsidR="00B106A3">
        <w:rPr>
          <w:color w:val="000000" w:themeColor="text1"/>
        </w:rPr>
        <w:t>elevate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0506BE99"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r w:rsidR="00BD56C3">
        <w:rPr>
          <w:color w:val="000000" w:themeColor="text1"/>
        </w:rPr>
        <w:t>gly</w:t>
      </w:r>
      <w:r w:rsidR="008254B0">
        <w:rPr>
          <w:color w:val="000000" w:themeColor="text1"/>
        </w:rPr>
        <w:t xml:space="preserve">cerol </w:t>
      </w:r>
      <w:r w:rsidR="00467863">
        <w:rPr>
          <w:color w:val="000000" w:themeColor="text1"/>
        </w:rPr>
        <w:t>levels in animals chronically exposed to glucocorticoids,</w:t>
      </w:r>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r w:rsidR="00467863">
        <w:rPr>
          <w:color w:val="000000" w:themeColor="text1"/>
        </w:rPr>
        <w:t xml:space="preserve">the fed </w:t>
      </w:r>
      <w:r w:rsidR="00A2566C">
        <w:rPr>
          <w:color w:val="000000" w:themeColor="text1"/>
        </w:rPr>
        <w:t>(</w:t>
      </w:r>
      <w:r w:rsidR="00467863">
        <w:rPr>
          <w:color w:val="000000" w:themeColor="text1"/>
        </w:rPr>
        <w:t>2.9 fold</w:t>
      </w:r>
      <w:r w:rsidR="00A2566C">
        <w:rPr>
          <w:color w:val="000000" w:themeColor="text1"/>
        </w:rPr>
        <w:t>), fasted (</w:t>
      </w:r>
      <w:r w:rsidR="00467863">
        <w:rPr>
          <w:color w:val="000000" w:themeColor="text1"/>
        </w:rPr>
        <w:t>1.5</w:t>
      </w:r>
      <w:r w:rsidR="00001E0D">
        <w:rPr>
          <w:color w:val="000000" w:themeColor="text1"/>
        </w:rPr>
        <w:t xml:space="preserve"> fold</w:t>
      </w:r>
      <w:r w:rsidR="00A2566C">
        <w:rPr>
          <w:color w:val="000000" w:themeColor="text1"/>
        </w:rPr>
        <w:t xml:space="preserve">) and </w:t>
      </w:r>
      <w:r w:rsidR="00001E0D">
        <w:rPr>
          <w:color w:val="000000" w:themeColor="text1"/>
        </w:rPr>
        <w:t>isoproterenol-</w:t>
      </w:r>
      <w:r w:rsidR="00A2566C">
        <w:rPr>
          <w:color w:val="000000" w:themeColor="text1"/>
        </w:rPr>
        <w:t>stimulated (</w:t>
      </w:r>
      <w:r w:rsidR="00467863">
        <w:rPr>
          <w:color w:val="000000" w:themeColor="text1"/>
        </w:rPr>
        <w:t>1.4</w:t>
      </w:r>
      <w:r w:rsidR="00001E0D">
        <w:rPr>
          <w:color w:val="000000" w:themeColor="text1"/>
        </w:rPr>
        <w:t xml:space="preserve"> fold</w:t>
      </w:r>
      <w:r w:rsidR="00467863">
        <w:rPr>
          <w:color w:val="000000" w:themeColor="text1"/>
        </w:rPr>
        <w:t>, all groups p&lt;0.05</w:t>
      </w:r>
      <w:r w:rsidR="00A2566C">
        <w:rPr>
          <w:color w:val="000000" w:themeColor="text1"/>
        </w:rPr>
        <w:t xml:space="preserve">) </w:t>
      </w:r>
      <w:r w:rsidR="00467863">
        <w:rPr>
          <w:color w:val="000000" w:themeColor="text1"/>
        </w:rPr>
        <w:t xml:space="preserve">conditions, </w:t>
      </w:r>
      <w:r w:rsidR="00C47964">
        <w:rPr>
          <w:color w:val="000000" w:themeColor="text1"/>
        </w:rPr>
        <w:t>indicating</w:t>
      </w:r>
      <w:r w:rsidR="00DD7567">
        <w:rPr>
          <w:color w:val="000000" w:themeColor="text1"/>
        </w:rPr>
        <w:t xml:space="preserve"> </w:t>
      </w:r>
      <w:r w:rsidR="00467863">
        <w:rPr>
          <w:color w:val="000000" w:themeColor="text1"/>
        </w:rPr>
        <w:t xml:space="preserve">that </w:t>
      </w:r>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467863">
        <w:rPr>
          <w:color w:val="000000" w:themeColor="text1"/>
        </w:rPr>
        <w:t xml:space="preserve">chow-fed </w:t>
      </w:r>
      <w:r w:rsidR="00A7294B">
        <w:rPr>
          <w:color w:val="000000" w:themeColor="text1"/>
        </w:rPr>
        <w:t>mice</w:t>
      </w:r>
      <w:r w:rsidR="00467863">
        <w:rPr>
          <w:color w:val="000000" w:themeColor="text1"/>
        </w:rPr>
        <w:t xml:space="preserve">, as has been previously </w:t>
      </w:r>
      <w:commentRangeStart w:id="96"/>
      <w:r w:rsidR="00467863">
        <w:rPr>
          <w:color w:val="000000" w:themeColor="text1"/>
        </w:rPr>
        <w:t>reported</w:t>
      </w:r>
      <w:commentRangeEnd w:id="96"/>
      <w:r w:rsidR="00467863">
        <w:rPr>
          <w:rStyle w:val="CommentReference"/>
        </w:rPr>
        <w:commentReference w:id="96"/>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6C62DC">
        <w:rPr>
          <w:color w:val="000000" w:themeColor="text1"/>
        </w:rPr>
        <w:t xml:space="preserve">mRNA </w:t>
      </w:r>
      <w:r w:rsidR="006066A2">
        <w:rPr>
          <w:color w:val="000000" w:themeColor="text1"/>
        </w:rPr>
        <w:t xml:space="preserve">analysis </w:t>
      </w:r>
      <w:r w:rsidR="006C62DC">
        <w:rPr>
          <w:color w:val="000000" w:themeColor="text1"/>
        </w:rPr>
        <w:t xml:space="preserve">from </w:t>
      </w:r>
      <w:r w:rsidR="006066A2">
        <w:rPr>
          <w:color w:val="000000" w:themeColor="text1"/>
        </w:rPr>
        <w:t xml:space="preserve">inguinal white adipose </w:t>
      </w:r>
      <w:r w:rsidR="006066A2">
        <w:rPr>
          <w:color w:val="000000" w:themeColor="text1"/>
        </w:rPr>
        <w:lastRenderedPageBreak/>
        <w:t xml:space="preserve">tissue (iWAT) </w:t>
      </w:r>
      <w:r w:rsidR="006C62DC">
        <w:rPr>
          <w:color w:val="000000" w:themeColor="text1"/>
        </w:rPr>
        <w:t xml:space="preserve">of these mice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r w:rsidR="0063145C">
        <w:rPr>
          <w:color w:val="000000" w:themeColor="text1"/>
        </w:rPr>
        <w:t xml:space="preserve">2.1 </w:t>
      </w:r>
      <w:r w:rsidR="00001E0D">
        <w:rPr>
          <w:color w:val="000000" w:themeColor="text1"/>
        </w:rPr>
        <w:t>fold</w:t>
      </w:r>
      <w:r w:rsidR="0063145C">
        <w:rPr>
          <w:color w:val="000000" w:themeColor="text1"/>
        </w:rPr>
        <w:t>, p=</w:t>
      </w:r>
      <w:r w:rsidR="00E66FF0">
        <w:rPr>
          <w:color w:val="000000" w:themeColor="text1"/>
        </w:rPr>
        <w:t>0.016</w:t>
      </w:r>
      <w:r w:rsidR="00001E0D">
        <w:rPr>
          <w:color w:val="000000" w:themeColor="text1"/>
        </w:rPr>
        <w:t xml:space="preserve">; </w:t>
      </w:r>
      <w:commentRangeStart w:id="97"/>
      <w:r w:rsidR="006066A2">
        <w:rPr>
          <w:color w:val="000000" w:themeColor="text1"/>
        </w:rPr>
        <w:t>Figure 4F</w:t>
      </w:r>
      <w:commentRangeEnd w:id="97"/>
      <w:r w:rsidR="00001E0D">
        <w:rPr>
          <w:rStyle w:val="CommentReference"/>
        </w:rPr>
        <w:commentReference w:id="97"/>
      </w:r>
      <w:r w:rsidR="006066A2">
        <w:rPr>
          <w:color w:val="000000" w:themeColor="text1"/>
        </w:rPr>
        <w:t xml:space="preserve">). </w:t>
      </w:r>
    </w:p>
    <w:p w14:paraId="30150844" w14:textId="77777777" w:rsidR="00EA22A1" w:rsidRDefault="00EA22A1">
      <w:pPr>
        <w:rPr>
          <w:color w:val="000000" w:themeColor="text1"/>
        </w:rPr>
      </w:pPr>
    </w:p>
    <w:p w14:paraId="4E33D16B" w14:textId="3B922A4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elevated</w:t>
      </w:r>
      <w:r w:rsidR="006E4F40">
        <w:rPr>
          <w:color w:val="000000" w:themeColor="text1"/>
        </w:rPr>
        <w:t xml:space="preserve"> by</w:t>
      </w:r>
      <w:r>
        <w:rPr>
          <w:color w:val="000000" w:themeColor="text1"/>
        </w:rPr>
        <w:t xml:space="preserve"> </w:t>
      </w:r>
      <w:r w:rsidR="006E4F40">
        <w:rPr>
          <w:color w:val="000000" w:themeColor="text1"/>
        </w:rPr>
        <w:t>measuring serum glycerol following a 16-hour fast (Figure 5A). We observed a nearly two</w:t>
      </w:r>
      <w:r w:rsidR="00F25095">
        <w:rPr>
          <w:color w:val="000000" w:themeColor="text1"/>
        </w:rPr>
        <w:t>-</w:t>
      </w:r>
      <w:r w:rsidR="006E4F40">
        <w:rPr>
          <w:color w:val="000000" w:themeColor="text1"/>
        </w:rPr>
        <w:t xml:space="preserve">fold increase in serum glycerol levels </w:t>
      </w:r>
      <w:r w:rsidR="004763F1">
        <w:rPr>
          <w:color w:val="000000" w:themeColor="text1"/>
        </w:rPr>
        <w:t>by dexamethasone</w:t>
      </w:r>
      <w:r w:rsidR="006E4F40">
        <w:rPr>
          <w:color w:val="000000" w:themeColor="text1"/>
        </w:rPr>
        <w:t xml:space="preserve"> in the HFD-fed animals.</w:t>
      </w:r>
      <w:r w:rsidR="004763F1">
        <w:rPr>
          <w:color w:val="000000" w:themeColor="text1"/>
        </w:rPr>
        <w:t xml:space="preserve"> </w:t>
      </w:r>
      <w:r w:rsidR="006E4F40">
        <w:rPr>
          <w:color w:val="000000" w:themeColor="text1"/>
        </w:rPr>
        <w:t xml:space="preserve">compared with only a 18% increase in </w:t>
      </w:r>
      <w:r>
        <w:rPr>
          <w:color w:val="000000" w:themeColor="text1"/>
        </w:rPr>
        <w:t xml:space="preserve">chow-fed mice. </w:t>
      </w:r>
      <w:r w:rsidR="006E4F40">
        <w:rPr>
          <w:color w:val="000000" w:themeColor="text1"/>
        </w:rPr>
        <w:t>There was</w:t>
      </w:r>
      <w:r w:rsidR="006E12A6">
        <w:rPr>
          <w:color w:val="000000" w:themeColor="text1"/>
        </w:rPr>
        <w:t xml:space="preserve"> was a significant interaction between </w:t>
      </w:r>
      <w:r w:rsidR="006E4F40">
        <w:rPr>
          <w:color w:val="000000" w:themeColor="text1"/>
        </w:rPr>
        <w:t xml:space="preserve">dexamethasone exposure </w:t>
      </w:r>
      <w:r w:rsidR="006E12A6">
        <w:rPr>
          <w:color w:val="000000" w:themeColor="text1"/>
        </w:rPr>
        <w:t>and diet (</w:t>
      </w:r>
      <w:r w:rsidR="00656421">
        <w:rPr>
          <w:color w:val="000000" w:themeColor="text1"/>
        </w:rPr>
        <w:t>p=0.</w:t>
      </w:r>
      <w:commentRangeStart w:id="98"/>
      <w:r w:rsidR="00656421">
        <w:rPr>
          <w:color w:val="000000" w:themeColor="text1"/>
        </w:rPr>
        <w:t>017</w:t>
      </w:r>
      <w:commentRangeEnd w:id="98"/>
      <w:r w:rsidR="00001E0D">
        <w:rPr>
          <w:rStyle w:val="CommentReference"/>
        </w:rPr>
        <w:commentReference w:id="98"/>
      </w:r>
      <w:r w:rsidR="00372755">
        <w:rPr>
          <w:color w:val="000000" w:themeColor="text1"/>
        </w:rPr>
        <w:t>)</w:t>
      </w:r>
      <w:r w:rsidR="006E4F40">
        <w:rPr>
          <w:color w:val="000000" w:themeColor="text1"/>
        </w:rPr>
        <w:t xml:space="preserve"> on glycerol levels, suggesting synergistically elevated lipolysis</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38C2EDA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lipolytic enzymes</w:t>
      </w:r>
      <w:r w:rsidR="00250376">
        <w:rPr>
          <w:color w:val="000000" w:themeColor="text1"/>
        </w:rPr>
        <w:t xml:space="preserve">, </w:t>
      </w:r>
      <w:commentRangeStart w:id="99"/>
      <w:r w:rsidR="00250376">
        <w:rPr>
          <w:color w:val="000000" w:themeColor="text1"/>
        </w:rPr>
        <w:t xml:space="preserve">ATGL </w:t>
      </w:r>
      <w:commentRangeStart w:id="100"/>
      <w:r w:rsidR="00250376">
        <w:rPr>
          <w:color w:val="000000" w:themeColor="text1"/>
        </w:rPr>
        <w:t>and</w:t>
      </w:r>
      <w:commentRangeEnd w:id="100"/>
      <w:r w:rsidR="00CB723C">
        <w:rPr>
          <w:rStyle w:val="CommentReference"/>
        </w:rPr>
        <w:commentReference w:id="100"/>
      </w:r>
      <w:r w:rsidR="00250376">
        <w:rPr>
          <w:color w:val="000000" w:themeColor="text1"/>
        </w:rPr>
        <w:t xml:space="preserve"> HSL</w:t>
      </w:r>
      <w:commentRangeEnd w:id="99"/>
      <w:r w:rsidR="00354C68">
        <w:rPr>
          <w:rStyle w:val="CommentReference"/>
        </w:rPr>
        <w:commentReference w:id="99"/>
      </w:r>
      <w:r w:rsidR="00250376">
        <w:rPr>
          <w:color w:val="000000" w:themeColor="text1"/>
        </w:rPr>
        <w:t>,</w:t>
      </w:r>
      <w:r>
        <w:rPr>
          <w:color w:val="000000" w:themeColor="text1"/>
        </w:rPr>
        <w:t xml:space="preserve"> in the iWAT of these </w:t>
      </w:r>
      <w:commentRangeStart w:id="101"/>
      <w:r>
        <w:rPr>
          <w:color w:val="000000" w:themeColor="text1"/>
        </w:rPr>
        <w:t>mice</w:t>
      </w:r>
      <w:commentRangeEnd w:id="101"/>
      <w:r w:rsidR="00D555D6">
        <w:rPr>
          <w:rStyle w:val="CommentReference"/>
        </w:rPr>
        <w:commentReference w:id="101"/>
      </w:r>
      <w:r w:rsidR="006E4062">
        <w:rPr>
          <w:color w:val="000000" w:themeColor="text1"/>
        </w:rPr>
        <w:t xml:space="preserve"> (5B,C)</w:t>
      </w:r>
      <w:r>
        <w:rPr>
          <w:color w:val="000000" w:themeColor="text1"/>
        </w:rPr>
        <w:t xml:space="preserve">. Consistent with the </w:t>
      </w:r>
      <w:r w:rsidR="00542DA7">
        <w:rPr>
          <w:color w:val="000000" w:themeColor="text1"/>
        </w:rPr>
        <w:t>hypothesis that ATGL activation could drive increased lipolysis in HFD and dexamethasone treated mice</w:t>
      </w:r>
      <w:r>
        <w:rPr>
          <w:color w:val="000000" w:themeColor="text1"/>
        </w:rPr>
        <w:t>, expression</w:t>
      </w:r>
      <w:r w:rsidR="005F037C">
        <w:rPr>
          <w:color w:val="000000" w:themeColor="text1"/>
        </w:rPr>
        <w:t xml:space="preserve"> of ATGL</w:t>
      </w:r>
      <w:r>
        <w:rPr>
          <w:color w:val="000000" w:themeColor="text1"/>
        </w:rPr>
        <w:t xml:space="preserve"> was elevated in </w:t>
      </w:r>
      <w:r w:rsidR="00542DA7">
        <w:rPr>
          <w:color w:val="000000" w:themeColor="text1"/>
        </w:rPr>
        <w:t xml:space="preserve">both </w:t>
      </w:r>
      <w:r>
        <w:rPr>
          <w:color w:val="000000" w:themeColor="text1"/>
        </w:rPr>
        <w:t>dexamethasone-treated groups</w:t>
      </w:r>
      <w:r w:rsidR="00542DA7">
        <w:rPr>
          <w:color w:val="000000" w:themeColor="text1"/>
        </w:rPr>
        <w:t xml:space="preserve">,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r w:rsidR="00D43057">
        <w:rPr>
          <w:color w:val="000000" w:themeColor="text1"/>
        </w:rPr>
        <w:t xml:space="preserve"> for the interaction</w:t>
      </w:r>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02"/>
      <w:commentRangeStart w:id="103"/>
      <w:commentRangeStart w:id="104"/>
      <w:r>
        <w:rPr>
          <w:color w:val="000000" w:themeColor="text1"/>
        </w:rPr>
        <w:t>These</w:t>
      </w:r>
      <w:commentRangeEnd w:id="102"/>
      <w:r w:rsidR="006139F2">
        <w:rPr>
          <w:rStyle w:val="CommentReference"/>
        </w:rPr>
        <w:commentReference w:id="102"/>
      </w:r>
      <w:commentRangeEnd w:id="103"/>
      <w:r w:rsidR="00001E0D">
        <w:rPr>
          <w:rStyle w:val="CommentReference"/>
        </w:rPr>
        <w:commentReference w:id="103"/>
      </w:r>
      <w:commentRangeEnd w:id="104"/>
      <w:r w:rsidR="00D770B9">
        <w:rPr>
          <w:rStyle w:val="CommentReference"/>
        </w:rPr>
        <w:commentReference w:id="104"/>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F25095">
        <w:rPr>
          <w:i/>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182A3A">
        <w:rPr>
          <w:color w:val="000000" w:themeColor="text1"/>
        </w:rPr>
        <w:t>,</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2924BE58" w:rsidR="00FE35A0" w:rsidRDefault="000A7B19" w:rsidP="00EA22A1">
      <w:pPr>
        <w:rPr>
          <w:ins w:id="105"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r w:rsidR="00182A3A">
        <w:rPr>
          <w:color w:val="000000" w:themeColor="text1"/>
        </w:rPr>
        <w:t>ere</w:t>
      </w:r>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w:t>
      </w:r>
      <w:r w:rsidR="007B76B7">
        <w:rPr>
          <w:color w:val="000000" w:themeColor="text1"/>
        </w:rPr>
        <w:lastRenderedPageBreak/>
        <w:t xml:space="preserve">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106"/>
      <w:r w:rsidR="00B32E07">
        <w:rPr>
          <w:color w:val="000000" w:themeColor="text1"/>
        </w:rPr>
        <w:t>glucocorticoids</w:t>
      </w:r>
      <w:commentRangeEnd w:id="106"/>
      <w:r w:rsidR="00B32E07">
        <w:rPr>
          <w:rStyle w:val="CommentReference"/>
        </w:rPr>
        <w:commentReference w:id="106"/>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107"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Lipolysis has been linked to increased gluconeogenesis by several studies</w:t>
      </w:r>
      <w:ins w:id="108" w:author="Microsoft Office User" w:date="2017-08-09T12:25:00Z">
        <w:r w:rsidR="00D646E1">
          <w:rPr>
            <w:color w:val="000000" w:themeColor="text1"/>
          </w:rPr>
          <w:t xml:space="preserve"> </w:t>
        </w:r>
      </w:ins>
      <w:ins w:id="109"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110"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C440FD">
        <w:rPr>
          <w:color w:val="000000" w:themeColor="text1"/>
        </w:rPr>
        <w:t>, a key function of these hormones</w:t>
      </w:r>
      <w:r w:rsidR="00FE35A0">
        <w:rPr>
          <w:color w:val="000000" w:themeColor="text1"/>
        </w:rPr>
        <w:t>.</w:t>
      </w:r>
      <w:r>
        <w:rPr>
          <w:color w:val="000000" w:themeColor="text1"/>
        </w:rPr>
        <w:t xml:space="preserve"> </w:t>
      </w:r>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r w:rsidR="00FE35A0">
        <w:rPr>
          <w:color w:val="000000" w:themeColor="text1"/>
        </w:rPr>
        <w:fldChar w:fldCharType="separate"/>
      </w:r>
      <w:r w:rsidR="00D646E1" w:rsidRPr="00D646E1">
        <w:rPr>
          <w:noProof/>
          <w:color w:val="000000" w:themeColor="text1"/>
        </w:rPr>
        <w:t>(53)</w:t>
      </w:r>
      <w:r w:rsidR="00FE35A0">
        <w:rPr>
          <w:color w:val="000000" w:themeColor="text1"/>
        </w:rPr>
        <w:fldChar w:fldCharType="end"/>
      </w:r>
      <w:r w:rsidR="00FE35A0">
        <w:rPr>
          <w:color w:val="000000" w:themeColor="text1"/>
        </w:rPr>
        <w:t>.</w:t>
      </w:r>
      <w:r w:rsidR="004574B3">
        <w:rPr>
          <w:color w:val="000000" w:themeColor="text1"/>
        </w:rPr>
        <w:t xml:space="preserve"> </w:t>
      </w:r>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r w:rsidR="00562E5E">
        <w:rPr>
          <w:color w:val="000000" w:themeColor="text1"/>
        </w:rPr>
        <w:t>s</w:t>
      </w:r>
      <w:r w:rsidR="003563CC">
        <w:rPr>
          <w:color w:val="000000" w:themeColor="text1"/>
        </w:rPr>
        <w:t xml:space="preserve">is </w:t>
      </w:r>
      <w:r w:rsidR="00190BDE">
        <w:rPr>
          <w:color w:val="000000" w:themeColor="text1"/>
        </w:rPr>
        <w:t xml:space="preserve">is also associated with </w:t>
      </w:r>
      <w:r w:rsidR="003563CC">
        <w:rPr>
          <w:color w:val="000000" w:themeColor="text1"/>
        </w:rPr>
        <w:t>NAFLD</w:t>
      </w:r>
      <w:r w:rsidR="00190BDE">
        <w:rPr>
          <w:color w:val="000000" w:themeColor="text1"/>
        </w:rPr>
        <w:t xml:space="preserve"> </w:t>
      </w:r>
      <w:r w:rsidR="00190BDE">
        <w:rPr>
          <w:color w:val="000000" w:themeColor="text1"/>
        </w:rPr>
        <w:fldChar w:fldCharType="begin" w:fldLock="1"/>
      </w:r>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r w:rsidR="00190BDE">
        <w:rPr>
          <w:color w:val="000000" w:themeColor="text1"/>
        </w:rPr>
        <w:fldChar w:fldCharType="end"/>
      </w:r>
      <w:r w:rsidR="003563CC">
        <w:rPr>
          <w:color w:val="000000" w:themeColor="text1"/>
        </w:rPr>
        <w:t>. We found synergistic elevations in glycerol, indicative of enhance lipolysis, as well as in hepatic fat accumulation</w:t>
      </w:r>
      <w:r w:rsidR="000F4220">
        <w:rPr>
          <w:color w:val="000000" w:themeColor="text1"/>
        </w:rPr>
        <w:t xml:space="preserve"> in the HFD-fed dexamethasone-treated mice</w:t>
      </w:r>
      <w:r w:rsidR="003563CC">
        <w:rPr>
          <w:color w:val="000000" w:themeColor="text1"/>
        </w:rPr>
        <w:t xml:space="preserve">, but there was no </w:t>
      </w:r>
      <w:r w:rsidR="000F4220">
        <w:rPr>
          <w:color w:val="000000" w:themeColor="text1"/>
        </w:rPr>
        <w:t>data to support enhanced</w:t>
      </w:r>
      <w:r w:rsidR="005801D2">
        <w:rPr>
          <w:color w:val="000000" w:themeColor="text1"/>
        </w:rPr>
        <w:t xml:space="preserve"> hepatic</w:t>
      </w:r>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r w:rsidR="00E603E5">
        <w:rPr>
          <w:color w:val="000000" w:themeColor="text1"/>
        </w:rPr>
        <w:t xml:space="preserve"> These findings suggest that lipolysis is driving </w:t>
      </w:r>
      <w:r w:rsidR="00CA3800">
        <w:rPr>
          <w:color w:val="000000" w:themeColor="text1"/>
        </w:rPr>
        <w:t>enhanced</w:t>
      </w:r>
      <w:r w:rsidR="00E603E5">
        <w:rPr>
          <w:color w:val="000000" w:themeColor="text1"/>
        </w:rPr>
        <w:t xml:space="preserve"> hepatic lipid accumulation in these mice.</w:t>
      </w:r>
    </w:p>
    <w:p w14:paraId="29829940" w14:textId="77777777" w:rsidR="00CD6325" w:rsidRDefault="00CD6325" w:rsidP="00EA22A1">
      <w:pPr>
        <w:rPr>
          <w:color w:val="000000" w:themeColor="text1"/>
        </w:rPr>
      </w:pPr>
    </w:p>
    <w:p w14:paraId="1CD3293E" w14:textId="7566D4CD" w:rsidR="00EA22A1" w:rsidRDefault="0015242A" w:rsidP="0015242A">
      <w:pPr>
        <w:rPr>
          <w:color w:val="000000" w:themeColor="text1"/>
        </w:rPr>
      </w:pPr>
      <w:r>
        <w:rPr>
          <w:color w:val="000000" w:themeColor="text1"/>
        </w:rPr>
        <w:t xml:space="preserve">There is some debate as to which genes glucocorticoids are acting on to promote lipolysis. Downregulation of </w:t>
      </w:r>
      <w:r w:rsidRPr="007069CE">
        <w:rPr>
          <w:i/>
          <w:color w:val="000000" w:themeColor="text1"/>
        </w:rPr>
        <w:t>Pde3b</w:t>
      </w:r>
      <w:r>
        <w:rPr>
          <w:color w:val="000000" w:themeColor="text1"/>
        </w:rPr>
        <w:t xml:space="preserve"> </w:t>
      </w:r>
      <w:r>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(55)</w:t>
      </w:r>
      <w:r>
        <w:rPr>
          <w:color w:val="000000" w:themeColor="text1"/>
        </w:rPr>
        <w:fldChar w:fldCharType="end"/>
      </w:r>
      <w:r>
        <w:rPr>
          <w:color w:val="000000" w:themeColor="text1"/>
        </w:rPr>
        <w:t xml:space="preserve"> and upregulation of </w:t>
      </w:r>
      <w:r>
        <w:rPr>
          <w:rFonts w:ascii="Symbol" w:hAnsi="Symbol"/>
          <w:color w:val="000000" w:themeColor="text1"/>
        </w:rPr>
        <w:t></w:t>
      </w:r>
      <w:r>
        <w:rPr>
          <w:color w:val="000000" w:themeColor="text1"/>
        </w:rPr>
        <w:t xml:space="preserve">-adrenergic receptors </w:t>
      </w:r>
      <w:r>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(56)</w:t>
      </w:r>
      <w:r>
        <w:rPr>
          <w:color w:val="000000" w:themeColor="text1"/>
        </w:rPr>
        <w:fldChar w:fldCharType="end"/>
      </w:r>
      <w:r>
        <w:rPr>
          <w:color w:val="000000" w:themeColor="text1"/>
        </w:rPr>
        <w:t xml:space="preserve"> and lipase </w:t>
      </w:r>
      <w:commentRangeStart w:id="111"/>
      <w:r>
        <w:rPr>
          <w:color w:val="000000" w:themeColor="text1"/>
        </w:rPr>
        <w:t>transcripts</w:t>
      </w:r>
      <w:commentRangeEnd w:id="111"/>
      <w:r>
        <w:rPr>
          <w:rStyle w:val="CommentReference"/>
        </w:rPr>
        <w:commentReference w:id="111"/>
      </w:r>
      <w:r>
        <w:rPr>
          <w:color w:val="000000" w:themeColor="text1"/>
        </w:rPr>
        <w:t xml:space="preserve"> </w:t>
      </w:r>
      <w:r>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(57)</w:t>
      </w:r>
      <w:r>
        <w:rPr>
          <w:color w:val="000000" w:themeColor="text1"/>
        </w:rPr>
        <w:fldChar w:fldCharType="end"/>
      </w:r>
      <w:r>
        <w:rPr>
          <w:color w:val="000000" w:themeColor="text1"/>
        </w:rPr>
        <w:t xml:space="preserve"> have been proposed as possible mechanisms. We assessed all of the previously proposed targets and found </w:t>
      </w:r>
      <w:r w:rsidR="00D843E3">
        <w:rPr>
          <w:color w:val="000000" w:themeColor="text1"/>
        </w:rPr>
        <w:t>a</w:t>
      </w:r>
      <w:r w:rsidR="00102DFF">
        <w:rPr>
          <w:color w:val="000000" w:themeColor="text1"/>
        </w:rPr>
        <w:t>dipose triglyceride lipase (</w:t>
      </w:r>
      <w:r>
        <w:rPr>
          <w:color w:val="000000" w:themeColor="text1"/>
        </w:rPr>
        <w:t>ATGL</w:t>
      </w:r>
      <w:r w:rsidR="00102DFF">
        <w:rPr>
          <w:color w:val="000000" w:themeColor="text1"/>
        </w:rPr>
        <w:t>)</w:t>
      </w:r>
      <w:r w:rsidR="00A61718">
        <w:rPr>
          <w:color w:val="000000" w:themeColor="text1"/>
        </w:rPr>
        <w:t>, the rate limiting enzyme for adipose triglyceride lipolysis</w:t>
      </w:r>
      <w:r w:rsidR="00FB521F">
        <w:rPr>
          <w:color w:val="000000" w:themeColor="text1"/>
        </w:rPr>
        <w:t>,</w:t>
      </w:r>
      <w:r>
        <w:rPr>
          <w:color w:val="000000" w:themeColor="text1"/>
        </w:rPr>
        <w:t xml:space="preserve"> to be synergistically activated by obesity and glucocorticoid-treatment. </w:t>
      </w:r>
      <w:r w:rsidR="001F0B65">
        <w:rPr>
          <w:color w:val="000000" w:themeColor="text1"/>
        </w:rPr>
        <w:t xml:space="preserve">These findings </w:t>
      </w:r>
      <w:r w:rsidR="00F25095">
        <w:rPr>
          <w:color w:val="000000" w:themeColor="text1"/>
        </w:rPr>
        <w:t>bear a striking resemblance to</w:t>
      </w:r>
      <w:r w:rsidR="001F0B65">
        <w:rPr>
          <w:color w:val="000000" w:themeColor="text1"/>
        </w:rPr>
        <w:t xml:space="preserve"> elevations in glycerol levels</w:t>
      </w:r>
      <w:r w:rsidR="00ED441B">
        <w:rPr>
          <w:color w:val="000000" w:themeColor="text1"/>
        </w:rPr>
        <w:t xml:space="preserve"> in</w:t>
      </w:r>
      <w:r w:rsidR="00621EDB">
        <w:rPr>
          <w:color w:val="000000" w:themeColor="text1"/>
        </w:rPr>
        <w:t xml:space="preserve"> obese, dexamethasone-treated mice</w:t>
      </w:r>
      <w:r w:rsidR="0014428B">
        <w:rPr>
          <w:color w:val="000000" w:themeColor="text1"/>
        </w:rPr>
        <w:t xml:space="preserve"> when compared to </w:t>
      </w:r>
      <w:r>
        <w:rPr>
          <w:color w:val="000000" w:themeColor="text1"/>
        </w:rPr>
        <w:t>diet or glucocorticoid-alone controls</w:t>
      </w:r>
      <w:r w:rsidR="00621EDB">
        <w:rPr>
          <w:color w:val="000000" w:themeColor="text1"/>
        </w:rPr>
        <w:t>.</w:t>
      </w:r>
      <w:r w:rsidR="00AE79F4">
        <w:rPr>
          <w:color w:val="000000" w:themeColor="text1"/>
        </w:rPr>
        <w:t xml:space="preserve"> </w:t>
      </w:r>
      <w:r>
        <w:rPr>
          <w:color w:val="000000" w:themeColor="text1"/>
        </w:rPr>
        <w:t>The mechanisms by which obesity and glucocorticoids synergize to activate ATGL expression are not clear at this time.</w:t>
      </w: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04FEAF7E" w:rsidR="009C5B00" w:rsidRDefault="00794B8D" w:rsidP="009C5B00">
      <w:pPr>
        <w:rPr>
          <w:color w:val="000000" w:themeColor="text1"/>
        </w:rPr>
      </w:pPr>
      <w:r>
        <w:rPr>
          <w:color w:val="000000" w:themeColor="text1"/>
        </w:rPr>
        <w:t>In summary, g</w:t>
      </w:r>
      <w:r w:rsidR="009C5B00">
        <w:rPr>
          <w:color w:val="000000" w:themeColor="text1"/>
        </w:rPr>
        <w:t>lucocorticoids are commonly prescribed drug</w:t>
      </w:r>
      <w:r w:rsidR="000112F1">
        <w:rPr>
          <w:color w:val="000000" w:themeColor="text1"/>
        </w:rPr>
        <w:t>s</w:t>
      </w:r>
      <w:r w:rsidR="009C5B00">
        <w:rPr>
          <w:color w:val="000000" w:themeColor="text1"/>
        </w:rPr>
        <w:t xml:space="preserve"> used to treat a multitude of health issues</w:t>
      </w:r>
      <w:ins w:id="112"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lastRenderedPageBreak/>
        <w:t>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113"/>
      <w:r w:rsidR="004B1467">
        <w:rPr>
          <w:bCs/>
          <w:iCs/>
        </w:rPr>
        <w:t>Core</w:t>
      </w:r>
      <w:commentRangeEnd w:id="113"/>
      <w:r w:rsidR="004B1467">
        <w:rPr>
          <w:rStyle w:val="CommentReference"/>
        </w:rPr>
        <w:commentReference w:id="113"/>
      </w:r>
      <w:r>
        <w:rPr>
          <w:bCs/>
        </w:rPr>
        <w:t>.</w:t>
      </w:r>
      <w:r w:rsidR="00A23F57">
        <w:rPr>
          <w:bCs/>
        </w:rPr>
        <w:t xml:space="preserve">  We would like to thank the other members of the Bridges laboratory, Thurl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 xml:space="preserve">Rockall A, Sohaib S, Evans D, Kaltsas G, Isidori A, Monson J, Besser G, Grossman A, Reznek R. Hepatic steatosis in Cushing’s syndrome: a radiological assessment using computed tomography. Eur J Endocrinol [Internet]. 2003;149:543–8. Available from: </w:t>
      </w:r>
      <w:r w:rsidRPr="00190BDE">
        <w:rPr>
          <w:rFonts w:ascii="Calibri" w:eastAsia="Times New Roman" w:hAnsi="Calibri" w:cs="Times New Roman"/>
          <w:noProof/>
        </w:rPr>
        <w:lastRenderedPageBreak/>
        <w:t>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w:t>
      </w:r>
      <w:r w:rsidRPr="00190BDE">
        <w:rPr>
          <w:rFonts w:ascii="Calibri" w:eastAsia="Times New Roman" w:hAnsi="Calibri" w:cs="Times New Roman"/>
          <w:noProof/>
        </w:rPr>
        <w:lastRenderedPageBreak/>
        <w:t xml:space="preserve">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 xml:space="preserve">Jaruvongvanich V, Wirunsawanya K, Sanguankeo A. Nonalcoholic fatty liver disease is associated with coronary artery calcification : A systematic review and meta-analysis. Dig </w:t>
      </w:r>
      <w:r w:rsidRPr="00190BDE">
        <w:rPr>
          <w:rFonts w:ascii="Calibri" w:eastAsia="Times New Roman" w:hAnsi="Calibri" w:cs="Times New Roman"/>
          <w:noProof/>
        </w:rPr>
        <w:lastRenderedPageBreak/>
        <w:t>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lastRenderedPageBreak/>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D13F22"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r w:rsidR="00CC09E6">
          <w:rPr>
            <w:rStyle w:val="Hyperlink"/>
            <w:rFonts w:ascii="Helvetica" w:eastAsia="Times New Roman" w:hAnsi="Helvetica"/>
            <w:color w:val="202020"/>
          </w:rPr>
          <w:t>Aart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r>
        <w:t>bev hong faaty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1"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2"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3"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4"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Gabriele Schoiswohl, Maja Stefanovic-Racic, Marie N. Menke, Rachel C. Wills, Beth A. Surlow, Mahesh K. Basantani, Mitch T. Sitnick, Lingzhi Cai, Cynthia F. Yazbeck, Donna B. Stolz, Thomas Pulinilkunnil, Robert M. O'Doherty, Erin E. Kershaw</w:t>
      </w:r>
    </w:p>
    <w:p w14:paraId="1BD12E96" w14:textId="42F4EC96" w:rsidR="00DB12BD" w:rsidRDefault="00DB12BD">
      <w:pPr>
        <w:pStyle w:val="CommentText"/>
      </w:pPr>
    </w:p>
  </w:comment>
  <w:comment w:id="55"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56"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57" w:author="Dave Bridges" w:date="2017-07-31T17:31:00Z" w:initials="DB">
    <w:p w14:paraId="769061EE" w14:textId="4353F324" w:rsidR="00CC09E6" w:rsidRDefault="00CC09E6">
      <w:pPr>
        <w:pStyle w:val="CommentText"/>
      </w:pPr>
      <w:r>
        <w:rPr>
          <w:rStyle w:val="CommentReference"/>
        </w:rPr>
        <w:annotationRef/>
      </w:r>
      <w:r>
        <w:t>Ask Nathan what he would like to do here, write a section or  reference a paper.</w:t>
      </w:r>
    </w:p>
  </w:comment>
  <w:comment w:id="59"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62"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65"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66" w:author="Microsoft Office User" w:date="2017-08-07T13:40:00Z" w:initials="Office">
    <w:p w14:paraId="74D7E7C9" w14:textId="614361E1" w:rsidR="007D5D9F" w:rsidRDefault="007D5D9F">
      <w:pPr>
        <w:pStyle w:val="CommentText"/>
      </w:pPr>
      <w:r>
        <w:rPr>
          <w:rStyle w:val="CommentReference"/>
        </w:rPr>
        <w:annotationRef/>
      </w:r>
      <w:r>
        <w:t>We will not be including the trichrome, I am unsure as to whether we need to include the HandE stains or not.</w:t>
      </w:r>
    </w:p>
  </w:comment>
  <w:comment w:id="7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7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7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7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75" w:author="Microsoft Office User" w:date="2017-02-02T16:22:00Z" w:initials="Office">
    <w:p w14:paraId="5A197858" w14:textId="5D871020" w:rsidR="00CC09E6" w:rsidRDefault="00CC09E6">
      <w:pPr>
        <w:pStyle w:val="CommentText"/>
      </w:pPr>
      <w:r>
        <w:rPr>
          <w:rStyle w:val="CommentReference"/>
        </w:rPr>
        <w:annotationRef/>
      </w:r>
      <w:r>
        <w:t>Taken partially from hatfield paper</w:t>
      </w:r>
    </w:p>
  </w:comment>
  <w:comment w:id="7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77"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81"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82"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83"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84" w:author="Microsoft Office User" w:date="2017-07-17T17:01:00Z" w:initials="Office">
    <w:p w14:paraId="4C37C0D4" w14:textId="1E5C5B42" w:rsidR="00CC09E6" w:rsidRDefault="00CC09E6">
      <w:pPr>
        <w:pStyle w:val="CommentText"/>
      </w:pPr>
      <w:r>
        <w:rPr>
          <w:rStyle w:val="CommentReference"/>
        </w:rPr>
        <w:annotationRef/>
      </w:r>
      <w:r>
        <w:t xml:space="preserve">There  are no stats associated with this script. </w:t>
      </w:r>
    </w:p>
  </w:comment>
  <w:comment w:id="85" w:author="Microsoft Office User" w:date="2017-07-17T16:59:00Z" w:initials="Office">
    <w:p w14:paraId="7B578398" w14:textId="67231E1B" w:rsidR="00CC09E6" w:rsidRDefault="00CC09E6">
      <w:pPr>
        <w:pStyle w:val="CommentText"/>
      </w:pPr>
      <w:r>
        <w:rPr>
          <w:rStyle w:val="CommentReference"/>
        </w:rPr>
        <w:annotationRef/>
      </w:r>
      <w:r>
        <w:t>pval</w:t>
      </w:r>
    </w:p>
  </w:comment>
  <w:comment w:id="86" w:author="Microsoft Office User" w:date="2017-07-17T16:59:00Z" w:initials="Office">
    <w:p w14:paraId="7598685D" w14:textId="4A736CF7" w:rsidR="00CC09E6" w:rsidRDefault="00CC09E6">
      <w:pPr>
        <w:pStyle w:val="CommentText"/>
      </w:pPr>
      <w:r>
        <w:rPr>
          <w:rStyle w:val="CommentReference"/>
        </w:rPr>
        <w:annotationRef/>
      </w:r>
      <w:r>
        <w:t>pval</w:t>
      </w:r>
    </w:p>
  </w:comment>
  <w:comment w:id="87"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88" w:author="Microsoft Office User" w:date="2017-07-17T16:59:00Z" w:initials="Office">
    <w:p w14:paraId="78AA55A0" w14:textId="20EDC575" w:rsidR="00CC09E6" w:rsidRDefault="00CC09E6">
      <w:pPr>
        <w:pStyle w:val="CommentText"/>
      </w:pPr>
      <w:r>
        <w:rPr>
          <w:rStyle w:val="CommentReference"/>
        </w:rPr>
        <w:annotationRef/>
      </w:r>
      <w:r>
        <w:t>Pval—need a script for this one</w:t>
      </w:r>
    </w:p>
  </w:comment>
  <w:comment w:id="89" w:author="Microsoft Office User" w:date="2017-07-18T12:12:00Z" w:initials="Office">
    <w:p w14:paraId="3997967C" w14:textId="77D9BC06" w:rsidR="00CC09E6" w:rsidRDefault="00CC09E6">
      <w:pPr>
        <w:pStyle w:val="CommentText"/>
      </w:pPr>
      <w:r>
        <w:rPr>
          <w:rStyle w:val="CommentReference"/>
        </w:rPr>
        <w:annotationRef/>
      </w:r>
      <w:r>
        <w:t>I am going back and forth about whether to include information here on Lipe, Lpl,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90" w:author="Dave Bridges" w:date="2017-08-10T17:13:00Z" w:initials="DB">
    <w:p w14:paraId="770131B3" w14:textId="3F8EE51D" w:rsidR="00EE515D" w:rsidRDefault="00EE515D">
      <w:pPr>
        <w:pStyle w:val="CommentText"/>
      </w:pPr>
      <w:r>
        <w:rPr>
          <w:rStyle w:val="CommentReference"/>
        </w:rPr>
        <w:annotationRef/>
      </w:r>
      <w:r>
        <w:t>Lets start without it, and then re-evaluate it once everything is together.</w:t>
      </w:r>
    </w:p>
  </w:comment>
  <w:comment w:id="91" w:author="Microsoft Office User" w:date="2017-07-13T16:00:00Z" w:initials="Office">
    <w:p w14:paraId="5C99A5C3" w14:textId="78CB0225" w:rsidR="00CC09E6" w:rsidRDefault="00CC09E6">
      <w:pPr>
        <w:pStyle w:val="CommentText"/>
      </w:pPr>
      <w:r>
        <w:rPr>
          <w:rStyle w:val="CommentReference"/>
        </w:rPr>
        <w:annotationRef/>
      </w:r>
      <w:r>
        <w:t>cite</w:t>
      </w:r>
    </w:p>
  </w:comment>
  <w:comment w:id="92" w:author="Microsoft Office User" w:date="2017-07-18T11:18:00Z" w:initials="Office">
    <w:p w14:paraId="67984F1A" w14:textId="6823C125" w:rsidR="00CC09E6" w:rsidRDefault="00CC09E6">
      <w:pPr>
        <w:pStyle w:val="CommentText"/>
      </w:pPr>
      <w:r>
        <w:rPr>
          <w:rStyle w:val="CommentReference"/>
        </w:rPr>
        <w:annotationRef/>
      </w:r>
      <w:r>
        <w:t>insert pval</w:t>
      </w:r>
    </w:p>
  </w:comment>
  <w:comment w:id="93" w:author="Microsoft Office User" w:date="2017-07-18T11:18:00Z" w:initials="Office">
    <w:p w14:paraId="23749535" w14:textId="3EB59AA2" w:rsidR="00CC09E6" w:rsidRDefault="00CC09E6">
      <w:pPr>
        <w:pStyle w:val="CommentText"/>
      </w:pPr>
      <w:r>
        <w:rPr>
          <w:rStyle w:val="CommentReference"/>
        </w:rPr>
        <w:annotationRef/>
      </w:r>
      <w:r>
        <w:t>insert pval</w:t>
      </w:r>
    </w:p>
  </w:comment>
  <w:comment w:id="94" w:author="Microsoft Office User" w:date="2017-07-18T12:06:00Z" w:initials="Office">
    <w:p w14:paraId="7298D3C5" w14:textId="02DF7B99" w:rsidR="00CC09E6" w:rsidRDefault="00CC09E6">
      <w:pPr>
        <w:pStyle w:val="CommentText"/>
      </w:pPr>
      <w:r>
        <w:rPr>
          <w:rStyle w:val="CommentReference"/>
        </w:rPr>
        <w:annotationRef/>
      </w:r>
      <w:r>
        <w:t>Insert pval</w:t>
      </w:r>
    </w:p>
  </w:comment>
  <w:comment w:id="95" w:author="Dave Bridges" w:date="2017-07-31T18:08:00Z" w:initials="DB">
    <w:p w14:paraId="4E3089B1" w14:textId="405C6DB3" w:rsidR="00CC09E6" w:rsidRDefault="00CC09E6">
      <w:pPr>
        <w:pStyle w:val="CommentText"/>
      </w:pPr>
      <w:r>
        <w:rPr>
          <w:rStyle w:val="CommentReference"/>
        </w:rPr>
        <w:annotationRef/>
      </w:r>
      <w:r>
        <w:t>add</w:t>
      </w:r>
    </w:p>
  </w:comment>
  <w:comment w:id="96" w:author="Dave Bridges" w:date="2017-08-11T11:40:00Z" w:initials="DB">
    <w:p w14:paraId="39C0F535" w14:textId="1D6425F3" w:rsidR="00467863" w:rsidRDefault="00467863">
      <w:pPr>
        <w:pStyle w:val="CommentText"/>
      </w:pPr>
      <w:r>
        <w:rPr>
          <w:rStyle w:val="CommentReference"/>
        </w:rPr>
        <w:annotationRef/>
      </w:r>
      <w:r>
        <w:t>add some references for this</w:t>
      </w:r>
    </w:p>
  </w:comment>
  <w:comment w:id="97" w:author="Dave Bridges" w:date="2017-07-31T18:10:00Z" w:initials="DB">
    <w:p w14:paraId="56097170" w14:textId="1A3F902E" w:rsidR="00CC09E6" w:rsidRDefault="00CC09E6">
      <w:pPr>
        <w:pStyle w:val="CommentText"/>
      </w:pPr>
      <w:r>
        <w:rPr>
          <w:rStyle w:val="CommentReference"/>
        </w:rPr>
        <w:annotationRef/>
      </w:r>
      <w:r>
        <w:t>Make sure that in the figure legend for these data you make clear that these were older mice, on dex longer.  I don’t remember when you did the isoproterenol tests, but we need to put that in the figure legend as well.</w:t>
      </w:r>
    </w:p>
  </w:comment>
  <w:comment w:id="98"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00"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99"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01"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02" w:author="Microsoft Office User" w:date="2017-07-26T11:27:00Z" w:initials="Office">
    <w:p w14:paraId="41F6CE06" w14:textId="7A831570" w:rsidR="00CC09E6" w:rsidRDefault="00CC09E6">
      <w:pPr>
        <w:pStyle w:val="CommentText"/>
      </w:pPr>
      <w:r>
        <w:rPr>
          <w:rStyle w:val="CommentReference"/>
        </w:rPr>
        <w:annotationRef/>
      </w:r>
      <w:r>
        <w:t>Add info on lipe/hsl</w:t>
      </w:r>
    </w:p>
  </w:comment>
  <w:comment w:id="103"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04"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06"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11" w:author="Microsoft Office User" w:date="2017-07-31T12:15:00Z" w:initials="Office">
    <w:p w14:paraId="5B8B5D10" w14:textId="77777777" w:rsidR="00CC09E6" w:rsidRDefault="00CC09E6" w:rsidP="0015242A">
      <w:pPr>
        <w:pStyle w:val="CommentText"/>
      </w:pPr>
      <w:r>
        <w:rPr>
          <w:rStyle w:val="CommentReference"/>
        </w:rPr>
        <w:annotationRef/>
      </w:r>
      <w:r>
        <w:t>This paper shows cAMP decreased with gc treatment which also would refute the increased pde3b</w:t>
      </w:r>
    </w:p>
  </w:comment>
  <w:comment w:id="113"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81C557A" w15:done="0"/>
  <w15:commentEx w15:paraId="3D67746D" w15:paraIdParent="781C557A" w15:done="0"/>
  <w15:commentEx w15:paraId="5C083476" w15:done="0"/>
  <w15:commentEx w15:paraId="1BD12E96" w15:paraIdParent="5C083476"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7298D3C5" w15:done="0"/>
  <w15:commentEx w15:paraId="4E3089B1" w15:done="0"/>
  <w15:commentEx w15:paraId="39C0F535"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E91"/>
    <w:rsid w:val="00053E04"/>
    <w:rsid w:val="00054F8A"/>
    <w:rsid w:val="00055153"/>
    <w:rsid w:val="000553E0"/>
    <w:rsid w:val="000569DF"/>
    <w:rsid w:val="00062BF3"/>
    <w:rsid w:val="000630DD"/>
    <w:rsid w:val="00064776"/>
    <w:rsid w:val="00067455"/>
    <w:rsid w:val="00067ABF"/>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2FA8"/>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11C"/>
    <w:rsid w:val="001C3F28"/>
    <w:rsid w:val="001C4119"/>
    <w:rsid w:val="001D224D"/>
    <w:rsid w:val="001D5F06"/>
    <w:rsid w:val="001E3102"/>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1771"/>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67863"/>
    <w:rsid w:val="00471634"/>
    <w:rsid w:val="00472259"/>
    <w:rsid w:val="00472706"/>
    <w:rsid w:val="00472CEF"/>
    <w:rsid w:val="004763F1"/>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5A51"/>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0C14"/>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3963"/>
    <w:rsid w:val="00A4746A"/>
    <w:rsid w:val="00A51C76"/>
    <w:rsid w:val="00A57C9E"/>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03D9"/>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05F0E"/>
    <w:rsid w:val="00D1071D"/>
    <w:rsid w:val="00D1207D"/>
    <w:rsid w:val="00D13F22"/>
    <w:rsid w:val="00D20207"/>
    <w:rsid w:val="00D20CE2"/>
    <w:rsid w:val="00D23330"/>
    <w:rsid w:val="00D23A97"/>
    <w:rsid w:val="00D23BC2"/>
    <w:rsid w:val="00D24DAD"/>
    <w:rsid w:val="00D25531"/>
    <w:rsid w:val="00D26519"/>
    <w:rsid w:val="00D3156D"/>
    <w:rsid w:val="00D32519"/>
    <w:rsid w:val="00D37D3E"/>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1ED1"/>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C2A3E"/>
    <w:rsid w:val="00EC55B9"/>
    <w:rsid w:val="00EC5E9F"/>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1709</TotalTime>
  <Pages>13</Pages>
  <Words>29427</Words>
  <Characters>167737</Characters>
  <Application>Microsoft Macintosh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672</cp:revision>
  <dcterms:created xsi:type="dcterms:W3CDTF">2016-09-21T15:11:00Z</dcterms:created>
  <dcterms:modified xsi:type="dcterms:W3CDTF">2017-08-14T15:46:00Z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