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6902F6" w:rsidRDefault="00A6710F" w:rsidP="00E046CC">
      <w:pPr>
        <w:jc w:val="center"/>
        <w:rPr>
          <w:b/>
          <w:color w:val="000000" w:themeColor="text1"/>
          <w:sz w:val="56"/>
          <w:u w:val="single"/>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D3C23FE"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40ED0966"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staggering statistic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6C10D2F8"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Pr="006902F6">
        <w:rPr>
          <w:color w:val="000000" w:themeColor="text1"/>
        </w:rPr>
        <w:t xml:space="preserve"> and 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4F81EE7B"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F04050" w:rsidRPr="006902F6">
        <w:rPr>
          <w:color w:val="000000" w:themeColor="text1"/>
        </w:rPr>
        <w:t xml:space="preserve">Recent tissue-specific knockouts of </w:t>
      </w:r>
      <w:r w:rsidR="00322670" w:rsidRPr="006902F6">
        <w:rPr>
          <w:color w:val="000000" w:themeColor="text1"/>
        </w:rPr>
        <w:t xml:space="preserve">glucocorticoid </w:t>
      </w:r>
      <w:r w:rsidR="00D02AAC" w:rsidRPr="006902F6">
        <w:rPr>
          <w:color w:val="000000" w:themeColor="text1"/>
        </w:rPr>
        <w:t>signaling molecules</w:t>
      </w:r>
      <w:r w:rsidR="00F04050" w:rsidRPr="006902F6">
        <w:rPr>
          <w:color w:val="000000" w:themeColor="text1"/>
        </w:rPr>
        <w:t xml:space="preserve"> have implicated adipose tissue as a central node linking glucocorticoid action and lipolysis to </w:t>
      </w:r>
      <w:r w:rsidR="00C15F0C" w:rsidRPr="006902F6">
        <w:rPr>
          <w:color w:val="000000" w:themeColor="text1"/>
        </w:rPr>
        <w:t xml:space="preserve">systemic insulin resistance </w:t>
      </w:r>
      <w:r w:rsidR="00C15F0C" w:rsidRPr="006902F6">
        <w:rPr>
          <w:color w:val="000000" w:themeColor="text1"/>
        </w:rPr>
        <w:lastRenderedPageBreak/>
        <w:t>and NAFLD</w:t>
      </w:r>
      <w:r w:rsidR="00362D96" w:rsidRPr="006902F6">
        <w:rPr>
          <w:color w:val="000000" w:themeColor="text1"/>
        </w:rPr>
        <w:t xml:space="preserve"> </w:t>
      </w:r>
      <w:r w:rsidR="00362D96" w:rsidRPr="006902F6">
        <w:rPr>
          <w:color w:val="000000" w:themeColor="text1"/>
        </w:rPr>
        <w:fldChar w:fldCharType="begin" w:fldLock="1"/>
      </w:r>
      <w:r w:rsidR="007B3667" w:rsidRPr="006902F6">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rsidRPr="006902F6">
        <w:rPr>
          <w:color w:val="000000" w:themeColor="text1"/>
        </w:rPr>
        <w:fldChar w:fldCharType="separate"/>
      </w:r>
      <w:r w:rsidR="00993BF0" w:rsidRPr="006902F6">
        <w:rPr>
          <w:noProof/>
          <w:color w:val="000000" w:themeColor="text1"/>
        </w:rPr>
        <w:t>(31–34)</w:t>
      </w:r>
      <w:r w:rsidR="00362D96" w:rsidRPr="006902F6">
        <w:rPr>
          <w:color w:val="000000" w:themeColor="text1"/>
        </w:rPr>
        <w:fldChar w:fldCharType="end"/>
      </w:r>
      <w:r w:rsidR="00C15F0C" w:rsidRPr="006902F6">
        <w:rPr>
          <w:color w:val="000000" w:themeColor="text1"/>
        </w:rPr>
        <w:t xml:space="preserve">.  </w:t>
      </w:r>
      <w:r w:rsidR="00C8304F" w:rsidRPr="006902F6">
        <w:rPr>
          <w:color w:val="000000" w:themeColor="text1"/>
        </w:rPr>
        <w:t xml:space="preserve"> </w:t>
      </w:r>
      <w:r w:rsidR="00E7085A" w:rsidRPr="006902F6">
        <w:rPr>
          <w:color w:val="000000" w:themeColor="text1"/>
        </w:rPr>
        <w:t>Lipolysis is the breakdown of tri</w:t>
      </w:r>
      <w:r w:rsidR="00277EDC" w:rsidRPr="006902F6">
        <w:rPr>
          <w:color w:val="000000" w:themeColor="text1"/>
        </w:rPr>
        <w:t>glyceride</w:t>
      </w:r>
      <w:r w:rsidR="00E7085A" w:rsidRPr="006902F6">
        <w:rPr>
          <w:color w:val="000000" w:themeColor="text1"/>
        </w:rPr>
        <w:t xml:space="preserve"> into fatty acids and glycerol.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7B3667"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993BF0" w:rsidRPr="006902F6">
        <w:rPr>
          <w:noProof/>
          <w:color w:val="000000" w:themeColor="text1"/>
        </w:rPr>
        <w:t>(25,35–37)</w:t>
      </w:r>
      <w:r w:rsidR="00A7248A" w:rsidRPr="006902F6">
        <w:rPr>
          <w:color w:val="000000" w:themeColor="text1"/>
        </w:rPr>
        <w:fldChar w:fldCharType="end"/>
      </w:r>
      <w:r w:rsidR="00AC19E1" w:rsidRPr="006902F6">
        <w:rPr>
          <w:color w:val="000000" w:themeColor="text1"/>
        </w:rPr>
        <w:t>.</w:t>
      </w:r>
    </w:p>
    <w:p w14:paraId="0E231417" w14:textId="77777777" w:rsidR="008607FC" w:rsidRPr="006902F6" w:rsidRDefault="008607FC" w:rsidP="0048623D">
      <w:pPr>
        <w:rPr>
          <w:color w:val="000000" w:themeColor="text1"/>
        </w:rPr>
      </w:pPr>
    </w:p>
    <w:p w14:paraId="3D923644" w14:textId="722A0D0C"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26F097D1"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p>
    <w:p w14:paraId="36556794" w14:textId="77777777" w:rsidR="004B1467" w:rsidRPr="006902F6" w:rsidRDefault="004B1467" w:rsidP="009C4CFA">
      <w:pPr>
        <w:rPr>
          <w:color w:val="000000" w:themeColor="text1"/>
        </w:rPr>
      </w:pPr>
    </w:p>
    <w:p w14:paraId="2D64B995" w14:textId="1B220989"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(Bar Harbor, ME, USA) 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Research Diets, New Brunswick, NJ; ID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ins w:id="0" w:author="Dave Bridges" w:date="2017-08-16T16:03:00Z">
        <w:r w:rsidR="00915C5C" w:rsidRPr="006902F6">
          <w:rPr>
            <w:rFonts w:eastAsia="Times New Roman" w:cs="Times New Roman"/>
            <w:color w:val="000000" w:themeColor="text1"/>
            <w:shd w:val="clear" w:color="auto" w:fill="FFFFFF"/>
          </w:rPr>
          <w:t xml:space="preserve">8 or </w:t>
        </w:r>
      </w:ins>
      <w:r w:rsidR="00EB0A54" w:rsidRPr="006902F6">
        <w:rPr>
          <w:rFonts w:eastAsia="Times New Roman" w:cs="Times New Roman"/>
          <w:color w:val="000000" w:themeColor="text1"/>
          <w:shd w:val="clear" w:color="auto" w:fill="FFFFFF"/>
        </w:rPr>
        <w:t>12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Mice stayed 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del w:id="1" w:author="Dave Bridges" w:date="2017-08-16T16:03:00Z">
        <w:r w:rsidR="00EB0A54" w:rsidRPr="006902F6" w:rsidDel="00915C5C">
          <w:rPr>
            <w:rFonts w:eastAsia="Times New Roman" w:cs="Times New Roman"/>
            <w:color w:val="000000" w:themeColor="text1"/>
            <w:shd w:val="clear" w:color="auto" w:fill="FFFFFF"/>
          </w:rPr>
          <w:delText xml:space="preserve">six </w:delText>
        </w:r>
      </w:del>
      <w:ins w:id="2" w:author="Dave Bridges" w:date="2017-08-16T16:03:00Z">
        <w:r w:rsidR="00915C5C" w:rsidRPr="006902F6">
          <w:rPr>
            <w:rFonts w:eastAsia="Times New Roman" w:cs="Times New Roman"/>
            <w:color w:val="000000" w:themeColor="text1"/>
            <w:shd w:val="clear" w:color="auto" w:fill="FFFFFF"/>
          </w:rPr>
          <w:t xml:space="preserve">3-6 </w:t>
        </w:r>
      </w:ins>
      <w:r w:rsidR="00EB0A54" w:rsidRPr="006902F6">
        <w:rPr>
          <w:rFonts w:eastAsia="Times New Roman" w:cs="Times New Roman"/>
          <w:color w:val="000000" w:themeColor="text1"/>
          <w:shd w:val="clear" w:color="auto" w:fill="FFFFFF"/>
        </w:rPr>
        <w:t>week</w:t>
      </w:r>
      <w:ins w:id="3" w:author="Dave Bridges" w:date="2017-08-16T16:03:00Z">
        <w:r w:rsidR="00915C5C" w:rsidRPr="006902F6">
          <w:rPr>
            <w:rFonts w:eastAsia="Times New Roman" w:cs="Times New Roman"/>
            <w:color w:val="000000" w:themeColor="text1"/>
            <w:shd w:val="clear" w:color="auto" w:fill="FFFFFF"/>
          </w:rPr>
          <w:t>s as indicated</w:t>
        </w:r>
      </w:ins>
      <w:del w:id="4" w:author="Dave Bridges" w:date="2017-08-16T16:03:00Z">
        <w:r w:rsidR="00EB0A54" w:rsidRPr="006902F6" w:rsidDel="00915C5C">
          <w:rPr>
            <w:rFonts w:eastAsia="Times New Roman" w:cs="Times New Roman"/>
            <w:color w:val="000000" w:themeColor="text1"/>
            <w:shd w:val="clear" w:color="auto" w:fill="FFFFFF"/>
          </w:rPr>
          <w:delText>s</w:delText>
        </w:r>
      </w:del>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ins w:id="5" w:author="Dave Bridges" w:date="2017-08-16T16:04:00Z">
        <w:r w:rsidR="00915C5C" w:rsidRPr="006902F6">
          <w:rPr>
            <w:rFonts w:eastAsia="Times New Roman" w:cs="Times New Roman"/>
            <w:color w:val="000000" w:themeColor="text1"/>
            <w:shd w:val="clear" w:color="auto" w:fill="FFFFFF"/>
          </w:rPr>
          <w:t>For the eight week dexamethasone treatment</w:t>
        </w:r>
      </w:ins>
      <w:del w:id="6" w:author="Dave Bridges" w:date="2017-08-16T16:04:00Z">
        <w:r w:rsidR="004E699B" w:rsidRPr="006902F6" w:rsidDel="00915C5C">
          <w:rPr>
            <w:rFonts w:eastAsia="Times New Roman" w:cs="Times New Roman"/>
            <w:color w:val="000000" w:themeColor="text1"/>
            <w:shd w:val="clear" w:color="auto" w:fill="FFFFFF"/>
          </w:rPr>
          <w:delText>P</w:delText>
        </w:r>
      </w:del>
      <w:ins w:id="7" w:author="Dave Bridges" w:date="2017-08-16T16:04:00Z">
        <w:r w:rsidR="00915C5C" w:rsidRPr="006902F6">
          <w:rPr>
            <w:rFonts w:eastAsia="Times New Roman" w:cs="Times New Roman"/>
            <w:color w:val="000000" w:themeColor="text1"/>
            <w:shd w:val="clear" w:color="auto" w:fill="FFFFFF"/>
          </w:rPr>
          <w:t xml:space="preserve"> and pr</w:t>
        </w:r>
      </w:ins>
      <w:del w:id="8" w:author="Dave Bridges" w:date="2017-08-16T16:04:00Z">
        <w:r w:rsidR="004E699B" w:rsidRPr="006902F6" w:rsidDel="00915C5C">
          <w:rPr>
            <w:rFonts w:eastAsia="Times New Roman" w:cs="Times New Roman"/>
            <w:color w:val="000000" w:themeColor="text1"/>
            <w:shd w:val="clear" w:color="auto" w:fill="FFFFFF"/>
          </w:rPr>
          <w:delText>r</w:delText>
        </w:r>
      </w:del>
      <w:r w:rsidR="004E699B" w:rsidRPr="006902F6">
        <w:rPr>
          <w:rFonts w:eastAsia="Times New Roman" w:cs="Times New Roman"/>
          <w:color w:val="000000" w:themeColor="text1"/>
          <w:shd w:val="clear" w:color="auto" w:fill="FFFFFF"/>
        </w:rPr>
        <w:t xml:space="preserve">ior to sacrifice, </w:t>
      </w:r>
      <w:del w:id="9" w:author="Dave Bridges" w:date="2017-08-16T16:04:00Z">
        <w:r w:rsidR="004E699B" w:rsidRPr="006902F6" w:rsidDel="00915C5C">
          <w:rPr>
            <w:rFonts w:eastAsia="Times New Roman" w:cs="Times New Roman"/>
            <w:color w:val="000000" w:themeColor="text1"/>
            <w:shd w:val="clear" w:color="auto" w:fill="FFFFFF"/>
          </w:rPr>
          <w:delText xml:space="preserve">16 </w:delText>
        </w:r>
      </w:del>
      <w:ins w:id="10" w:author="Dave Bridges" w:date="2017-08-16T16:04:00Z">
        <w:r w:rsidR="00915C5C" w:rsidRPr="006902F6">
          <w:rPr>
            <w:rFonts w:eastAsia="Times New Roman" w:cs="Times New Roman"/>
            <w:color w:val="000000" w:themeColor="text1"/>
            <w:shd w:val="clear" w:color="auto" w:fill="FFFFFF"/>
          </w:rPr>
          <w:t xml:space="preserve">sixteen </w:t>
        </w:r>
      </w:ins>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del w:id="11" w:author="Dave Bridges" w:date="2017-08-16T16:04:00Z">
        <w:r w:rsidR="004E699B" w:rsidRPr="006902F6" w:rsidDel="00915C5C">
          <w:rPr>
            <w:rFonts w:eastAsia="Times New Roman" w:cs="Times New Roman"/>
            <w:color w:val="000000" w:themeColor="text1"/>
            <w:shd w:val="clear" w:color="auto" w:fill="FFFFFF"/>
          </w:rPr>
          <w:delText xml:space="preserve">got </w:delText>
        </w:r>
      </w:del>
      <w:ins w:id="12" w:author="Dave Bridges" w:date="2017-08-16T16:04:00Z">
        <w:r w:rsidR="00915C5C" w:rsidRPr="006902F6">
          <w:rPr>
            <w:rFonts w:eastAsia="Times New Roman" w:cs="Times New Roman"/>
            <w:color w:val="000000" w:themeColor="text1"/>
            <w:shd w:val="clear" w:color="auto" w:fill="FFFFFF"/>
          </w:rPr>
          <w:t xml:space="preserve">appeared </w:t>
        </w:r>
      </w:ins>
      <w:del w:id="13" w:author="Dave Bridges" w:date="2017-08-16T16:04:00Z">
        <w:r w:rsidR="004E699B" w:rsidRPr="006902F6" w:rsidDel="00915C5C">
          <w:rPr>
            <w:rFonts w:eastAsia="Times New Roman" w:cs="Times New Roman"/>
            <w:color w:val="000000" w:themeColor="text1"/>
            <w:shd w:val="clear" w:color="auto" w:fill="FFFFFF"/>
          </w:rPr>
          <w:delText xml:space="preserve">sick </w:delText>
        </w:r>
      </w:del>
      <w:ins w:id="14" w:author="Dave Bridges" w:date="2017-08-16T16:04:00Z">
        <w:r w:rsidR="00915C5C" w:rsidRPr="006902F6">
          <w:rPr>
            <w:rFonts w:eastAsia="Times New Roman" w:cs="Times New Roman"/>
            <w:color w:val="000000" w:themeColor="text1"/>
            <w:shd w:val="clear" w:color="auto" w:fill="FFFFFF"/>
          </w:rPr>
          <w:t xml:space="preserve">ill </w:t>
        </w:r>
      </w:ins>
      <w:r w:rsidR="004E699B" w:rsidRPr="006902F6">
        <w:rPr>
          <w:rFonts w:eastAsia="Times New Roman" w:cs="Times New Roman"/>
          <w:color w:val="000000" w:themeColor="text1"/>
          <w:shd w:val="clear" w:color="auto" w:fill="FFFFFF"/>
        </w:rPr>
        <w:t>and died</w:t>
      </w:r>
      <w:ins w:id="15" w:author="Dave Bridges" w:date="2017-08-16T16:04:00Z">
        <w:r w:rsidR="00915C5C" w:rsidRPr="006902F6">
          <w:rPr>
            <w:rFonts w:eastAsia="Times New Roman" w:cs="Times New Roman"/>
            <w:color w:val="000000" w:themeColor="text1"/>
            <w:shd w:val="clear" w:color="auto" w:fill="FFFFFF"/>
          </w:rPr>
          <w:t xml:space="preserve"> or were euthanized</w:t>
        </w:r>
      </w:ins>
      <w:r w:rsidR="004E699B" w:rsidRPr="006902F6">
        <w:rPr>
          <w:rFonts w:eastAsia="Times New Roman" w:cs="Times New Roman"/>
          <w:color w:val="000000" w:themeColor="text1"/>
          <w:shd w:val="clear" w:color="auto" w:fill="FFFFFF"/>
        </w:rPr>
        <w:t xml:space="preserve"> </w:t>
      </w:r>
      <w:del w:id="16" w:author="Dave Bridges" w:date="2017-08-16T16:05:00Z">
        <w:r w:rsidR="004E699B" w:rsidRPr="006902F6" w:rsidDel="00915C5C">
          <w:rPr>
            <w:rFonts w:eastAsia="Times New Roman" w:cs="Times New Roman"/>
            <w:color w:val="000000" w:themeColor="text1"/>
            <w:shd w:val="clear" w:color="auto" w:fill="FFFFFF"/>
          </w:rPr>
          <w:delText xml:space="preserve">from unknown causes, </w:delText>
        </w:r>
        <w:r w:rsidR="00B12159" w:rsidRPr="006902F6" w:rsidDel="00915C5C">
          <w:rPr>
            <w:rFonts w:eastAsia="Times New Roman" w:cs="Times New Roman"/>
            <w:color w:val="000000" w:themeColor="text1"/>
            <w:shd w:val="clear" w:color="auto" w:fill="FFFFFF"/>
          </w:rPr>
          <w:delText xml:space="preserve">sick </w:delText>
        </w:r>
        <w:r w:rsidR="004E699B" w:rsidRPr="006902F6" w:rsidDel="00915C5C">
          <w:rPr>
            <w:rFonts w:eastAsia="Times New Roman" w:cs="Times New Roman"/>
            <w:color w:val="000000" w:themeColor="text1"/>
            <w:shd w:val="clear" w:color="auto" w:fill="FFFFFF"/>
          </w:rPr>
          <w:delText>mice</w:delText>
        </w:r>
      </w:del>
      <w:ins w:id="17" w:author="Dave Bridges" w:date="2017-08-16T16:05:00Z">
        <w:r w:rsidR="00915C5C" w:rsidRPr="006902F6">
          <w:rPr>
            <w:rFonts w:eastAsia="Times New Roman" w:cs="Times New Roman"/>
            <w:color w:val="000000" w:themeColor="text1"/>
            <w:shd w:val="clear" w:color="auto" w:fill="FFFFFF"/>
          </w:rPr>
          <w:t>and</w:t>
        </w:r>
      </w:ins>
      <w:r w:rsidR="004E699B" w:rsidRPr="006902F6">
        <w:rPr>
          <w:rFonts w:eastAsia="Times New Roman" w:cs="Times New Roman"/>
          <w:color w:val="000000" w:themeColor="text1"/>
          <w:shd w:val="clear" w:color="auto" w:fill="FFFFFF"/>
        </w:rPr>
        <w:t xml:space="preserve"> were removed from all analyses once symptoms were noticed. </w:t>
      </w:r>
      <w:moveFromRangeStart w:id="18" w:author="Dave Bridges" w:date="2017-08-16T16:05:00Z" w:name="move490662847"/>
      <w:moveFrom w:id="19" w:author="Dave Bridges" w:date="2017-08-16T16:05:00Z">
        <w:r w:rsidR="00EB0A54" w:rsidRPr="006902F6" w:rsidDel="00915C5C">
          <w:rPr>
            <w:rFonts w:eastAsia="Times New Roman" w:cs="Times New Roman"/>
            <w:color w:val="000000" w:themeColor="text1"/>
            <w:shd w:val="clear" w:color="auto" w:fill="FFFFFF"/>
          </w:rPr>
          <w:t xml:space="preserve">All animal procedures were approved by the University of Tennessee Health Science Center Institutional Animal Care and Use Committee. </w:t>
        </w:r>
      </w:moveFrom>
      <w:moveFromRangeEnd w:id="18"/>
      <w:r w:rsidR="00EB0A54" w:rsidRPr="006902F6">
        <w:rPr>
          <w:rFonts w:eastAsia="Times New Roman" w:cs="Times New Roman"/>
          <w:color w:val="000000" w:themeColor="text1"/>
          <w:shd w:val="clear" w:color="auto" w:fill="FFFFFF"/>
        </w:rPr>
        <w:t>Animal body weight and composition was determined weekly using an echoMRI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20" w:author="Dave Bridges" w:date="2017-08-16T16:05:00Z">
        <w:r w:rsidR="00915C5C" w:rsidRPr="006902F6">
          <w:rPr>
            <w:rFonts w:eastAsia="Times New Roman" w:cs="Times New Roman"/>
            <w:color w:val="000000" w:themeColor="text1"/>
            <w:shd w:val="clear" w:color="auto" w:fill="FFFFFF"/>
          </w:rPr>
          <w:t xml:space="preserve"> </w:t>
        </w:r>
      </w:ins>
      <w:moveToRangeStart w:id="21" w:author="Dave Bridges" w:date="2017-08-16T16:05:00Z" w:name="move490662847"/>
      <w:moveTo w:id="22" w:author="Dave Bridges" w:date="2017-08-16T16:05:00Z">
        <w:r w:rsidR="00915C5C" w:rsidRPr="006902F6">
          <w:rPr>
            <w:rFonts w:eastAsia="Times New Roman" w:cs="Times New Roman"/>
            <w:color w:val="000000" w:themeColor="text1"/>
            <w:shd w:val="clear" w:color="auto" w:fill="FFFFFF"/>
          </w:rPr>
          <w:t>All animal procedures were approved by the University of Tennessee Health Science Center</w:t>
        </w:r>
      </w:moveTo>
      <w:ins w:id="23" w:author="Dave Bridges" w:date="2017-08-16T16:05:00Z">
        <w:r w:rsidR="00915C5C" w:rsidRPr="006902F6">
          <w:rPr>
            <w:rFonts w:eastAsia="Times New Roman" w:cs="Times New Roman"/>
            <w:color w:val="000000" w:themeColor="text1"/>
            <w:shd w:val="clear" w:color="auto" w:fill="FFFFFF"/>
          </w:rPr>
          <w:t xml:space="preserve"> and University of Michigan</w:t>
        </w:r>
      </w:ins>
      <w:moveTo w:id="24" w:author="Dave Bridges" w:date="2017-08-16T16:05:00Z">
        <w:r w:rsidR="00915C5C" w:rsidRPr="006902F6">
          <w:rPr>
            <w:rFonts w:eastAsia="Times New Roman" w:cs="Times New Roman"/>
            <w:color w:val="000000" w:themeColor="text1"/>
            <w:shd w:val="clear" w:color="auto" w:fill="FFFFFF"/>
          </w:rPr>
          <w:t xml:space="preserve"> Institutional Animal Care and Use Committee.</w:t>
        </w:r>
      </w:moveTo>
      <w:moveToRangeEnd w:id="21"/>
    </w:p>
    <w:p w14:paraId="6F8B47F4" w14:textId="77777777" w:rsidR="004B1467" w:rsidRPr="006902F6" w:rsidRDefault="004B1467" w:rsidP="009C4CFA">
      <w:pPr>
        <w:rPr>
          <w:color w:val="000000" w:themeColor="text1"/>
        </w:rPr>
      </w:pPr>
    </w:p>
    <w:p w14:paraId="4817EDE6" w14:textId="77C1FBCF" w:rsidR="00C86E77" w:rsidRPr="006902F6" w:rsidRDefault="004B1467" w:rsidP="00C86E77">
      <w:pPr>
        <w:rPr>
          <w:rFonts w:ascii="Arial" w:hAnsi="Arial" w:cs="Arial"/>
          <w:color w:val="000000" w:themeColor="text1"/>
          <w:sz w:val="19"/>
          <w:szCs w:val="19"/>
        </w:rPr>
      </w:pPr>
      <w:r w:rsidRPr="006902F6">
        <w:rPr>
          <w:b/>
          <w:color w:val="000000" w:themeColor="text1"/>
        </w:rPr>
        <w:t xml:space="preserve">Insulin Tolerance Tests and Euglycemic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i.p. injections of insulin (Humulin R, Lilly, Indianapolis, IN, USA) at a concentration of 2.5 mU/g</w:t>
      </w:r>
      <w:r w:rsidR="00A9523A" w:rsidRPr="006902F6">
        <w:rPr>
          <w:rFonts w:cs="Times New Roman"/>
          <w:color w:val="000000" w:themeColor="text1"/>
        </w:rPr>
        <w:t xml:space="preserve"> following a six hour fast</w:t>
      </w:r>
      <w:r w:rsidR="00067455" w:rsidRPr="006902F6">
        <w:rPr>
          <w:rFonts w:cs="Times New Roman"/>
          <w:color w:val="000000" w:themeColor="text1"/>
        </w:rPr>
        <w:t>. Blood glucose was determined using a One Touch Ultra Glucometer (Lifescan)</w:t>
      </w:r>
      <w:r w:rsidR="00A9523A" w:rsidRPr="006902F6">
        <w:rPr>
          <w:rFonts w:cs="Times New Roman"/>
          <w:color w:val="000000" w:themeColor="text1"/>
        </w:rPr>
        <w:t xml:space="preserve"> prior to and </w:t>
      </w:r>
      <w:r w:rsidR="00A9523A" w:rsidRPr="006902F6">
        <w:rPr>
          <w:rFonts w:cs="Times New Roman"/>
          <w:color w:val="000000" w:themeColor="text1"/>
        </w:rPr>
        <w:lastRenderedPageBreak/>
        <w:t>every 15 minutes post injection</w:t>
      </w:r>
      <w:r w:rsidR="00067455" w:rsidRPr="006902F6">
        <w:rPr>
          <w:rFonts w:cs="Times New Roman"/>
          <w:color w:val="000000" w:themeColor="text1"/>
        </w:rPr>
        <w:t>.</w:t>
      </w:r>
      <w:r w:rsidR="00BF4435" w:rsidRPr="006902F6">
        <w:rPr>
          <w:color w:val="000000" w:themeColor="text1"/>
        </w:rPr>
        <w:t xml:space="preserve"> For the Clamp experiment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For hyperinsulinemic-euglycemic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6902F6" w:rsidRDefault="00C86E77" w:rsidP="00C86E77">
      <w:pPr>
        <w:rPr>
          <w:rFonts w:ascii="Arial" w:hAnsi="Arial" w:cs="Arial"/>
          <w:color w:val="000000" w:themeColor="text1"/>
          <w:sz w:val="19"/>
          <w:szCs w:val="19"/>
        </w:rPr>
      </w:pPr>
      <w:r w:rsidRPr="006902F6">
        <w:rPr>
          <w:rFonts w:ascii="Calibri" w:hAnsi="Calibri" w:cs="Arial"/>
          <w:color w:val="000000" w:themeColor="text1"/>
          <w:sz w:val="22"/>
          <w:szCs w:val="22"/>
        </w:rPr>
        <w:t> </w:t>
      </w:r>
    </w:p>
    <w:p w14:paraId="17FDA2E9" w14:textId="0D233DDC" w:rsidR="00C86E77" w:rsidRPr="006902F6" w:rsidRDefault="00C86E77" w:rsidP="00C86E77">
      <w:pPr>
        <w:rPr>
          <w:rFonts w:ascii="Arial" w:hAnsi="Arial" w:cs="Arial"/>
          <w:color w:val="000000" w:themeColor="text1"/>
        </w:rPr>
      </w:pPr>
      <w:r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Pr="006902F6">
        <w:rPr>
          <w:rFonts w:ascii="Calibri" w:hAnsi="Calibri" w:cs="Arial"/>
          <w:color w:val="000000" w:themeColor="text1"/>
        </w:rPr>
        <w:t>. Briefly, the primed (1.0 </w:t>
      </w:r>
      <w:r w:rsidRPr="006902F6">
        <w:rPr>
          <w:rFonts w:ascii="Symbol" w:hAnsi="Symbol" w:cs="Arial"/>
          <w:color w:val="000000" w:themeColor="text1"/>
        </w:rPr>
        <w:t></w:t>
      </w:r>
      <w:r w:rsidRPr="006902F6">
        <w:rPr>
          <w:rFonts w:ascii="Calibri" w:hAnsi="Calibri" w:cs="Arial"/>
          <w:color w:val="000000" w:themeColor="text1"/>
        </w:rPr>
        <w:t>Ci)-continuous infusion (0.05 </w:t>
      </w:r>
      <w:r w:rsidRPr="006902F6">
        <w:rPr>
          <w:rFonts w:ascii="Symbol" w:hAnsi="Symbol" w:cs="Arial"/>
          <w:color w:val="000000" w:themeColor="text1"/>
        </w:rPr>
        <w:t></w:t>
      </w:r>
      <w:r w:rsidRPr="006902F6">
        <w:rPr>
          <w:rFonts w:ascii="Calibri" w:hAnsi="Calibri" w:cs="Arial"/>
          <w:color w:val="000000" w:themeColor="text1"/>
        </w:rPr>
        <w:t>Ci/min and increased to 0.1 µCi/min at t = 0) of [3-</w:t>
      </w:r>
      <w:r w:rsidRPr="006902F6">
        <w:rPr>
          <w:rFonts w:ascii="Calibri" w:hAnsi="Calibri" w:cs="Arial"/>
          <w:color w:val="000000" w:themeColor="text1"/>
          <w:vertAlign w:val="superscript"/>
        </w:rPr>
        <w:t>3</w:t>
      </w:r>
      <w:r w:rsidRPr="006902F6">
        <w:rPr>
          <w:rFonts w:ascii="Calibri" w:hAnsi="Calibri" w:cs="Arial"/>
          <w:color w:val="000000" w:themeColor="text1"/>
        </w:rPr>
        <w:t xml:space="preserve">H] glucose (50 µCi/ml in saline) was started at t = -120min. After 5 hours fast, the insulin clamp was begun at t = 0 with a prime-continuous infusion </w:t>
      </w:r>
      <w:commentRangeStart w:id="25"/>
      <w:r w:rsidRPr="006902F6">
        <w:rPr>
          <w:rFonts w:ascii="Calibri" w:hAnsi="Calibri" w:cs="Arial"/>
          <w:color w:val="000000" w:themeColor="text1"/>
        </w:rPr>
        <w:t>(16 mU/kg bolus, followed by 2.5 mU/kg/min)</w:t>
      </w:r>
      <w:commentRangeEnd w:id="25"/>
      <w:r w:rsidRPr="006902F6">
        <w:rPr>
          <w:rStyle w:val="CommentReference"/>
          <w:color w:val="000000" w:themeColor="text1"/>
          <w:sz w:val="24"/>
          <w:szCs w:val="24"/>
        </w:rPr>
        <w:commentReference w:id="25"/>
      </w:r>
      <w:r w:rsidRPr="006902F6">
        <w:rPr>
          <w:rFonts w:ascii="Calibri" w:hAnsi="Calibri" w:cs="Arial"/>
          <w:color w:val="000000" w:themeColor="text1"/>
        </w:rPr>
        <w:t xml:space="preserve"> of human insulin (Novo Nordisk). Euglycemia (120~130 mg/dL)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w:t>
      </w:r>
      <w:r w:rsidRPr="006902F6">
        <w:rPr>
          <w:rFonts w:ascii="Calibri" w:hAnsi="Calibri" w:cs="Arial"/>
          <w:color w:val="000000" w:themeColor="text1"/>
          <w:vertAlign w:val="superscript"/>
        </w:rPr>
        <w:t>14</w:t>
      </w:r>
      <w:r w:rsidRPr="006902F6">
        <w:rPr>
          <w:rFonts w:ascii="Calibri" w:hAnsi="Calibri" w:cs="Arial"/>
          <w:color w:val="000000" w:themeColor="text1"/>
        </w:rPr>
        <w:t>C]2DG; PerkinElmer) (10 µCi) was given at t = 120 min. Blood samples were be taken at 2, 5, 10, 15, and 25 min after the injection for determination of plasma [</w:t>
      </w:r>
      <w:r w:rsidRPr="006902F6">
        <w:rPr>
          <w:rFonts w:ascii="Calibri" w:hAnsi="Calibri" w:cs="Arial"/>
          <w:color w:val="000000" w:themeColor="text1"/>
          <w:vertAlign w:val="superscript"/>
        </w:rPr>
        <w:t>14</w:t>
      </w:r>
      <w:r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phosphate ([</w:t>
      </w:r>
      <w:r w:rsidRPr="006902F6">
        <w:rPr>
          <w:rFonts w:ascii="Calibri" w:hAnsi="Calibri" w:cs="Arial"/>
          <w:color w:val="000000" w:themeColor="text1"/>
          <w:vertAlign w:val="superscript"/>
        </w:rPr>
        <w:t>14</w:t>
      </w:r>
      <w:r w:rsidRPr="006902F6">
        <w:rPr>
          <w:rFonts w:ascii="Calibri" w:hAnsi="Calibri" w:cs="Arial"/>
          <w:color w:val="000000" w:themeColor="text1"/>
        </w:rPr>
        <w:t>C]2DGP) radioactivity.</w:t>
      </w:r>
    </w:p>
    <w:p w14:paraId="785F87C7" w14:textId="77777777" w:rsidR="00C86E77" w:rsidRPr="006902F6" w:rsidRDefault="00C86E77" w:rsidP="00C86E77">
      <w:pPr>
        <w:rPr>
          <w:rFonts w:ascii="Arial" w:hAnsi="Arial" w:cs="Arial"/>
          <w:color w:val="000000" w:themeColor="text1"/>
        </w:rPr>
      </w:pPr>
      <w:r w:rsidRPr="006902F6">
        <w:rPr>
          <w:rFonts w:ascii="Calibri" w:hAnsi="Calibri" w:cs="Arial"/>
          <w:color w:val="000000" w:themeColor="text1"/>
        </w:rPr>
        <w:t> </w:t>
      </w:r>
    </w:p>
    <w:p w14:paraId="03E8D3E9" w14:textId="17986331" w:rsidR="00C86E77" w:rsidRPr="006902F6" w:rsidRDefault="00C86E77" w:rsidP="00C86E77">
      <w:pPr>
        <w:rPr>
          <w:rFonts w:ascii="Arial" w:hAnsi="Arial" w:cs="Arial"/>
          <w:color w:val="000000" w:themeColor="text1"/>
        </w:rPr>
      </w:pPr>
      <w:r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Pr="006902F6">
        <w:rPr>
          <w:rFonts w:ascii="Calibri" w:hAnsi="Calibri" w:cs="Arial"/>
          <w:color w:val="000000" w:themeColor="text1"/>
          <w:vertAlign w:val="superscript"/>
        </w:rPr>
        <w:t>3</w:t>
      </w:r>
      <w:r w:rsidRPr="006902F6">
        <w:rPr>
          <w:rFonts w:ascii="Calibri" w:hAnsi="Calibri" w:cs="Arial"/>
          <w:color w:val="000000" w:themeColor="text1"/>
        </w:rPr>
        <w:t>H]glucose and [1-</w:t>
      </w:r>
      <w:r w:rsidRPr="006902F6">
        <w:rPr>
          <w:rFonts w:ascii="Calibri" w:hAnsi="Calibri" w:cs="Arial"/>
          <w:color w:val="000000" w:themeColor="text1"/>
          <w:vertAlign w:val="superscript"/>
        </w:rPr>
        <w:t>14</w:t>
      </w:r>
      <w:r w:rsidRPr="006902F6">
        <w:rPr>
          <w:rFonts w:ascii="Calibri" w:hAnsi="Calibri" w:cs="Arial"/>
          <w:color w:val="000000" w:themeColor="text1"/>
        </w:rPr>
        <w:t>C]2DG, plasma samples were deproteinized with ZnSO</w:t>
      </w:r>
      <w:r w:rsidRPr="006902F6">
        <w:rPr>
          <w:rFonts w:ascii="Calibri" w:hAnsi="Calibri" w:cs="Arial"/>
          <w:color w:val="000000" w:themeColor="text1"/>
          <w:vertAlign w:val="subscript"/>
        </w:rPr>
        <w:t>4</w:t>
      </w:r>
      <w:r w:rsidRPr="006902F6">
        <w:rPr>
          <w:rFonts w:ascii="Calibri" w:hAnsi="Calibri" w:cs="Arial"/>
          <w:color w:val="000000" w:themeColor="text1"/>
        </w:rPr>
        <w:t> and Ba(OH)</w:t>
      </w:r>
      <w:r w:rsidRPr="006902F6">
        <w:rPr>
          <w:rFonts w:ascii="Calibri" w:hAnsi="Calibri" w:cs="Arial"/>
          <w:color w:val="000000" w:themeColor="text1"/>
          <w:vertAlign w:val="subscript"/>
        </w:rPr>
        <w:t>2</w:t>
      </w:r>
      <w:r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7C5FAAE2"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lastRenderedPageBreak/>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3T3-L1 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50 mM Tris pH 8, 5 mM EDTA, 30 mM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221B5DE9"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or the Unit for Laboratory Animal Medicine In-vivo Animal Core (University of Michigan, Ann Arbor)</w:t>
      </w:r>
      <w:r w:rsidRPr="006902F6">
        <w:rPr>
          <w:color w:val="000000" w:themeColor="text1"/>
        </w:rPr>
        <w:t xml:space="preserve"> 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29543DE5"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877762" w:rsidRPr="006902F6">
        <w:rPr>
          <w:color w:val="000000" w:themeColor="text1"/>
        </w:rPr>
        <w:t xml:space="preserve">the </w:t>
      </w:r>
      <w:r w:rsidR="00877762" w:rsidRPr="006902F6">
        <w:rPr>
          <w:rFonts w:cs="Times New Roman"/>
          <w:color w:val="000000" w:themeColor="text1"/>
        </w:rPr>
        <w:t>PureLink RNA mini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FC0DED" w:rsidRPr="006902F6">
        <w:rPr>
          <w:rFonts w:cs="Times New Roman"/>
          <w:color w:val="000000" w:themeColor="text1"/>
        </w:rPr>
        <w:t xml:space="preserve">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650C351A"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 and 10 mM sodium pyrophosphate) on ice then centrifuged for 15 minutes at 13 000 RPM at 4°C. Clarified lysates were loaded on SDS-PAGE gels,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Pr="006902F6">
        <w:rPr>
          <w:rFonts w:eastAsia="Times New Roman" w:cs="Times New Roman"/>
          <w:color w:val="000000" w:themeColor="text1"/>
          <w:shd w:val="clear" w:color="auto" w:fill="FFFFFF"/>
        </w:rPr>
        <w:t xml:space="preserve">, and </w:t>
      </w:r>
      <w:commentRangeStart w:id="26"/>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commentRangeEnd w:id="26"/>
      <w:r w:rsidR="00DA4887" w:rsidRPr="006902F6">
        <w:rPr>
          <w:rStyle w:val="CommentReference"/>
          <w:color w:val="000000" w:themeColor="text1"/>
        </w:rPr>
        <w:commentReference w:id="26"/>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p>
    <w:p w14:paraId="64F2FB03" w14:textId="5944FA36" w:rsidR="004B16AF" w:rsidRPr="006902F6" w:rsidRDefault="004B16AF" w:rsidP="00485915">
      <w:pPr>
        <w:ind w:left="720"/>
        <w:rPr>
          <w:rFonts w:eastAsia="Times New Roman" w:cs="Times New Roman"/>
          <w:color w:val="000000" w:themeColor="text1"/>
        </w:rPr>
      </w:pPr>
    </w:p>
    <w:p w14:paraId="0ECAA6EC" w14:textId="206C55A5"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weeks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i.p. injection of </w:t>
      </w:r>
      <w:r w:rsidR="00D97041" w:rsidRPr="006902F6">
        <w:rPr>
          <w:color w:val="000000" w:themeColor="text1"/>
        </w:rPr>
        <w:t xml:space="preserve">10mg/kg isoproterenol (Sigma-Aldrich) in PBS. </w:t>
      </w:r>
      <w:r w:rsidR="00173BF2" w:rsidRPr="006902F6">
        <w:rPr>
          <w:color w:val="000000" w:themeColor="text1"/>
        </w:rPr>
        <w:t>Additionally, serum was taken from</w:t>
      </w:r>
      <w:r w:rsidR="00300963" w:rsidRPr="006902F6">
        <w:rPr>
          <w:color w:val="000000" w:themeColor="text1"/>
        </w:rPr>
        <w:t xml:space="preserve"> these mice as well as from another cohort of</w:t>
      </w:r>
      <w:r w:rsidR="00173BF2" w:rsidRPr="006902F6">
        <w:rPr>
          <w:color w:val="000000" w:themeColor="text1"/>
        </w:rPr>
        <w:t xml:space="preserve"> twenty-eight-week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weeks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342AA53F" w:rsidR="006B351B" w:rsidRPr="006902F6" w:rsidRDefault="005354F7" w:rsidP="003316A2">
      <w:pPr>
        <w:rPr>
          <w:color w:val="000000" w:themeColor="text1"/>
        </w:rPr>
      </w:pPr>
      <w:r w:rsidRPr="006902F6">
        <w:rPr>
          <w:b/>
          <w:color w:val="000000" w:themeColor="text1"/>
        </w:rPr>
        <w:lastRenderedPageBreak/>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treatment, as well as their interaction. </w:t>
      </w:r>
      <w:r w:rsidR="00DC4AF1" w:rsidRPr="006902F6">
        <w:rPr>
          <w:color w:val="000000" w:themeColor="text1"/>
        </w:rPr>
        <w:t xml:space="preserve">For cell culture experiments a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was used</w:t>
      </w:r>
      <w:r w:rsidRPr="006902F6">
        <w:rPr>
          <w:color w:val="000000" w:themeColor="text1"/>
        </w:rPr>
        <w:t xml:space="preserve"> after confirming equal variance and normality</w:t>
      </w:r>
      <w:r w:rsidR="003804D5" w:rsidRPr="006902F6">
        <w:rPr>
          <w:color w:val="000000" w:themeColor="text1"/>
        </w:rPr>
        <w:t xml:space="preserve">.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4ADCE86F"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 and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between those with Cushing’s disease (ACTH-secreting pituitary adenoma) and controls (non-secreting pituitary adenoma</w:t>
      </w:r>
      <w:r w:rsidR="00E72723" w:rsidRPr="006902F6">
        <w:rPr>
          <w:color w:val="000000" w:themeColor="text1"/>
        </w:rPr>
        <w:t>;</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F55C38" w:rsidRPr="006902F6">
        <w:rPr>
          <w:noProof/>
          <w:color w:val="000000" w:themeColor="text1"/>
        </w:rPr>
        <w:t>)</w:t>
      </w:r>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71B6C91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F164E7" w:rsidRPr="006902F6">
        <w:rPr>
          <w:color w:val="000000" w:themeColor="text1"/>
        </w:rPr>
        <w:t>,</w:t>
      </w:r>
      <w:r w:rsidR="00B77F49" w:rsidRPr="006902F6">
        <w:rPr>
          <w:color w:val="000000" w:themeColor="text1"/>
        </w:rPr>
        <w:t xml:space="preserve"> 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ins w:id="27" w:author="Dave Bridges" w:date="2017-08-16T16:15:00Z">
        <w:r w:rsidR="00DA3579" w:rsidRPr="006902F6">
          <w:rPr>
            <w:color w:val="000000" w:themeColor="text1"/>
          </w:rPr>
          <w:t xml:space="preserve">and </w:t>
        </w:r>
      </w:ins>
      <w:r w:rsidR="0003545C" w:rsidRPr="006902F6">
        <w:rPr>
          <w:color w:val="000000" w:themeColor="text1"/>
        </w:rPr>
        <w:t xml:space="preserve">hyperglycemia </w:t>
      </w:r>
      <w:ins w:id="28" w:author="Dave Bridges" w:date="2017-08-16T16:15:00Z">
        <w:r w:rsidR="00DA3579" w:rsidRPr="006902F6">
          <w:rPr>
            <w:color w:val="000000" w:themeColor="text1"/>
          </w:rPr>
          <w:t xml:space="preserve">(Supplementary Figure 1A-B) </w:t>
        </w:r>
      </w:ins>
      <w:r w:rsidR="0003545C" w:rsidRPr="006902F6">
        <w:rPr>
          <w:color w:val="000000" w:themeColor="text1"/>
        </w:rPr>
        <w:t>and reductions in lean mass, but no differences in fat mass between the groups (Supplementary Figures 1</w:t>
      </w:r>
      <w:del w:id="29" w:author="Dave Bridges" w:date="2017-08-16T16:15:00Z">
        <w:r w:rsidR="0003545C" w:rsidRPr="006902F6" w:rsidDel="00DA3579">
          <w:rPr>
            <w:color w:val="000000" w:themeColor="text1"/>
          </w:rPr>
          <w:delText>A-F</w:delText>
        </w:r>
      </w:del>
      <w:ins w:id="30" w:author="Dave Bridges" w:date="2017-08-16T16:15:00Z">
        <w:r w:rsidR="00DA3579" w:rsidRPr="006902F6">
          <w:rPr>
            <w:color w:val="000000" w:themeColor="text1"/>
          </w:rPr>
          <w:t>C-D</w:t>
        </w:r>
      </w:ins>
      <w:r w:rsidR="009C06B4" w:rsidRPr="006902F6">
        <w:rPr>
          <w:color w:val="000000" w:themeColor="text1"/>
        </w:rPr>
        <w:t>)</w:t>
      </w:r>
      <w:r w:rsidR="0003545C" w:rsidRPr="006902F6">
        <w:rPr>
          <w:color w:val="000000" w:themeColor="text1"/>
        </w:rPr>
        <w:t xml:space="preserve">. </w:t>
      </w:r>
      <w:ins w:id="31" w:author="Dave Bridges" w:date="2017-08-16T16:16:00Z">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ins>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w:t>
      </w:r>
      <w:r w:rsidR="00B34443" w:rsidRPr="006902F6">
        <w:rPr>
          <w:color w:val="000000" w:themeColor="text1"/>
        </w:rPr>
        <w:lastRenderedPageBreak/>
        <w:t>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D1071D" w:rsidRPr="006902F6">
        <w:rPr>
          <w:color w:val="000000" w:themeColor="text1"/>
        </w:rPr>
        <w:t>In the dexamethasone 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insulin </w:t>
      </w:r>
      <w:r w:rsidR="00D1071D" w:rsidRPr="006902F6">
        <w:rPr>
          <w:color w:val="000000" w:themeColor="text1"/>
        </w:rPr>
        <w:t xml:space="preserve">but only </w:t>
      </w:r>
      <w:ins w:id="32" w:author="Dave Bridges" w:date="2017-08-16T16:17:00Z">
        <w:r w:rsidR="0078214E" w:rsidRPr="006902F6">
          <w:rPr>
            <w:color w:val="000000" w:themeColor="text1"/>
          </w:rPr>
          <w:t xml:space="preserve">reduced </w:t>
        </w:r>
      </w:ins>
      <w:r w:rsidR="000553E0" w:rsidRPr="006902F6">
        <w:rPr>
          <w:color w:val="000000" w:themeColor="text1"/>
        </w:rPr>
        <w:t>70</w:t>
      </w:r>
      <w:r w:rsidR="00D1071D" w:rsidRPr="006902F6">
        <w:rPr>
          <w:color w:val="000000" w:themeColor="text1"/>
        </w:rPr>
        <w:t>% in the control 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 xml:space="preserve">resulting in </w:t>
      </w:r>
      <w:r w:rsidR="00D1071D" w:rsidRPr="006902F6">
        <w:rPr>
          <w:color w:val="000000" w:themeColor="text1"/>
        </w:rPr>
        <w:t>E</w:t>
      </w:r>
      <w:r w:rsidR="00A61850" w:rsidRPr="006902F6">
        <w:rPr>
          <w:color w:val="000000" w:themeColor="text1"/>
        </w:rPr>
        <w:t xml:space="preserve">GP </w:t>
      </w:r>
      <w:r w:rsidR="00B34443" w:rsidRPr="006902F6">
        <w:rPr>
          <w:color w:val="000000" w:themeColor="text1"/>
        </w:rPr>
        <w:t xml:space="preserve">being </w:t>
      </w:r>
      <w:r w:rsidR="00E25306" w:rsidRPr="006902F6">
        <w:rPr>
          <w:color w:val="000000" w:themeColor="text1"/>
        </w:rPr>
        <w:t>5</w:t>
      </w:r>
      <w:r w:rsidR="00B34443" w:rsidRPr="006902F6">
        <w:rPr>
          <w:color w:val="000000" w:themeColor="text1"/>
        </w:rPr>
        <w:t xml:space="preserve">-fold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ins w:id="33" w:author="Dave Bridges" w:date="2017-08-16T16:17:00Z">
        <w:r w:rsidR="0078214E" w:rsidRPr="006902F6">
          <w:rPr>
            <w:color w:val="000000" w:themeColor="text1"/>
          </w:rPr>
          <w:t>-G</w:t>
        </w:r>
      </w:ins>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D9267D" w:rsidRPr="006902F6">
        <w:rPr>
          <w:color w:val="000000" w:themeColor="text1"/>
        </w:rPr>
        <w:t>O</w:t>
      </w:r>
      <w:r w:rsidR="004E0CEB" w:rsidRPr="006902F6">
        <w:rPr>
          <w:color w:val="000000" w:themeColor="text1"/>
        </w:rPr>
        <w:t xml:space="preserve">verall glucose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del w:id="34" w:author="Dave Bridges" w:date="2017-08-16T16:17:00Z">
        <w:r w:rsidR="00497CD5" w:rsidRPr="006902F6" w:rsidDel="0078214E">
          <w:rPr>
            <w:color w:val="000000" w:themeColor="text1"/>
          </w:rPr>
          <w:delText>However</w:delText>
        </w:r>
      </w:del>
      <w:ins w:id="35" w:author="Dave Bridges" w:date="2017-08-16T16:17:00Z">
        <w:r w:rsidR="0078214E" w:rsidRPr="006902F6">
          <w:rPr>
            <w:color w:val="000000" w:themeColor="text1"/>
          </w:rPr>
          <w:t>In spite of these modest changes in glucose turnover</w:t>
        </w:r>
      </w:ins>
      <w:r w:rsidR="00497CD5" w:rsidRPr="006902F6">
        <w:rPr>
          <w:color w:val="000000" w:themeColor="text1"/>
        </w:rPr>
        <w:t xml:space="preserve">, there </w:t>
      </w:r>
      <w:r w:rsidR="00191472" w:rsidRPr="006902F6">
        <w:rPr>
          <w:color w:val="000000" w:themeColor="text1"/>
        </w:rPr>
        <w:t xml:space="preserve">were significant reductions </w:t>
      </w:r>
      <w:ins w:id="36" w:author="Dave Bridges" w:date="2017-08-16T16:19:00Z">
        <w:r w:rsidR="00730EFF" w:rsidRPr="006902F6">
          <w:rPr>
            <w:color w:val="000000" w:themeColor="text1"/>
          </w:rPr>
          <w:t xml:space="preserve">in the obese, dexamethasone treated animals </w:t>
        </w:r>
      </w:ins>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 xml:space="preserve">glucose uptake in </w:t>
      </w:r>
      <w:r w:rsidR="00191472" w:rsidRPr="006902F6">
        <w:rPr>
          <w:color w:val="000000" w:themeColor="text1"/>
        </w:rPr>
        <w:t>subcutaneous white adipose</w:t>
      </w:r>
      <w:r w:rsidR="00600D9E" w:rsidRPr="006902F6">
        <w:rPr>
          <w:color w:val="000000" w:themeColor="text1"/>
        </w:rPr>
        <w:t xml:space="preserve"> (p=0.019)</w:t>
      </w:r>
      <w:r w:rsidR="00976FAB" w:rsidRPr="006902F6">
        <w:rPr>
          <w:color w:val="000000" w:themeColor="text1"/>
        </w:rPr>
        <w:t>, heart</w:t>
      </w:r>
      <w:r w:rsidR="00600D9E" w:rsidRPr="006902F6">
        <w:rPr>
          <w:color w:val="000000" w:themeColor="text1"/>
        </w:rPr>
        <w:t xml:space="preserve"> (p=0.0003)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ins w:id="37" w:author="Dave Bridges" w:date="2017-08-16T16:19:00Z">
        <w:r w:rsidR="00730EFF" w:rsidRPr="006902F6">
          <w:rPr>
            <w:color w:val="000000" w:themeColor="text1"/>
          </w:rPr>
          <w:t xml:space="preserve"> </w:t>
        </w:r>
      </w:ins>
      <w:del w:id="38" w:author="Dave Bridges" w:date="2017-08-16T16:19:00Z">
        <w:r w:rsidR="00976FAB" w:rsidRPr="006902F6" w:rsidDel="00730EFF">
          <w:rPr>
            <w:color w:val="000000" w:themeColor="text1"/>
          </w:rPr>
          <w:delText xml:space="preserve"> </w:delText>
        </w:r>
      </w:del>
      <w:r w:rsidR="00976FAB" w:rsidRPr="006902F6">
        <w:rPr>
          <w:color w:val="000000" w:themeColor="text1"/>
        </w:rPr>
        <w:t>(</w:t>
      </w:r>
      <w:r w:rsidR="00600D9E" w:rsidRPr="006902F6">
        <w:rPr>
          <w:color w:val="000000" w:themeColor="text1"/>
        </w:rPr>
        <w:t xml:space="preserve">p=0.00001;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497CD5" w:rsidRPr="006902F6">
        <w:rPr>
          <w:color w:val="000000" w:themeColor="text1"/>
        </w:rPr>
        <w:t>F-H</w:t>
      </w:r>
      <w:r w:rsidR="00976FAB" w:rsidRPr="006902F6">
        <w:rPr>
          <w:color w:val="000000" w:themeColor="text1"/>
        </w:rPr>
        <w:t>).</w:t>
      </w:r>
      <w:r w:rsidR="00191472" w:rsidRPr="006902F6">
        <w:rPr>
          <w:color w:val="000000" w:themeColor="text1"/>
        </w:rPr>
        <w:t xml:space="preserve"> These data suggest that increased </w:t>
      </w:r>
      <w:r w:rsidR="00C543E4" w:rsidRPr="006902F6">
        <w:rPr>
          <w:color w:val="000000" w:themeColor="text1"/>
        </w:rPr>
        <w:t>E</w:t>
      </w:r>
      <w:r w:rsidR="00EF6140" w:rsidRPr="006902F6">
        <w:rPr>
          <w:color w:val="000000" w:themeColor="text1"/>
        </w:rPr>
        <w:t>GP</w:t>
      </w:r>
      <w:r w:rsidR="00191472"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of </w:t>
      </w:r>
      <w:r w:rsidR="00C543E4" w:rsidRPr="006902F6">
        <w:rPr>
          <w:color w:val="000000" w:themeColor="text1"/>
        </w:rPr>
        <w:t>E</w:t>
      </w:r>
      <w:r w:rsidR="00191472" w:rsidRPr="006902F6">
        <w:rPr>
          <w:color w:val="000000" w:themeColor="text1"/>
        </w:rPr>
        <w:t xml:space="preserve">PG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40D7A001"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even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r w:rsidR="005C652C" w:rsidRPr="006902F6">
        <w:rPr>
          <w:color w:val="000000" w:themeColor="text1"/>
        </w:rPr>
        <w:t>slight</w:t>
      </w:r>
      <w:r w:rsidR="005F70A5" w:rsidRPr="006902F6">
        <w:rPr>
          <w:color w:val="000000" w:themeColor="text1"/>
        </w:rPr>
        <w:t xml:space="preserve"> but non-significant</w:t>
      </w:r>
      <w:r w:rsidR="005C652C" w:rsidRPr="006902F6">
        <w:rPr>
          <w:color w:val="000000" w:themeColor="text1"/>
        </w:rPr>
        <w:t xml:space="preserve"> 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35A57F3" w:rsidR="00733364" w:rsidRPr="006902F6" w:rsidRDefault="00035700">
      <w:pPr>
        <w:rPr>
          <w:color w:val="000000" w:themeColor="text1"/>
        </w:rPr>
      </w:pPr>
      <w:r w:rsidRPr="006902F6">
        <w:rPr>
          <w:color w:val="000000" w:themeColor="text1"/>
        </w:rPr>
        <w:t xml:space="preserve">We evaluated body mass in mice via EchoMRI. Contrary to expectations, we observed reductions in fat mass in the HFD-fed dexamethasone treated group (Figure 3A,B). </w:t>
      </w:r>
      <w:r w:rsidR="005A7212" w:rsidRPr="006902F6">
        <w:rPr>
          <w:color w:val="000000" w:themeColor="text1"/>
        </w:rPr>
        <w:t xml:space="preserve">These reductions </w:t>
      </w:r>
      <w:r w:rsidR="00ED3AC5" w:rsidRPr="006902F6">
        <w:rPr>
          <w:color w:val="000000" w:themeColor="text1"/>
        </w:rPr>
        <w:t xml:space="preserve">do not appear to be </w:t>
      </w:r>
      <w:r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and epididymal adipose tissue</w:t>
      </w:r>
      <w:r w:rsidR="007F7779" w:rsidRPr="006902F6">
        <w:rPr>
          <w:color w:val="000000" w:themeColor="text1"/>
        </w:rPr>
        <w:t xml:space="preserve"> (59% reduced) from the HFD-fed animals</w:t>
      </w:r>
      <w:r w:rsidR="00E2033A" w:rsidRPr="006902F6">
        <w:rPr>
          <w:color w:val="000000" w:themeColor="text1"/>
        </w:rPr>
        <w:t xml:space="preserve"> (F</w:t>
      </w:r>
      <w:r w:rsidRPr="006902F6">
        <w:rPr>
          <w:color w:val="000000" w:themeColor="text1"/>
        </w:rPr>
        <w:t xml:space="preserve">igure 3C). There was no </w:t>
      </w:r>
      <w:r w:rsidR="007F7779" w:rsidRPr="006902F6">
        <w:rPr>
          <w:color w:val="000000" w:themeColor="text1"/>
        </w:rPr>
        <w:t xml:space="preserve">significant reduction </w:t>
      </w:r>
      <w:r w:rsidRPr="006902F6">
        <w:rPr>
          <w:color w:val="000000" w:themeColor="text1"/>
        </w:rPr>
        <w:t>in fat mas</w:t>
      </w:r>
      <w:r w:rsidR="00A51C76" w:rsidRPr="006902F6">
        <w:rPr>
          <w:color w:val="000000" w:themeColor="text1"/>
        </w:rPr>
        <w:t>s</w:t>
      </w:r>
      <w:r w:rsidR="00D4046E" w:rsidRPr="006902F6">
        <w:rPr>
          <w:color w:val="000000" w:themeColor="text1"/>
        </w:rPr>
        <w:t>, either by MRI or dissection weights of iWAT or eWAT</w:t>
      </w:r>
      <w:r w:rsidR="00A51C76" w:rsidRPr="006902F6">
        <w:rPr>
          <w:color w:val="000000" w:themeColor="text1"/>
        </w:rPr>
        <w:t xml:space="preserve"> </w:t>
      </w:r>
      <w:r w:rsidRPr="006902F6">
        <w:rPr>
          <w:color w:val="000000" w:themeColor="text1"/>
        </w:rPr>
        <w:t>in response to dexamethasone treatment in the chow-fed group</w:t>
      </w:r>
      <w:r w:rsidR="007F7779" w:rsidRPr="006902F6">
        <w:rPr>
          <w:color w:val="000000" w:themeColor="text1"/>
        </w:rPr>
        <w:t>s</w:t>
      </w:r>
      <w:r w:rsidRPr="006902F6">
        <w:rPr>
          <w:color w:val="000000" w:themeColor="text1"/>
        </w:rPr>
        <w:t xml:space="preserve"> (Figure 3B</w:t>
      </w:r>
      <w:r w:rsidR="00C916B8" w:rsidRPr="006902F6">
        <w:rPr>
          <w:color w:val="000000" w:themeColor="text1"/>
        </w:rPr>
        <w:t>-C</w:t>
      </w:r>
      <w:r w:rsidRPr="006902F6">
        <w:rPr>
          <w:color w:val="000000" w:themeColor="text1"/>
        </w:rPr>
        <w:t xml:space="preserve">). </w:t>
      </w:r>
      <w:r w:rsidR="00A81DE1" w:rsidRPr="006902F6">
        <w:rPr>
          <w:color w:val="000000" w:themeColor="text1"/>
        </w:rPr>
        <w:t xml:space="preserve">Due to these 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lastRenderedPageBreak/>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6A1C1FA2" w:rsidR="00A7294B" w:rsidRPr="006902F6" w:rsidRDefault="00001E0D">
      <w:pPr>
        <w:rPr>
          <w:color w:val="000000" w:themeColor="text1"/>
        </w:rPr>
      </w:pPr>
      <w:r w:rsidRPr="006902F6">
        <w:rPr>
          <w:color w:val="000000" w:themeColor="text1"/>
        </w:rPr>
        <w:t xml:space="preserve">One potential mechanism of these alterations in lipid deposition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D149BB"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sidRPr="006902F6">
        <w:rPr>
          <w:color w:val="000000" w:themeColor="text1"/>
        </w:rPr>
        <w:fldChar w:fldCharType="separate"/>
      </w:r>
      <w:r w:rsidR="00EB7489" w:rsidRPr="006902F6">
        <w:rPr>
          <w:noProof/>
          <w:color w:val="000000" w:themeColor="text1"/>
        </w:rPr>
        <w:t>(25,35)</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 (mature adipocytes) or treated with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bookmarkStart w:id="39" w:name="_GoBack"/>
      <w:bookmarkEnd w:id="39"/>
      <w:commentRangeStart w:id="40"/>
      <w:r w:rsidR="00A14D1A" w:rsidRPr="006902F6">
        <w:rPr>
          <w:color w:val="000000" w:themeColor="text1"/>
        </w:rPr>
        <w:t>p</w:t>
      </w:r>
      <w:commentRangeEnd w:id="40"/>
      <w:r w:rsidR="00A14D1A" w:rsidRPr="006902F6">
        <w:rPr>
          <w:rStyle w:val="CommentReference"/>
          <w:color w:val="000000" w:themeColor="text1"/>
        </w:rPr>
        <w:commentReference w:id="40"/>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lipolytic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commentRangeStart w:id="41"/>
      <w:del w:id="42" w:author="Dave Bridges" w:date="2017-08-16T16:06:00Z">
        <w:r w:rsidR="003A5F27" w:rsidRPr="006902F6" w:rsidDel="00915C5C">
          <w:rPr>
            <w:color w:val="000000" w:themeColor="text1"/>
          </w:rPr>
          <w:delText>p</w:delText>
        </w:r>
        <w:commentRangeEnd w:id="41"/>
        <w:r w:rsidR="003A5F27" w:rsidRPr="006902F6" w:rsidDel="00915C5C">
          <w:rPr>
            <w:rStyle w:val="CommentReference"/>
            <w:color w:val="000000" w:themeColor="text1"/>
          </w:rPr>
          <w:commentReference w:id="41"/>
        </w:r>
        <w:r w:rsidR="003A5F27" w:rsidRPr="006902F6" w:rsidDel="00915C5C">
          <w:rPr>
            <w:color w:val="000000" w:themeColor="text1"/>
          </w:rPr>
          <w:delText>=</w:delText>
        </w:r>
        <w:r w:rsidRPr="006902F6" w:rsidDel="00915C5C">
          <w:rPr>
            <w:color w:val="000000" w:themeColor="text1"/>
          </w:rPr>
          <w:delText xml:space="preserve">; </w:delText>
        </w:r>
      </w:del>
      <w:commentRangeStart w:id="43"/>
      <w:del w:id="44" w:author="Dave Bridges" w:date="2017-08-16T16:07:00Z">
        <w:r w:rsidRPr="006902F6" w:rsidDel="00915C5C">
          <w:rPr>
            <w:color w:val="000000" w:themeColor="text1"/>
          </w:rPr>
          <w:delText>XX</w:delText>
        </w:r>
      </w:del>
      <w:ins w:id="45" w:author="Dave Bridges" w:date="2017-08-16T16:07:00Z">
        <w:r w:rsidR="00915C5C" w:rsidRPr="006902F6">
          <w:rPr>
            <w:color w:val="000000" w:themeColor="text1"/>
          </w:rPr>
          <w:t>8.4</w:t>
        </w:r>
      </w:ins>
      <w:r w:rsidRPr="006902F6">
        <w:rPr>
          <w:color w:val="000000" w:themeColor="text1"/>
        </w:rPr>
        <w:t xml:space="preserve"> </w:t>
      </w:r>
      <w:commentRangeEnd w:id="43"/>
      <w:r w:rsidRPr="006902F6">
        <w:rPr>
          <w:rStyle w:val="CommentReference"/>
          <w:color w:val="000000" w:themeColor="text1"/>
        </w:rPr>
        <w:commentReference w:id="43"/>
      </w:r>
      <w:r w:rsidRPr="006902F6">
        <w:rPr>
          <w:color w:val="000000" w:themeColor="text1"/>
        </w:rPr>
        <w:t>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2927C8F2"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inguinal white adipose tissue (iWAT)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6792287D"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70471729"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lipolytic enzymes</w:t>
      </w:r>
      <w:r w:rsidR="00250376" w:rsidRPr="006902F6">
        <w:rPr>
          <w:color w:val="000000" w:themeColor="text1"/>
        </w:rPr>
        <w:t>, ATGL,</w:t>
      </w:r>
      <w:r w:rsidRPr="006902F6">
        <w:rPr>
          <w:color w:val="000000" w:themeColor="text1"/>
        </w:rPr>
        <w:t xml:space="preserve"> in the iWAT of these mice</w:t>
      </w:r>
      <w:r w:rsidR="006E4062" w:rsidRPr="006902F6">
        <w:rPr>
          <w:color w:val="000000" w:themeColor="text1"/>
        </w:rPr>
        <w:t xml:space="preserve"> (5B</w:t>
      </w:r>
      <w:ins w:id="46" w:author="Dave Bridges" w:date="2017-08-16T16:21:00Z">
        <w:r w:rsidR="004B7FA0" w:rsidRPr="006902F6">
          <w:rPr>
            <w:color w:val="000000" w:themeColor="text1"/>
          </w:rPr>
          <w:t>-</w:t>
        </w:r>
      </w:ins>
      <w:del w:id="47" w:author="Dave Bridges" w:date="2017-08-16T16:21:00Z">
        <w:r w:rsidR="006E4062" w:rsidRPr="006902F6" w:rsidDel="004B7FA0">
          <w:rPr>
            <w:color w:val="000000" w:themeColor="text1"/>
          </w:rPr>
          <w:delText>,</w:delText>
        </w:r>
      </w:del>
      <w:ins w:id="48" w:author="Dave Bridges" w:date="2017-08-16T16:21:00Z">
        <w:r w:rsidR="00BF0EAB" w:rsidRPr="006902F6">
          <w:rPr>
            <w:color w:val="000000" w:themeColor="text1"/>
          </w:rPr>
          <w:t>D</w:t>
        </w:r>
      </w:ins>
      <w:del w:id="49" w:author="Dave Bridges" w:date="2017-08-16T16:21:00Z">
        <w:r w:rsidR="006E4062" w:rsidRPr="006902F6" w:rsidDel="00BF0EAB">
          <w:rPr>
            <w:color w:val="000000" w:themeColor="text1"/>
          </w:rPr>
          <w:delText>C</w:delText>
        </w:r>
      </w:del>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ins w:id="50" w:author="Dave Bridges" w:date="2017-08-16T16:21:00Z">
        <w:r w:rsidR="004B7FA0" w:rsidRPr="006902F6">
          <w:rPr>
            <w:color w:val="000000" w:themeColor="text1"/>
          </w:rPr>
          <w:t>s</w:t>
        </w:r>
      </w:ins>
      <w:r w:rsidR="00250376" w:rsidRPr="006902F6">
        <w:rPr>
          <w:color w:val="000000" w:themeColor="text1"/>
        </w:rPr>
        <w:t xml:space="preserve">. </w:t>
      </w:r>
      <w:r w:rsidRPr="006902F6">
        <w:rPr>
          <w:color w:val="000000" w:themeColor="text1"/>
        </w:rPr>
        <w:t xml:space="preserve">These </w:t>
      </w:r>
      <w:r w:rsidRPr="006902F6">
        <w:rPr>
          <w:color w:val="000000" w:themeColor="text1"/>
        </w:rPr>
        <w:lastRenderedPageBreak/>
        <w:t>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7DCE9B4F"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non-alcoholic fatty liver disease (NAFLD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00916A30" w:rsidRPr="006902F6">
        <w:rPr>
          <w:color w:val="000000" w:themeColor="text1"/>
        </w:rPr>
        <w:t>)</w:t>
      </w:r>
      <w:r w:rsidRPr="006902F6">
        <w:rPr>
          <w:color w:val="000000" w:themeColor="text1"/>
        </w:rPr>
        <w:t>, al</w:t>
      </w:r>
      <w:r w:rsidR="00CB44C6" w:rsidRPr="006902F6">
        <w:rPr>
          <w:color w:val="000000" w:themeColor="text1"/>
        </w:rPr>
        <w:t>l of which can have a negative e</w:t>
      </w:r>
      <w:r w:rsidRPr="006902F6">
        <w:rPr>
          <w:color w:val="000000" w:themeColor="text1"/>
        </w:rPr>
        <w:t xml:space="preserve">ffect on </w:t>
      </w:r>
      <w:r w:rsidR="00B97F49" w:rsidRPr="006902F6">
        <w:rPr>
          <w:color w:val="000000" w:themeColor="text1"/>
        </w:rPr>
        <w:t>health</w:t>
      </w:r>
      <w:r w:rsidR="006E32B3" w:rsidRPr="006902F6">
        <w:rPr>
          <w:color w:val="000000" w:themeColor="text1"/>
        </w:rPr>
        <w:t xml:space="preserve"> </w:t>
      </w:r>
      <w:r w:rsidR="004B1634" w:rsidRPr="006902F6">
        <w:rPr>
          <w:color w:val="000000" w:themeColor="text1"/>
        </w:rPr>
        <w:fldChar w:fldCharType="begin" w:fldLock="1"/>
      </w:r>
      <w:r w:rsidR="00065189" w:rsidRPr="006902F6">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sidRPr="006902F6">
        <w:rPr>
          <w:color w:val="000000" w:themeColor="text1"/>
        </w:rPr>
        <w:fldChar w:fldCharType="separate"/>
      </w:r>
      <w:r w:rsidR="00D04C6D" w:rsidRPr="006902F6">
        <w:rPr>
          <w:noProof/>
          <w:color w:val="000000" w:themeColor="text1"/>
        </w:rPr>
        <w:t>(46–49)</w:t>
      </w:r>
      <w:r w:rsidR="004B1634" w:rsidRPr="006902F6">
        <w:rPr>
          <w:color w:val="000000" w:themeColor="text1"/>
        </w:rPr>
        <w:fldChar w:fldCharType="end"/>
      </w:r>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16223A6C"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previously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065189" w:rsidRPr="006902F6">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sidRPr="006902F6">
        <w:rPr>
          <w:color w:val="000000" w:themeColor="text1"/>
        </w:rPr>
        <w:fldChar w:fldCharType="separate"/>
      </w:r>
      <w:r w:rsidR="00D04C6D" w:rsidRPr="006902F6">
        <w:rPr>
          <w:noProof/>
          <w:color w:val="000000" w:themeColor="text1"/>
        </w:rPr>
        <w:t>(50)</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065189" w:rsidRPr="006902F6">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sidRPr="006902F6">
        <w:rPr>
          <w:color w:val="000000" w:themeColor="text1"/>
        </w:rPr>
        <w:fldChar w:fldCharType="separate"/>
      </w:r>
      <w:r w:rsidR="00D04C6D" w:rsidRPr="006902F6">
        <w:rPr>
          <w:noProof/>
          <w:color w:val="000000" w:themeColor="text1"/>
        </w:rPr>
        <w:t>(25,51)</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1FA4DF22"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065189" w:rsidRPr="006902F6">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sidRPr="006902F6">
        <w:rPr>
          <w:color w:val="000000" w:themeColor="text1"/>
        </w:rPr>
        <w:fldChar w:fldCharType="separate"/>
      </w:r>
      <w:r w:rsidR="00D04C6D" w:rsidRPr="006902F6">
        <w:rPr>
          <w:noProof/>
          <w:color w:val="000000" w:themeColor="text1"/>
        </w:rPr>
        <w:t>(52,53)</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specifically in the iWAT,</w:t>
      </w:r>
      <w:r w:rsidR="00B32E07" w:rsidRPr="006902F6">
        <w:rPr>
          <w:color w:val="000000" w:themeColor="text1"/>
        </w:rPr>
        <w:t xml:space="preserve"> 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065189" w:rsidRPr="006902F6">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sidRPr="006902F6">
        <w:rPr>
          <w:color w:val="000000" w:themeColor="text1"/>
        </w:rPr>
        <w:fldChar w:fldCharType="separate"/>
      </w:r>
      <w:r w:rsidR="00065189" w:rsidRPr="006902F6">
        <w:rPr>
          <w:noProof/>
          <w:color w:val="000000" w:themeColor="text1"/>
        </w:rPr>
        <w:t>(54)</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4C021E96"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sidRPr="006902F6">
        <w:rPr>
          <w:color w:val="000000" w:themeColor="text1"/>
        </w:rPr>
        <w:fldChar w:fldCharType="separate"/>
      </w:r>
      <w:r w:rsidR="00065189" w:rsidRPr="006902F6">
        <w:rPr>
          <w:noProof/>
          <w:color w:val="000000" w:themeColor="text1"/>
        </w:rPr>
        <w:t>(55–58)</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065189" w:rsidRPr="006902F6">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(57,58)</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FE35A0"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(25,35)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w:t>
      </w:r>
      <w:r w:rsidR="00FE35A0" w:rsidRPr="006902F6">
        <w:rPr>
          <w:color w:val="000000" w:themeColor="text1"/>
        </w:rPr>
        <w:lastRenderedPageBreak/>
        <w:t xml:space="preserve">state </w:t>
      </w:r>
      <w:r w:rsidR="00FE35A0" w:rsidRPr="006902F6">
        <w:rPr>
          <w:color w:val="000000" w:themeColor="text1"/>
        </w:rPr>
        <w:fldChar w:fldCharType="begin" w:fldLock="1"/>
      </w:r>
      <w:r w:rsidR="00065189" w:rsidRPr="006902F6">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sidRPr="006902F6">
        <w:rPr>
          <w:color w:val="000000" w:themeColor="text1"/>
        </w:rPr>
        <w:fldChar w:fldCharType="separate"/>
      </w:r>
      <w:r w:rsidR="00065189" w:rsidRPr="006902F6">
        <w:rPr>
          <w:noProof/>
          <w:color w:val="000000" w:themeColor="text1"/>
        </w:rPr>
        <w:t>(59)</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 xml:space="preserve">However, hepatic </w:t>
      </w:r>
      <w:r w:rsidR="003563CC" w:rsidRPr="006902F6">
        <w:rPr>
          <w:i/>
          <w:color w:val="000000" w:themeColor="text1"/>
        </w:rPr>
        <w:t>de novo</w:t>
      </w:r>
      <w:r w:rsidR="003563CC" w:rsidRPr="006902F6">
        <w:rPr>
          <w:color w:val="000000" w:themeColor="text1"/>
        </w:rPr>
        <w:t xml:space="preserve"> lipogene</w:t>
      </w:r>
      <w:r w:rsidR="00562E5E" w:rsidRPr="006902F6">
        <w:rPr>
          <w:color w:val="000000" w:themeColor="text1"/>
        </w:rPr>
        <w:t>s</w:t>
      </w:r>
      <w:r w:rsidR="003563CC" w:rsidRPr="006902F6">
        <w:rPr>
          <w:color w:val="000000" w:themeColor="text1"/>
        </w:rPr>
        <w:t xml:space="preserve">is </w:t>
      </w:r>
      <w:r w:rsidR="00190BDE" w:rsidRPr="006902F6">
        <w:rPr>
          <w:color w:val="000000" w:themeColor="text1"/>
        </w:rPr>
        <w:t xml:space="preserve">is also associated with </w:t>
      </w:r>
      <w:r w:rsidR="003563CC" w:rsidRPr="006902F6">
        <w:rPr>
          <w:color w:val="000000" w:themeColor="text1"/>
        </w:rPr>
        <w:t>NAFLD</w:t>
      </w:r>
      <w:r w:rsidR="00190BDE" w:rsidRPr="006902F6">
        <w:rPr>
          <w:color w:val="000000" w:themeColor="text1"/>
        </w:rPr>
        <w:t xml:space="preserve"> </w:t>
      </w:r>
      <w:r w:rsidR="00190BDE" w:rsidRPr="006902F6">
        <w:rPr>
          <w:color w:val="000000" w:themeColor="text1"/>
        </w:rPr>
        <w:fldChar w:fldCharType="begin" w:fldLock="1"/>
      </w:r>
      <w:r w:rsidR="00065189" w:rsidRPr="006902F6">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sidRPr="006902F6">
        <w:rPr>
          <w:color w:val="000000" w:themeColor="text1"/>
        </w:rPr>
        <w:fldChar w:fldCharType="separate"/>
      </w:r>
      <w:r w:rsidR="00065189" w:rsidRPr="006902F6">
        <w:rPr>
          <w:noProof/>
          <w:color w:val="000000" w:themeColor="text1"/>
        </w:rPr>
        <w:t>(60)</w:t>
      </w:r>
      <w:r w:rsidR="00190BDE" w:rsidRPr="006902F6">
        <w:rPr>
          <w:color w:val="000000" w:themeColor="text1"/>
        </w:rPr>
        <w:fldChar w:fldCharType="end"/>
      </w:r>
      <w:r w:rsidR="003563CC" w:rsidRPr="006902F6">
        <w:rPr>
          <w:color w:val="000000" w:themeColor="text1"/>
        </w:rPr>
        <w:t>. We found synergistic elevations in glycerol, indicative of enhance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is driving </w:t>
      </w:r>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1B945B19"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065189" w:rsidRPr="006902F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(61)</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(62)</w:t>
      </w:r>
      <w:r w:rsidRPr="006902F6">
        <w:rPr>
          <w:color w:val="000000" w:themeColor="text1"/>
        </w:rPr>
        <w:fldChar w:fldCharType="end"/>
      </w:r>
      <w:r w:rsidRPr="006902F6">
        <w:rPr>
          <w:color w:val="000000" w:themeColor="text1"/>
        </w:rPr>
        <w:t xml:space="preserve"> and lipase transcripts </w:t>
      </w:r>
      <w:r w:rsidRPr="006902F6">
        <w:rPr>
          <w:color w:val="000000" w:themeColor="text1"/>
        </w:rPr>
        <w:fldChar w:fldCharType="begin" w:fldLock="1"/>
      </w:r>
      <w:r w:rsidR="00065189" w:rsidRPr="006902F6">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(63)</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striking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glucocorticoid-alone controls</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p>
    <w:p w14:paraId="7976C330" w14:textId="77777777" w:rsidR="00CD1457" w:rsidRPr="006902F6" w:rsidRDefault="00CD1457">
      <w:pPr>
        <w:rPr>
          <w:color w:val="000000" w:themeColor="text1"/>
        </w:rPr>
      </w:pPr>
    </w:p>
    <w:p w14:paraId="5FD2AFF5" w14:textId="0F820811"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065189"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sidRPr="006902F6">
        <w:rPr>
          <w:color w:val="000000" w:themeColor="text1"/>
        </w:rPr>
        <w:fldChar w:fldCharType="separate"/>
      </w:r>
      <w:r w:rsidR="00065189" w:rsidRPr="006902F6">
        <w:rPr>
          <w:noProof/>
          <w:color w:val="000000" w:themeColor="text1"/>
        </w:rPr>
        <w:t>(5,6,64)</w:t>
      </w:r>
      <w:r w:rsidR="00022845" w:rsidRPr="006902F6">
        <w:rPr>
          <w:color w:val="000000" w:themeColor="text1"/>
        </w:rPr>
        <w:fldChar w:fldCharType="end"/>
      </w:r>
      <w:r w:rsidR="00255615" w:rsidRPr="006902F6">
        <w:rPr>
          <w:color w:val="000000" w:themeColor="text1"/>
        </w:rPr>
        <w:t>. It is possible that HFD</w:t>
      </w:r>
      <w:r w:rsidR="00FD7752" w:rsidRPr="006902F6">
        <w:rPr>
          <w:color w:val="000000" w:themeColor="text1"/>
        </w:rPr>
        <w:t xml:space="preserve"> lends to elevated FFAs, leading to a similar phenotype as elevated adipose tissue lipolysis</w:t>
      </w:r>
      <w:r w:rsidR="0015242A" w:rsidRPr="006902F6">
        <w:rPr>
          <w:color w:val="000000" w:themeColor="text1"/>
        </w:rPr>
        <w:t>.  Further studies are needed to determine whether diet or obesity status or both are the source of this elevated metabolic risk.</w:t>
      </w:r>
    </w:p>
    <w:p w14:paraId="5FF6DF6E" w14:textId="77777777" w:rsidR="009C5B00" w:rsidRPr="006902F6" w:rsidRDefault="009C5B00">
      <w:pPr>
        <w:rPr>
          <w:color w:val="000000" w:themeColor="text1"/>
        </w:rPr>
      </w:pPr>
    </w:p>
    <w:p w14:paraId="4CD81769" w14:textId="04FEAF7E"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27C84D96"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We would like to thank the other members of the Bridges laboratory, Thurl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lastRenderedPageBreak/>
        <w:t>References</w:t>
      </w:r>
    </w:p>
    <w:p w14:paraId="407418F5" w14:textId="5704105D" w:rsidR="000A4359" w:rsidRPr="006902F6" w:rsidRDefault="000A4359" w:rsidP="000A4359">
      <w:pPr>
        <w:rPr>
          <w:color w:val="000000" w:themeColor="text1"/>
        </w:rPr>
      </w:pPr>
    </w:p>
    <w:p w14:paraId="3EC92F6A" w14:textId="3C9FA1B1" w:rsidR="00065189" w:rsidRPr="006902F6" w:rsidRDefault="00FA2417"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065189" w:rsidRPr="006902F6">
        <w:rPr>
          <w:rFonts w:ascii="Calibri" w:eastAsia="Times New Roman" w:hAnsi="Calibri" w:cs="Times New Roman"/>
          <w:noProof/>
          <w:color w:val="000000" w:themeColor="text1"/>
        </w:rPr>
        <w:t xml:space="preserve">1. </w:t>
      </w:r>
      <w:r w:rsidR="00065189" w:rsidRPr="006902F6">
        <w:rPr>
          <w:rFonts w:ascii="Calibri" w:eastAsia="Times New Roman" w:hAnsi="Calibri" w:cs="Times New Roman"/>
          <w:noProof/>
          <w:color w:val="000000" w:themeColor="text1"/>
        </w:rPr>
        <w:tab/>
        <w:t xml:space="preserve">Overman R a., Yeh JY, Deal CL. Prevalence of oral glucocorticoid usage in the United States: A general population perspective. Arthritis Care Res. 2013;65:294–8. </w:t>
      </w:r>
    </w:p>
    <w:p w14:paraId="472CBE0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 </w:t>
      </w:r>
      <w:r w:rsidRPr="006902F6">
        <w:rPr>
          <w:rFonts w:ascii="Calibri" w:eastAsia="Times New Roman" w:hAnsi="Calibri" w:cs="Times New Roman"/>
          <w:noProof/>
          <w:color w:val="000000" w:themeColor="text1"/>
        </w:rPr>
        <w:tab/>
        <w:t xml:space="preserve">Fardet L, Petersen I, Nazareth I. Original article Prevalence of long-term oral glucocorticoid prescriptions in the UK over the past 20 years. 2011; </w:t>
      </w:r>
    </w:p>
    <w:p w14:paraId="1A8358E1"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 </w:t>
      </w:r>
      <w:r w:rsidRPr="006902F6">
        <w:rPr>
          <w:rFonts w:ascii="Calibri" w:eastAsia="Times New Roman" w:hAnsi="Calibri" w:cs="Times New Roman"/>
          <w:noProof/>
          <w:color w:val="000000" w:themeColor="text1"/>
        </w:rPr>
        <w:tab/>
        <w:t xml:space="preserve">Hsiao C, Ph D, Cherry DK, Beatty PC, Ph D, Rechtsteiner EA, Care H. National Ambulatory Medical Care Survey : 2007 Summary. 2010; </w:t>
      </w:r>
    </w:p>
    <w:p w14:paraId="3BF582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 </w:t>
      </w:r>
      <w:r w:rsidRPr="006902F6">
        <w:rPr>
          <w:rFonts w:ascii="Calibri" w:eastAsia="Times New Roman" w:hAnsi="Calibri" w:cs="Times New Roman"/>
          <w:noProof/>
          <w:color w:val="000000" w:themeColor="text1"/>
        </w:rPr>
        <w:tab/>
        <w:t xml:space="preserve">Laugesen K, Otto J, Jørgensen L, Sørensen HT, Petersen I. Systemic glucocorticoid use in Denmark : a population-based prevalence study. 2017;1–6. </w:t>
      </w:r>
    </w:p>
    <w:p w14:paraId="5489718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 </w:t>
      </w:r>
      <w:r w:rsidRPr="006902F6">
        <w:rPr>
          <w:rFonts w:ascii="Calibri" w:eastAsia="Times New Roman" w:hAnsi="Calibri" w:cs="Times New Roman"/>
          <w:noProof/>
          <w:color w:val="000000" w:themeColor="text1"/>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 </w:t>
      </w:r>
      <w:r w:rsidRPr="006902F6">
        <w:rPr>
          <w:rFonts w:ascii="Calibri" w:eastAsia="Times New Roman" w:hAnsi="Calibri" w:cs="Times New Roman"/>
          <w:noProof/>
          <w:color w:val="000000" w:themeColor="text1"/>
        </w:rPr>
        <w:tab/>
        <w:t xml:space="preserve">Shpilberg Y, Beaudry JL, Souza AD, Campbell JE, Peckett A, Riddell MC. A rodent model of rapid-onset diabetes induced by glucocorticoids and high-fat feeding. 2012;680:671–80. </w:t>
      </w:r>
    </w:p>
    <w:p w14:paraId="5D54E7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7. </w:t>
      </w:r>
      <w:r w:rsidRPr="006902F6">
        <w:rPr>
          <w:rFonts w:ascii="Calibri" w:eastAsia="Times New Roman" w:hAnsi="Calibri" w:cs="Times New Roman"/>
          <w:noProof/>
          <w:color w:val="000000" w:themeColor="text1"/>
        </w:rPr>
        <w:tab/>
        <w:t xml:space="preserve">Karam JH, Grodsky GM, Ph D, Forsham PH. Excessive Insulin Response to Glucose in Obese Subjects as Measured by Immunochemical Assay. </w:t>
      </w:r>
    </w:p>
    <w:p w14:paraId="1D2F344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8. </w:t>
      </w:r>
      <w:r w:rsidRPr="006902F6">
        <w:rPr>
          <w:rFonts w:ascii="Calibri" w:eastAsia="Times New Roman" w:hAnsi="Calibri" w:cs="Times New Roman"/>
          <w:noProof/>
          <w:color w:val="000000" w:themeColor="text1"/>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9. </w:t>
      </w:r>
      <w:r w:rsidRPr="006902F6">
        <w:rPr>
          <w:rFonts w:ascii="Calibri" w:eastAsia="Times New Roman" w:hAnsi="Calibri" w:cs="Times New Roman"/>
          <w:noProof/>
          <w:color w:val="000000" w:themeColor="text1"/>
        </w:rPr>
        <w:tab/>
        <w:t xml:space="preserve">Steffensen C, Pereira AM, Dekkers OM. Prevalence of hypercortisolism in type 2 diabetes patients : a systematic review and. 2016; </w:t>
      </w:r>
    </w:p>
    <w:p w14:paraId="6149E81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10. </w:t>
      </w:r>
      <w:r w:rsidRPr="006902F6">
        <w:rPr>
          <w:rFonts w:ascii="Calibri" w:eastAsia="Times New Roman" w:hAnsi="Calibri" w:cs="Times New Roman"/>
          <w:noProof/>
          <w:color w:val="000000" w:themeColor="text1"/>
        </w:rPr>
        <w:tab/>
        <w:t xml:space="preserve">Wanless I, Lentz J. Fatty Liver Hepatitis ( Steatohepatitis ) and Obesity : An Autopsy Study with Analysis of Risk Factors. Hepatology. 1990;12:1106–10. </w:t>
      </w:r>
    </w:p>
    <w:p w14:paraId="6B59E95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11. </w:t>
      </w:r>
      <w:r w:rsidRPr="006902F6">
        <w:rPr>
          <w:rFonts w:ascii="Calibri" w:eastAsia="Times New Roman" w:hAnsi="Calibri" w:cs="Times New Roman"/>
          <w:noProof/>
          <w:color w:val="000000" w:themeColor="text1"/>
        </w:rPr>
        <w:tab/>
        <w:t xml:space="preserve">Youssef WI, Mccullough AJ. Steatohepatitis in obese individuals. 2002;16:733–47. </w:t>
      </w:r>
    </w:p>
    <w:p w14:paraId="735880E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12. </w:t>
      </w:r>
      <w:r w:rsidRPr="006902F6">
        <w:rPr>
          <w:rFonts w:ascii="Calibri" w:eastAsia="Times New Roman" w:hAnsi="Calibri" w:cs="Times New Roman"/>
          <w:noProof/>
          <w:color w:val="000000" w:themeColor="text1"/>
        </w:rPr>
        <w:tab/>
        <w:t xml:space="preserve">Pivonello R, Martino MC De, Leo M De, Lombardi G, Colao A. Cushing’s Syndrome. 2008;37:135–49. </w:t>
      </w:r>
    </w:p>
    <w:p w14:paraId="2556B61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13. </w:t>
      </w:r>
      <w:r w:rsidRPr="006902F6">
        <w:rPr>
          <w:rFonts w:ascii="Calibri" w:eastAsia="Times New Roman" w:hAnsi="Calibri" w:cs="Times New Roman"/>
          <w:noProof/>
          <w:color w:val="000000" w:themeColor="text1"/>
        </w:rPr>
        <w:tab/>
        <w:t xml:space="preserve">Resmini E, Minuto ÆF, Colao A, Ferone ÆD. Secondary diabetes associated with principal endocrinopathies : the impact of new treatment modalities. 2009;85–95. </w:t>
      </w:r>
    </w:p>
    <w:p w14:paraId="0A93D6B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14. </w:t>
      </w:r>
      <w:r w:rsidRPr="006902F6">
        <w:rPr>
          <w:rFonts w:ascii="Calibri" w:eastAsia="Times New Roman" w:hAnsi="Calibri" w:cs="Times New Roman"/>
          <w:noProof/>
          <w:color w:val="000000" w:themeColor="text1"/>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15. </w:t>
      </w:r>
      <w:r w:rsidRPr="006902F6">
        <w:rPr>
          <w:rFonts w:ascii="Calibri" w:eastAsia="Times New Roman" w:hAnsi="Calibri" w:cs="Times New Roman"/>
          <w:noProof/>
          <w:color w:val="000000" w:themeColor="text1"/>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16. </w:t>
      </w:r>
      <w:r w:rsidRPr="006902F6">
        <w:rPr>
          <w:rFonts w:ascii="Calibri" w:eastAsia="Times New Roman" w:hAnsi="Calibri" w:cs="Times New Roman"/>
          <w:noProof/>
          <w:color w:val="000000" w:themeColor="text1"/>
        </w:rPr>
        <w:tab/>
        <w:t xml:space="preserve">Rutters F, Nieuwenhuizen AG, Lemmens SGT, Born JM, Westerterp-plantenga MS. Hypothalamic – Pituitary – Adrenal ( HPA ) axis functioning in relation to body fat distribution. 2010;738–43. </w:t>
      </w:r>
    </w:p>
    <w:p w14:paraId="0297CF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17. </w:t>
      </w:r>
      <w:r w:rsidRPr="006902F6">
        <w:rPr>
          <w:rFonts w:ascii="Calibri" w:eastAsia="Times New Roman" w:hAnsi="Calibri" w:cs="Times New Roman"/>
          <w:noProof/>
          <w:color w:val="000000" w:themeColor="text1"/>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18. </w:t>
      </w:r>
      <w:r w:rsidRPr="006902F6">
        <w:rPr>
          <w:rFonts w:ascii="Calibri" w:eastAsia="Times New Roman" w:hAnsi="Calibri" w:cs="Times New Roman"/>
          <w:noProof/>
          <w:color w:val="000000" w:themeColor="text1"/>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19. </w:t>
      </w:r>
      <w:r w:rsidRPr="006902F6">
        <w:rPr>
          <w:rFonts w:ascii="Calibri" w:eastAsia="Times New Roman" w:hAnsi="Calibri" w:cs="Times New Roman"/>
          <w:noProof/>
          <w:color w:val="000000" w:themeColor="text1"/>
        </w:rPr>
        <w:tab/>
        <w:t xml:space="preserve">Schakman O, Kalista S, Barbé C, Loumaye A, Thissen JP. Glucocorticoid-induced skeletal muscle atrophy </w:t>
      </w:r>
      <w:r w:rsidRPr="006902F6">
        <w:rPr>
          <w:rFonts w:ascii="Oriya Sangam MN" w:eastAsia="Oriya Sangam MN" w:hAnsi="Oriya Sangam MN" w:cs="Oriya Sangam MN"/>
          <w:noProof/>
          <w:color w:val="000000" w:themeColor="text1"/>
        </w:rPr>
        <w:t>ଝ</w:t>
      </w:r>
      <w:r w:rsidRPr="006902F6">
        <w:rPr>
          <w:rFonts w:ascii="Calibri" w:eastAsia="Times New Roman" w:hAnsi="Calibri" w:cs="Times New Roman"/>
          <w:noProof/>
          <w:color w:val="000000" w:themeColor="text1"/>
        </w:rPr>
        <w:t>. Int J Biochem Cell Biol [Internet]. Elsevier Ltd; 2013;45:2163–72. Available from: http://dx.doi.org/10.1016/j.biocel.2013.05.036</w:t>
      </w:r>
    </w:p>
    <w:p w14:paraId="1F0EEE2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20. </w:t>
      </w:r>
      <w:r w:rsidRPr="006902F6">
        <w:rPr>
          <w:rFonts w:ascii="Calibri" w:eastAsia="Times New Roman" w:hAnsi="Calibri" w:cs="Times New Roman"/>
          <w:noProof/>
          <w:color w:val="000000" w:themeColor="text1"/>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21. </w:t>
      </w:r>
      <w:r w:rsidRPr="006902F6">
        <w:rPr>
          <w:rFonts w:ascii="Calibri" w:eastAsia="Times New Roman" w:hAnsi="Calibri" w:cs="Times New Roman"/>
          <w:noProof/>
          <w:color w:val="000000" w:themeColor="text1"/>
        </w:rPr>
        <w:tab/>
        <w:t xml:space="preserve">Geer EB, Shen W, Gallagher D, Punyanitya M, Looker HC, Post KD, Freda PU. Female Patients with Cushing ’ s Disease. 2011;73:469–75. </w:t>
      </w:r>
    </w:p>
    <w:p w14:paraId="3CA828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22. </w:t>
      </w:r>
      <w:r w:rsidRPr="006902F6">
        <w:rPr>
          <w:rFonts w:ascii="Calibri" w:eastAsia="Times New Roman" w:hAnsi="Calibri" w:cs="Times New Roman"/>
          <w:noProof/>
          <w:color w:val="000000" w:themeColor="text1"/>
        </w:rPr>
        <w:tab/>
        <w:t xml:space="preserve">Djurhuus CB, Gravholt CH, Nielsen S, Pedersen SB, Møller N, Schmitz O. Additive effects of cortisol and growth hormone on regional and systemic lipolysis in humans. 2004;488–94. </w:t>
      </w:r>
    </w:p>
    <w:p w14:paraId="1A1A25B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23. </w:t>
      </w:r>
      <w:r w:rsidRPr="006902F6">
        <w:rPr>
          <w:rFonts w:ascii="Calibri" w:eastAsia="Times New Roman" w:hAnsi="Calibri" w:cs="Times New Roman"/>
          <w:noProof/>
          <w:color w:val="000000" w:themeColor="text1"/>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24. </w:t>
      </w:r>
      <w:r w:rsidRPr="006902F6">
        <w:rPr>
          <w:rFonts w:ascii="Calibri" w:eastAsia="Times New Roman" w:hAnsi="Calibri" w:cs="Times New Roman"/>
          <w:noProof/>
          <w:color w:val="000000" w:themeColor="text1"/>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25. </w:t>
      </w:r>
      <w:r w:rsidRPr="006902F6">
        <w:rPr>
          <w:rFonts w:ascii="Calibri" w:eastAsia="Times New Roman" w:hAnsi="Calibri" w:cs="Times New Roman"/>
          <w:noProof/>
          <w:color w:val="000000" w:themeColor="text1"/>
        </w:rPr>
        <w:tab/>
        <w:t xml:space="preserve">Rebrin K, Steil GM, Mittelman SD, Bergman RN. Causal Linkage between Insulin Suppression of Lipolysis and Suppression of Liver Glucose Output in Dogs. 1996;98:741–9. </w:t>
      </w:r>
    </w:p>
    <w:p w14:paraId="7D748B9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26. </w:t>
      </w:r>
      <w:r w:rsidRPr="006902F6">
        <w:rPr>
          <w:rFonts w:ascii="Calibri" w:eastAsia="Times New Roman" w:hAnsi="Calibri" w:cs="Times New Roman"/>
          <w:noProof/>
          <w:color w:val="000000" w:themeColor="text1"/>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27. </w:t>
      </w:r>
      <w:r w:rsidRPr="006902F6">
        <w:rPr>
          <w:rFonts w:ascii="Calibri" w:eastAsia="Times New Roman" w:hAnsi="Calibri" w:cs="Times New Roman"/>
          <w:noProof/>
          <w:color w:val="000000" w:themeColor="text1"/>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28. </w:t>
      </w:r>
      <w:r w:rsidRPr="006902F6">
        <w:rPr>
          <w:rFonts w:ascii="Calibri" w:eastAsia="Times New Roman" w:hAnsi="Calibri" w:cs="Times New Roman"/>
          <w:noProof/>
          <w:color w:val="000000" w:themeColor="text1"/>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29. </w:t>
      </w:r>
      <w:r w:rsidRPr="006902F6">
        <w:rPr>
          <w:rFonts w:ascii="Calibri" w:eastAsia="Times New Roman" w:hAnsi="Calibri" w:cs="Times New Roman"/>
          <w:noProof/>
          <w:color w:val="000000" w:themeColor="text1"/>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30. </w:t>
      </w:r>
      <w:r w:rsidRPr="006902F6">
        <w:rPr>
          <w:rFonts w:ascii="Calibri" w:eastAsia="Times New Roman" w:hAnsi="Calibri" w:cs="Times New Roman"/>
          <w:noProof/>
          <w:color w:val="000000" w:themeColor="text1"/>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31. </w:t>
      </w:r>
      <w:r w:rsidRPr="006902F6">
        <w:rPr>
          <w:rFonts w:ascii="Calibri" w:eastAsia="Times New Roman" w:hAnsi="Calibri" w:cs="Times New Roman"/>
          <w:noProof/>
          <w:color w:val="000000" w:themeColor="text1"/>
        </w:rPr>
        <w:tab/>
        <w:t xml:space="preserve">Mueller KM, Hartmann K, Kaltenecker D, Vettorazzi S, Bauer M, Mauser L, Amann S, Jall S, Fischer K, Esterbauer H, et al. Adipocyte Glucocorticoid Receptor De fi ciency Attenuates Aging- and HFD-Induced Obesity and Impairs the Feeding-Fasting Transition. </w:t>
      </w:r>
      <w:r w:rsidRPr="006902F6">
        <w:rPr>
          <w:rFonts w:ascii="Calibri" w:eastAsia="Times New Roman" w:hAnsi="Calibri" w:cs="Times New Roman"/>
          <w:noProof/>
          <w:color w:val="000000" w:themeColor="text1"/>
        </w:rPr>
        <w:lastRenderedPageBreak/>
        <w:t xml:space="preserve">2017;66:272–86. </w:t>
      </w:r>
    </w:p>
    <w:p w14:paraId="510391A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32. </w:t>
      </w:r>
      <w:r w:rsidRPr="006902F6">
        <w:rPr>
          <w:rFonts w:ascii="Calibri" w:eastAsia="Times New Roman" w:hAnsi="Calibri" w:cs="Times New Roman"/>
          <w:noProof/>
          <w:color w:val="000000" w:themeColor="text1"/>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33. </w:t>
      </w:r>
      <w:r w:rsidRPr="006902F6">
        <w:rPr>
          <w:rFonts w:ascii="Calibri" w:eastAsia="Times New Roman" w:hAnsi="Calibri" w:cs="Times New Roman"/>
          <w:noProof/>
          <w:color w:val="000000" w:themeColor="text1"/>
        </w:rPr>
        <w:tab/>
        <w:t xml:space="preserve">Morgan SA et al. 11β-HSD1 is the major regulator of the tissue-specific effects of circulating glucocorticoid excess: Supporting Information. 2011;1–10. </w:t>
      </w:r>
    </w:p>
    <w:p w14:paraId="1C477E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34. </w:t>
      </w:r>
      <w:r w:rsidRPr="006902F6">
        <w:rPr>
          <w:rFonts w:ascii="Calibri" w:eastAsia="Times New Roman" w:hAnsi="Calibri" w:cs="Times New Roman"/>
          <w:noProof/>
          <w:color w:val="000000" w:themeColor="text1"/>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35. </w:t>
      </w:r>
      <w:r w:rsidRPr="006902F6">
        <w:rPr>
          <w:rFonts w:ascii="Calibri" w:eastAsia="Times New Roman" w:hAnsi="Calibri" w:cs="Times New Roman"/>
          <w:noProof/>
          <w:color w:val="000000" w:themeColor="text1"/>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36. </w:t>
      </w:r>
      <w:r w:rsidRPr="006902F6">
        <w:rPr>
          <w:rFonts w:ascii="Calibri" w:eastAsia="Times New Roman" w:hAnsi="Calibri" w:cs="Times New Roman"/>
          <w:noProof/>
          <w:color w:val="000000" w:themeColor="text1"/>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37. </w:t>
      </w:r>
      <w:r w:rsidRPr="006902F6">
        <w:rPr>
          <w:rFonts w:ascii="Calibri" w:eastAsia="Times New Roman" w:hAnsi="Calibri" w:cs="Times New Roman"/>
          <w:noProof/>
          <w:color w:val="000000" w:themeColor="text1"/>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38. </w:t>
      </w:r>
      <w:r w:rsidRPr="006902F6">
        <w:rPr>
          <w:rFonts w:ascii="Calibri" w:eastAsia="Times New Roman" w:hAnsi="Calibri" w:cs="Times New Roman"/>
          <w:noProof/>
          <w:color w:val="000000" w:themeColor="text1"/>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39. </w:t>
      </w:r>
      <w:r w:rsidRPr="006902F6">
        <w:rPr>
          <w:rFonts w:ascii="Calibri" w:eastAsia="Times New Roman" w:hAnsi="Calibri" w:cs="Times New Roman"/>
          <w:noProof/>
          <w:color w:val="000000" w:themeColor="text1"/>
        </w:rPr>
        <w:tab/>
        <w:t xml:space="preserve">Ayala JE, Bracy DP, Mcguinness OP, Wasserman DH. Considerations in the Design of Hyperinsulinemic- Euglycemic Clamps in the Conscious Mouse. 2006; </w:t>
      </w:r>
    </w:p>
    <w:p w14:paraId="150C8E8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40. </w:t>
      </w:r>
      <w:r w:rsidRPr="006902F6">
        <w:rPr>
          <w:rFonts w:ascii="Calibri" w:eastAsia="Times New Roman" w:hAnsi="Calibri" w:cs="Times New Roman"/>
          <w:noProof/>
          <w:color w:val="000000" w:themeColor="text1"/>
        </w:rPr>
        <w:tab/>
        <w:t xml:space="preserve">Halseth AMYE, Bracy DP, Wasserman DH, Amy E, Bracy DP, David H. Overexpression of hexokinase II increases insulin- and exercise-stimulated muscle glucose uptake in vivo. 1999; </w:t>
      </w:r>
    </w:p>
    <w:p w14:paraId="1DC3BB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41. </w:t>
      </w:r>
      <w:r w:rsidRPr="006902F6">
        <w:rPr>
          <w:rFonts w:ascii="Calibri" w:eastAsia="Times New Roman" w:hAnsi="Calibri" w:cs="Times New Roman"/>
          <w:noProof/>
          <w:color w:val="000000" w:themeColor="text1"/>
        </w:rPr>
        <w:tab/>
        <w:t xml:space="preserve">Kraegen E, James D, Jenkins A, Chisholm D. Dose-response curves for in vivo insulin sensitivity in individual tissues in rats. Am Physiol Soc. 1985;E353–E362. </w:t>
      </w:r>
    </w:p>
    <w:p w14:paraId="79022EB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42. </w:t>
      </w:r>
      <w:r w:rsidRPr="006902F6">
        <w:rPr>
          <w:rFonts w:ascii="Calibri" w:eastAsia="Times New Roman" w:hAnsi="Calibri" w:cs="Times New Roman"/>
          <w:noProof/>
          <w:color w:val="000000" w:themeColor="text1"/>
        </w:rPr>
        <w:tab/>
        <w:t xml:space="preserve">Chiang S-H, Chang L SA. TC10 and Insulin </w:t>
      </w:r>
      <w:r w:rsidRPr="006902F6">
        <w:rPr>
          <w:rFonts w:ascii="Calibri" w:eastAsia="Calibri" w:hAnsi="Calibri" w:cs="Calibri"/>
          <w:noProof/>
          <w:color w:val="000000" w:themeColor="text1"/>
        </w:rPr>
        <w:t>‐</w:t>
      </w:r>
      <w:r w:rsidRPr="006902F6">
        <w:rPr>
          <w:rFonts w:ascii="Calibri" w:eastAsia="Times New Roman" w:hAnsi="Calibri" w:cs="Times New Roman"/>
          <w:noProof/>
          <w:color w:val="000000" w:themeColor="text1"/>
        </w:rPr>
        <w:t xml:space="preserve"> Stimulated Glucose Transport. 2002;406:1257–62. </w:t>
      </w:r>
    </w:p>
    <w:p w14:paraId="63C6D56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43. </w:t>
      </w:r>
      <w:r w:rsidRPr="006902F6">
        <w:rPr>
          <w:rFonts w:ascii="Calibri" w:eastAsia="Times New Roman" w:hAnsi="Calibri" w:cs="Times New Roman"/>
          <w:noProof/>
          <w:color w:val="000000" w:themeColor="text1"/>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44. </w:t>
      </w:r>
      <w:r w:rsidRPr="006902F6">
        <w:rPr>
          <w:rFonts w:ascii="Calibri" w:eastAsia="Times New Roman" w:hAnsi="Calibri" w:cs="Times New Roman"/>
          <w:noProof/>
          <w:color w:val="000000" w:themeColor="text1"/>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45. </w:t>
      </w:r>
      <w:r w:rsidRPr="006902F6">
        <w:rPr>
          <w:rFonts w:ascii="Calibri" w:eastAsia="Times New Roman" w:hAnsi="Calibri" w:cs="Times New Roman"/>
          <w:noProof/>
          <w:color w:val="000000" w:themeColor="text1"/>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46. </w:t>
      </w:r>
      <w:r w:rsidRPr="006902F6">
        <w:rPr>
          <w:rFonts w:ascii="Calibri" w:eastAsia="Times New Roman" w:hAnsi="Calibri" w:cs="Times New Roman"/>
          <w:noProof/>
          <w:color w:val="000000" w:themeColor="text1"/>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47. </w:t>
      </w:r>
      <w:r w:rsidRPr="006902F6">
        <w:rPr>
          <w:rFonts w:ascii="Calibri" w:eastAsia="Times New Roman" w:hAnsi="Calibri" w:cs="Times New Roman"/>
          <w:noProof/>
          <w:color w:val="000000" w:themeColor="text1"/>
        </w:rPr>
        <w:tab/>
        <w:t xml:space="preserve">Kramer C, Zinman B, Retnakaran R. Are Metabolically Healthy Overweight and Obesity Benign Conditions ? Ann Intern Med. 2013;159:758–69. </w:t>
      </w:r>
    </w:p>
    <w:p w14:paraId="684A207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48. </w:t>
      </w:r>
      <w:r w:rsidRPr="006902F6">
        <w:rPr>
          <w:rFonts w:ascii="Calibri" w:eastAsia="Times New Roman" w:hAnsi="Calibri" w:cs="Times New Roman"/>
          <w:noProof/>
          <w:color w:val="000000" w:themeColor="text1"/>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49. </w:t>
      </w:r>
      <w:r w:rsidRPr="006902F6">
        <w:rPr>
          <w:rFonts w:ascii="Calibri" w:eastAsia="Times New Roman" w:hAnsi="Calibri" w:cs="Times New Roman"/>
          <w:noProof/>
          <w:color w:val="000000" w:themeColor="text1"/>
        </w:rPr>
        <w:tab/>
        <w:t xml:space="preserve">Roper N, Bilous R, Kelly W, Unwin N, Connolly V. Cause-Specific Mortality in a Population. Diabetes Care. 2002;25. </w:t>
      </w:r>
    </w:p>
    <w:p w14:paraId="0F589B0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50. </w:t>
      </w:r>
      <w:r w:rsidRPr="006902F6">
        <w:rPr>
          <w:rFonts w:ascii="Calibri" w:eastAsia="Times New Roman" w:hAnsi="Calibri" w:cs="Times New Roman"/>
          <w:noProof/>
          <w:color w:val="000000" w:themeColor="text1"/>
        </w:rPr>
        <w:tab/>
        <w:t xml:space="preserve">Manolopoulos KN, Karpe F, Frayn KN. Marked resistance of femoral adipose tissue blood flow and lipolysis to adrenaline in vivo. 2012;3029–37. </w:t>
      </w:r>
    </w:p>
    <w:p w14:paraId="5540C2F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51. </w:t>
      </w:r>
      <w:r w:rsidRPr="006902F6">
        <w:rPr>
          <w:rFonts w:ascii="Calibri" w:eastAsia="Times New Roman" w:hAnsi="Calibri" w:cs="Times New Roman"/>
          <w:noProof/>
          <w:color w:val="000000" w:themeColor="text1"/>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52. </w:t>
      </w:r>
      <w:r w:rsidRPr="006902F6">
        <w:rPr>
          <w:rFonts w:ascii="Calibri" w:eastAsia="Times New Roman" w:hAnsi="Calibri" w:cs="Times New Roman"/>
          <w:noProof/>
          <w:color w:val="000000" w:themeColor="text1"/>
        </w:rPr>
        <w:tab/>
        <w:t xml:space="preserve">Yan Y, Hou D, Zhao X, Liu J. Childhood Adiposity and Nonalcoholic Fatty Liver Disease in Adulthood. 2017;139. </w:t>
      </w:r>
    </w:p>
    <w:p w14:paraId="0E9F96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53. </w:t>
      </w:r>
      <w:r w:rsidRPr="006902F6">
        <w:rPr>
          <w:rFonts w:ascii="Calibri" w:eastAsia="Times New Roman" w:hAnsi="Calibri" w:cs="Times New Roman"/>
          <w:noProof/>
          <w:color w:val="000000" w:themeColor="text1"/>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54. </w:t>
      </w:r>
      <w:r w:rsidRPr="006902F6">
        <w:rPr>
          <w:rFonts w:ascii="Calibri" w:eastAsia="Times New Roman" w:hAnsi="Calibri" w:cs="Times New Roman"/>
          <w:noProof/>
          <w:color w:val="000000" w:themeColor="text1"/>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55. </w:t>
      </w:r>
      <w:r w:rsidRPr="006902F6">
        <w:rPr>
          <w:rFonts w:ascii="Calibri" w:eastAsia="Times New Roman" w:hAnsi="Calibri" w:cs="Times New Roman"/>
          <w:noProof/>
          <w:color w:val="000000" w:themeColor="text1"/>
        </w:rPr>
        <w:tab/>
        <w:t xml:space="preserve">Nurjhan N, Consoli A, Gerich J. Increased Lipolysis and Its Consequences on Gluconeogenesis in Non-insulin-dependent Diabetes Mellitus. 1992;89:169–75. </w:t>
      </w:r>
    </w:p>
    <w:p w14:paraId="1E974DE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56. </w:t>
      </w:r>
      <w:r w:rsidRPr="006902F6">
        <w:rPr>
          <w:rFonts w:ascii="Calibri" w:eastAsia="Times New Roman" w:hAnsi="Calibri" w:cs="Times New Roman"/>
          <w:noProof/>
          <w:color w:val="000000" w:themeColor="text1"/>
        </w:rPr>
        <w:tab/>
        <w:t xml:space="preserve">Nurjhan N, Campbell PJ, Kennedy FP, Miles JM, Gerich JE. Insulin Dose-Response Characteristics for Suppression of Glycerol Release and Conversion to Glucose in Humans. 1986;35:1326–31. </w:t>
      </w:r>
    </w:p>
    <w:p w14:paraId="2D9482B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57. </w:t>
      </w:r>
      <w:r w:rsidRPr="006902F6">
        <w:rPr>
          <w:rFonts w:ascii="Calibri" w:eastAsia="Times New Roman" w:hAnsi="Calibri" w:cs="Times New Roman"/>
          <w:noProof/>
          <w:color w:val="000000" w:themeColor="text1"/>
        </w:rPr>
        <w:tab/>
        <w:t xml:space="preserve">Perry RJ, Peng L, Abulizi A, Kennedy L, Cline GW, Shulman GI. Mechanism for leptin ’ s acute insulin-independent effect to reverse diabetic ketoacidosis. 2017;127:657–69. </w:t>
      </w:r>
    </w:p>
    <w:p w14:paraId="356875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58. </w:t>
      </w:r>
      <w:r w:rsidRPr="006902F6">
        <w:rPr>
          <w:rFonts w:ascii="Calibri" w:eastAsia="Times New Roman" w:hAnsi="Calibri" w:cs="Times New Roman"/>
          <w:noProof/>
          <w:color w:val="000000" w:themeColor="text1"/>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59. </w:t>
      </w:r>
      <w:r w:rsidRPr="006902F6">
        <w:rPr>
          <w:rFonts w:ascii="Calibri" w:eastAsia="Times New Roman" w:hAnsi="Calibri" w:cs="Times New Roman"/>
          <w:noProof/>
          <w:color w:val="000000" w:themeColor="text1"/>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60. </w:t>
      </w:r>
      <w:r w:rsidRPr="006902F6">
        <w:rPr>
          <w:rFonts w:ascii="Calibri" w:eastAsia="Times New Roman" w:hAnsi="Calibri" w:cs="Times New Roman"/>
          <w:noProof/>
          <w:color w:val="000000" w:themeColor="text1"/>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61. </w:t>
      </w:r>
      <w:r w:rsidRPr="006902F6">
        <w:rPr>
          <w:rFonts w:ascii="Calibri" w:eastAsia="Times New Roman" w:hAnsi="Calibri" w:cs="Times New Roman"/>
          <w:noProof/>
          <w:color w:val="000000" w:themeColor="text1"/>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62. </w:t>
      </w:r>
      <w:r w:rsidRPr="006902F6">
        <w:rPr>
          <w:rFonts w:ascii="Calibri" w:eastAsia="Times New Roman" w:hAnsi="Calibri" w:cs="Times New Roman"/>
          <w:noProof/>
          <w:color w:val="000000" w:themeColor="text1"/>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63. </w:t>
      </w:r>
      <w:r w:rsidRPr="006902F6">
        <w:rPr>
          <w:rFonts w:ascii="Calibri" w:eastAsia="Times New Roman" w:hAnsi="Calibri" w:cs="Times New Roman"/>
          <w:noProof/>
          <w:color w:val="000000" w:themeColor="text1"/>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6902F6" w:rsidRDefault="00065189" w:rsidP="00065189">
      <w:pPr>
        <w:widowControl w:val="0"/>
        <w:autoSpaceDE w:val="0"/>
        <w:autoSpaceDN w:val="0"/>
        <w:adjustRightInd w:val="0"/>
        <w:ind w:left="640" w:hanging="640"/>
        <w:rPr>
          <w:rFonts w:ascii="Calibri" w:hAnsi="Calibri"/>
          <w:noProof/>
          <w:color w:val="000000" w:themeColor="text1"/>
        </w:rPr>
      </w:pPr>
      <w:r w:rsidRPr="006902F6">
        <w:rPr>
          <w:rFonts w:ascii="Calibri" w:eastAsia="Times New Roman" w:hAnsi="Calibri" w:cs="Times New Roman"/>
          <w:noProof/>
          <w:color w:val="000000" w:themeColor="text1"/>
        </w:rPr>
        <w:t xml:space="preserve">64. </w:t>
      </w:r>
      <w:r w:rsidRPr="006902F6">
        <w:rPr>
          <w:rFonts w:ascii="Calibri" w:eastAsia="Times New Roman" w:hAnsi="Calibri" w:cs="Times New Roman"/>
          <w:noProof/>
          <w:color w:val="000000" w:themeColor="text1"/>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6902F6" w:rsidRDefault="00FA2417" w:rsidP="00065189">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 Office User" w:date="2017-08-16T13:19:00Z" w:initials="Office">
    <w:p w14:paraId="49C79E45" w14:textId="7329824D" w:rsidR="00C86E77" w:rsidRDefault="00C86E77">
      <w:pPr>
        <w:pStyle w:val="CommentText"/>
      </w:pPr>
      <w:r>
        <w:rPr>
          <w:rStyle w:val="CommentReference"/>
        </w:rPr>
        <w:annotationRef/>
      </w:r>
      <w:r>
        <w:t>Double checking these doses with nathan</w:t>
      </w:r>
    </w:p>
  </w:comment>
  <w:comment w:id="26" w:author="Microsoft Office User" w:date="2017-08-16T15:21:00Z" w:initials="Office">
    <w:p w14:paraId="4D394A31" w14:textId="0B1E27D3" w:rsidR="00DA4887" w:rsidRDefault="00DA4887">
      <w:pPr>
        <w:pStyle w:val="CommentText"/>
      </w:pPr>
      <w:r>
        <w:rPr>
          <w:rStyle w:val="CommentReference"/>
        </w:rPr>
        <w:annotationRef/>
      </w:r>
      <w:r>
        <w:t>Cant find this one</w:t>
      </w:r>
    </w:p>
  </w:comment>
  <w:comment w:id="40"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41"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43" w:author="Dave Bridges" w:date="2017-07-31T18:08:00Z" w:initials="DB">
    <w:p w14:paraId="4E3089B1" w14:textId="405C6DB3" w:rsidR="00CC09E6" w:rsidRDefault="00CC09E6">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79E45" w15:done="0"/>
  <w15:commentEx w15:paraId="4D394A31" w15:done="0"/>
  <w15:commentEx w15:paraId="67984F1A" w15:done="0"/>
  <w15:commentEx w15:paraId="7298D3C5" w15:done="0"/>
  <w15:commentEx w15:paraId="4E3089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B7FA0"/>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20F"/>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F3"/>
    <w:rsid w:val="0074199E"/>
    <w:rsid w:val="00741E67"/>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33660</Words>
  <Characters>191868</Characters>
  <Application>Microsoft Macintosh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49</cp:revision>
  <dcterms:created xsi:type="dcterms:W3CDTF">2017-08-16T14:16:00Z</dcterms:created>
  <dcterms:modified xsi:type="dcterms:W3CDTF">2017-08-16T20:56:00Z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