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2EB0B3A9"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w:t>
      </w:r>
      <w:r w:rsidR="009F7868">
        <w:rPr>
          <w:color w:val="000000" w:themeColor="text1"/>
        </w:rPr>
        <w:t>s of hepatic lipid accumulation</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in hepatic steatosis and </w:t>
      </w:r>
      <w:r w:rsidR="00AB44A0">
        <w:rPr>
          <w:color w:val="000000" w:themeColor="text1"/>
        </w:rPr>
        <w:t xml:space="preserve">synergistic </w:t>
      </w:r>
      <w:r w:rsidR="00B3095B">
        <w:rPr>
          <w:color w:val="000000" w:themeColor="text1"/>
        </w:rPr>
        <w:t>impairments</w:t>
      </w:r>
      <w:r w:rsidR="00B3095B">
        <w:rPr>
          <w:color w:val="000000" w:themeColor="text1"/>
        </w:rPr>
        <w:t xml:space="preserve"> </w:t>
      </w:r>
      <w:r w:rsidR="00AB44A0">
        <w:rPr>
          <w:color w:val="000000" w:themeColor="text1"/>
        </w:rPr>
        <w:t xml:space="preserve">in </w:t>
      </w:r>
      <w:r w:rsidR="00383057" w:rsidRPr="006902F6">
        <w:rPr>
          <w:color w:val="000000" w:themeColor="text1"/>
        </w:rPr>
        <w:t xml:space="preserve">insulin </w:t>
      </w:r>
      <w:r w:rsidR="00B3095B">
        <w:rPr>
          <w:color w:val="000000" w:themeColor="text1"/>
        </w:rPr>
        <w:t>sensitivity</w:t>
      </w:r>
      <w:r w:rsidR="00B3095B" w:rsidRPr="006902F6">
        <w:rPr>
          <w:color w:val="000000" w:themeColor="text1"/>
        </w:rPr>
        <w:t xml:space="preserve"> </w:t>
      </w:r>
      <w:r w:rsidR="00383057" w:rsidRPr="006902F6">
        <w:rPr>
          <w:color w:val="000000" w:themeColor="text1"/>
        </w:rPr>
        <w:t>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49AB9451" w:rsidR="006A1504" w:rsidRDefault="00EF0E90" w:rsidP="00F01E9C">
      <w:pPr>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57EABD12"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E20BD1"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C426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19FF0610"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 xml:space="preserve">Due to the immunosuppressive </w:t>
      </w:r>
      <w:r w:rsidR="00CD611F">
        <w:rPr>
          <w:rFonts w:eastAsia="Times New Roman" w:cs="Times New Roman"/>
          <w:color w:val="000000" w:themeColor="text1"/>
          <w:shd w:val="clear" w:color="auto" w:fill="FFFFFF"/>
        </w:rPr>
        <w:lastRenderedPageBreak/>
        <w:t>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4B4B4A77" w:rsidR="00C86E77" w:rsidRPr="00011A92" w:rsidRDefault="004B1467" w:rsidP="00C86E77">
      <w:pPr>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bookmarkStart w:id="0" w:name="_GoBack"/>
      <w:del w:id="1" w:author="Microsoft Office User" w:date="2017-09-06T13:47:00Z">
        <w:r w:rsidR="00067455" w:rsidRPr="006902F6" w:rsidDel="00B87EDC">
          <w:rPr>
            <w:rFonts w:cs="Times New Roman"/>
            <w:color w:val="000000" w:themeColor="text1"/>
          </w:rPr>
          <w:delText xml:space="preserve">tolerance </w:delText>
        </w:r>
      </w:del>
      <w:bookmarkEnd w:id="0"/>
      <w:ins w:id="2" w:author="Microsoft Office User" w:date="2017-09-06T13:47:00Z">
        <w:r w:rsidR="00B87EDC">
          <w:rPr>
            <w:rFonts w:cs="Times New Roman"/>
            <w:color w:val="000000" w:themeColor="text1"/>
          </w:rPr>
          <w:t>responsiveness</w:t>
        </w:r>
        <w:r w:rsidR="00B87EDC" w:rsidRPr="006902F6">
          <w:rPr>
            <w:rFonts w:cs="Times New Roman"/>
            <w:color w:val="000000" w:themeColor="text1"/>
          </w:rPr>
          <w:t xml:space="preserve"> </w:t>
        </w:r>
      </w:ins>
      <w:r w:rsidR="00067455" w:rsidRPr="006902F6">
        <w:rPr>
          <w:rFonts w:cs="Times New Roman"/>
          <w:color w:val="000000" w:themeColor="text1"/>
        </w:rPr>
        <w:t xml:space="preserve">was assessed </w:t>
      </w:r>
      <w:del w:id="3" w:author="Microsoft Office User" w:date="2017-09-06T13:47:00Z">
        <w:r w:rsidR="00067455" w:rsidRPr="006902F6" w:rsidDel="00B87EDC">
          <w:rPr>
            <w:rFonts w:cs="Times New Roman"/>
            <w:color w:val="000000" w:themeColor="text1"/>
          </w:rPr>
          <w:delText>foll</w:delText>
        </w:r>
        <w:r w:rsidR="00EB0A54" w:rsidRPr="006902F6" w:rsidDel="00B87EDC">
          <w:rPr>
            <w:rFonts w:cs="Times New Roman"/>
            <w:color w:val="000000" w:themeColor="text1"/>
          </w:rPr>
          <w:delText>owing five weeks of treatment (27</w:delText>
        </w:r>
        <w:r w:rsidR="00067455" w:rsidRPr="006902F6" w:rsidDel="00B87EDC">
          <w:rPr>
            <w:rFonts w:cs="Times New Roman"/>
            <w:color w:val="000000" w:themeColor="text1"/>
          </w:rPr>
          <w:delText xml:space="preserve"> weeks of age)</w:delText>
        </w:r>
      </w:del>
      <w:ins w:id="4" w:author="Microsoft Office User" w:date="2017-09-06T13:47:00Z">
        <w:r w:rsidR="00B87EDC">
          <w:rPr>
            <w:rFonts w:cs="Times New Roman"/>
            <w:color w:val="000000" w:themeColor="text1"/>
          </w:rPr>
          <w:t>via an insulin tolerance test (ITT)</w:t>
        </w:r>
      </w:ins>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ins w:id="5" w:author="Microsoft Office User" w:date="2017-09-05T16:24:00Z">
        <w:r w:rsidR="001143CB">
          <w:rPr>
            <w:rFonts w:cs="Times New Roman"/>
            <w:color w:val="000000" w:themeColor="text1"/>
          </w:rPr>
          <w:t xml:space="preserve"> </w:t>
        </w:r>
      </w:ins>
      <w:del w:id="6" w:author="Microsoft Office User" w:date="2017-09-06T13:47:00Z">
        <w:r w:rsidR="00067455" w:rsidRPr="006902F6" w:rsidDel="00B87EDC">
          <w:rPr>
            <w:rFonts w:cs="Times New Roman"/>
            <w:color w:val="000000" w:themeColor="text1"/>
          </w:rPr>
          <w:delText xml:space="preserve"> </w:delText>
        </w:r>
      </w:del>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del w:id="7" w:author="Microsoft Office User" w:date="2017-09-06T13:47:00Z">
        <w:r w:rsidR="00F46BC5" w:rsidDel="00B87EDC">
          <w:rPr>
            <w:rFonts w:cs="Times New Roman"/>
            <w:color w:val="000000" w:themeColor="text1"/>
          </w:rPr>
          <w:delText>,</w:delText>
        </w:r>
        <w:r w:rsidR="00A9523A" w:rsidRPr="006902F6" w:rsidDel="00B87EDC">
          <w:rPr>
            <w:rFonts w:cs="Times New Roman"/>
            <w:color w:val="000000" w:themeColor="text1"/>
          </w:rPr>
          <w:delText xml:space="preserve"> following a six hour fast</w:delText>
        </w:r>
      </w:del>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del w:id="8" w:author="Microsoft Office User" w:date="2017-09-06T13:48:00Z">
        <w:r w:rsidR="0067415E" w:rsidDel="00B87EDC">
          <w:rPr>
            <w:color w:val="000000" w:themeColor="text1"/>
          </w:rPr>
          <w:delText>(n=14)</w:delText>
        </w:r>
        <w:r w:rsidR="00BF4435" w:rsidRPr="006902F6" w:rsidDel="00B87EDC">
          <w:rPr>
            <w:color w:val="000000" w:themeColor="text1"/>
          </w:rPr>
          <w:delText xml:space="preserve"> </w:delText>
        </w:r>
      </w:del>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del w:id="9" w:author="Microsoft Office User" w:date="2017-09-06T13:49:00Z">
        <w:r w:rsidR="004F76E8" w:rsidDel="002B6EF5">
          <w:rPr>
            <w:color w:val="000000" w:themeColor="text1"/>
          </w:rPr>
          <w:delText xml:space="preserve">given </w:delText>
        </w:r>
        <w:r w:rsidR="00637F63" w:rsidDel="002B6EF5">
          <w:rPr>
            <w:color w:val="000000" w:themeColor="text1"/>
          </w:rPr>
          <w:delText xml:space="preserve">access to </w:delText>
        </w:r>
      </w:del>
      <w:r w:rsidR="00637F63">
        <w:rPr>
          <w:color w:val="000000" w:themeColor="text1"/>
        </w:rPr>
        <w:t>regular drinking water</w:t>
      </w:r>
      <w:del w:id="10" w:author="Microsoft Office User" w:date="2017-09-06T13:48:00Z">
        <w:r w:rsidR="0067415E" w:rsidDel="00B87EDC">
          <w:rPr>
            <w:color w:val="000000" w:themeColor="text1"/>
          </w:rPr>
          <w:delText xml:space="preserve"> (n=11)</w:delText>
        </w:r>
      </w:del>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ins w:id="11" w:author="Microsoft Office User" w:date="2017-09-05T16:28:00Z">
        <w:r w:rsidR="008D4D8A">
          <w:rPr>
            <w:rFonts w:ascii="Calibri" w:hAnsi="Calibri" w:cs="Arial"/>
            <w:color w:val="000000" w:themeColor="text1"/>
          </w:rPr>
          <w:t xml:space="preserve">five </w:t>
        </w:r>
      </w:ins>
      <w:del w:id="12" w:author="Microsoft Office User" w:date="2017-09-05T16:28:00Z">
        <w:r w:rsidR="00C86E77" w:rsidRPr="006902F6" w:rsidDel="008D4D8A">
          <w:rPr>
            <w:rFonts w:ascii="Calibri" w:hAnsi="Calibri" w:cs="Arial"/>
            <w:color w:val="000000" w:themeColor="text1"/>
          </w:rPr>
          <w:delText>5</w:delText>
        </w:r>
        <w:r w:rsidR="00D949CB" w:rsidDel="008D4D8A">
          <w:rPr>
            <w:rFonts w:ascii="Calibri" w:hAnsi="Calibri" w:cs="Arial"/>
            <w:color w:val="000000" w:themeColor="text1"/>
          </w:rPr>
          <w:delText>-</w:delText>
        </w:r>
      </w:del>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Liquid Scintillation Counter (Beckman Coulter LS6500 </w:t>
      </w:r>
      <w:r w:rsidR="00C86E77" w:rsidRPr="006902F6">
        <w:rPr>
          <w:rFonts w:ascii="Calibri" w:hAnsi="Calibri" w:cs="Arial"/>
          <w:color w:val="000000" w:themeColor="text1"/>
        </w:rPr>
        <w:lastRenderedPageBreak/>
        <w:t>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069BA588"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ins w:id="13" w:author="Microsoft Office User" w:date="2017-09-05T16:52:00Z">
        <w:r w:rsidR="00CC778F">
          <w:rPr>
            <w:color w:val="000000" w:themeColor="text1"/>
          </w:rPr>
          <w:t xml:space="preserve">Dulbecco’s </w:t>
        </w:r>
      </w:ins>
      <w:ins w:id="14" w:author="Microsoft Office User" w:date="2017-09-05T16:30:00Z">
        <w:r w:rsidR="00CC778F">
          <w:rPr>
            <w:color w:val="000000" w:themeColor="text1"/>
          </w:rPr>
          <w:t>phosphate</w:t>
        </w:r>
      </w:ins>
      <w:ins w:id="15" w:author="Microsoft Office User" w:date="2017-09-05T16:29:00Z">
        <w:r w:rsidR="00870FC0">
          <w:rPr>
            <w:color w:val="000000" w:themeColor="text1"/>
          </w:rPr>
          <w:t>-</w:t>
        </w:r>
      </w:ins>
      <w:ins w:id="16" w:author="Microsoft Office User" w:date="2017-09-05T16:30:00Z">
        <w:r w:rsidR="00870FC0">
          <w:rPr>
            <w:color w:val="000000" w:themeColor="text1"/>
          </w:rPr>
          <w:t>buffer</w:t>
        </w:r>
      </w:ins>
      <w:ins w:id="17" w:author="Microsoft Office User" w:date="2017-09-05T16:51:00Z">
        <w:r w:rsidR="00CC778F">
          <w:rPr>
            <w:color w:val="000000" w:themeColor="text1"/>
          </w:rPr>
          <w:t>e</w:t>
        </w:r>
      </w:ins>
      <w:ins w:id="18" w:author="Microsoft Office User" w:date="2017-09-05T16:30:00Z">
        <w:r w:rsidR="00870FC0">
          <w:rPr>
            <w:color w:val="000000" w:themeColor="text1"/>
          </w:rPr>
          <w:t>d saline</w:t>
        </w:r>
      </w:ins>
      <w:ins w:id="19" w:author="Microsoft Office User" w:date="2017-09-05T16:52:00Z">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ins>
      <w:del w:id="20" w:author="Microsoft Office User" w:date="2017-09-05T16:29:00Z">
        <w:r w:rsidR="00873DCF" w:rsidRPr="006902F6" w:rsidDel="00870FC0">
          <w:rPr>
            <w:color w:val="000000" w:themeColor="text1"/>
          </w:rPr>
          <w:delText>P</w:delText>
        </w:r>
      </w:del>
      <w:del w:id="21" w:author="Microsoft Office User" w:date="2017-09-05T16:30:00Z">
        <w:r w:rsidR="00873DCF" w:rsidRPr="006902F6" w:rsidDel="00870FC0">
          <w:rPr>
            <w:color w:val="000000" w:themeColor="text1"/>
          </w:rPr>
          <w:delText>BS</w:delText>
        </w:r>
      </w:del>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0088D689"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del w:id="22" w:author="Microsoft Office User" w:date="2017-09-05T16:30:00Z">
        <w:r w:rsidR="00163A9C" w:rsidRPr="006902F6" w:rsidDel="00870FC0">
          <w:rPr>
            <w:color w:val="000000" w:themeColor="text1"/>
          </w:rPr>
          <w:delText xml:space="preserve"> (NCS)</w:delText>
        </w:r>
      </w:del>
      <w:r w:rsidR="00B90861" w:rsidRPr="006902F6">
        <w:rPr>
          <w:color w:val="000000" w:themeColor="text1"/>
        </w:rPr>
        <w:t>,</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ins w:id="23" w:author="Microsoft Office User" w:date="2017-09-05T16:31:00Z">
        <w:r w:rsidR="00870FC0">
          <w:rPr>
            <w:rFonts w:cs="Helvetica"/>
            <w:color w:val="000000" w:themeColor="text1"/>
          </w:rPr>
          <w:t>markers</w:t>
        </w:r>
      </w:ins>
      <w:del w:id="24" w:author="Microsoft Office User" w:date="2017-09-05T16:31:00Z">
        <w:r w:rsidR="00136CB1" w:rsidDel="00870FC0">
          <w:rPr>
            <w:rFonts w:cs="Helvetica"/>
            <w:color w:val="000000" w:themeColor="text1"/>
          </w:rPr>
          <w:delText>rates</w:delText>
        </w:r>
      </w:del>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51B172EB"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lastRenderedPageBreak/>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2828F515"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8C70EE">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797D9A">
        <w:rPr>
          <w:rFonts w:eastAsia="Times New Roman" w:cs="Times New Roman"/>
          <w:color w:val="000000" w:themeColor="text1"/>
          <w:shd w:val="clear" w:color="auto" w:fill="FFFFFF"/>
        </w:rPr>
        <w:t>loading 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333D8F48"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ins w:id="25" w:author="Microsoft Office User" w:date="2017-09-05T16:39:00Z">
        <w:r w:rsidR="00786101">
          <w:rPr>
            <w:color w:val="000000" w:themeColor="text1"/>
          </w:rPr>
          <w:t xml:space="preserve"> group</w:t>
        </w:r>
      </w:ins>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386C6C38"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del w:id="26" w:author="Microsoft Office User" w:date="2017-09-05T16:40:00Z">
        <w:r w:rsidR="007E0200" w:rsidRPr="006902F6" w:rsidDel="00BB237E">
          <w:rPr>
            <w:color w:val="000000" w:themeColor="text1"/>
          </w:rPr>
          <w:delText>Control</w:delText>
        </w:r>
      </w:del>
      <w:ins w:id="27" w:author="Microsoft Office User" w:date="2017-09-05T16:40:00Z">
        <w:r w:rsidR="00BB237E">
          <w:rPr>
            <w:color w:val="000000" w:themeColor="text1"/>
          </w:rPr>
          <w:t>Water</w:t>
        </w:r>
      </w:ins>
      <w:r w:rsidR="007E0200" w:rsidRPr="006902F6">
        <w:rPr>
          <w:color w:val="000000" w:themeColor="text1"/>
        </w:rPr>
        <w:t xml:space="preserve">) or treated with glucocorticoids </w:t>
      </w:r>
      <w:r w:rsidR="007E0200" w:rsidRPr="006902F6">
        <w:rPr>
          <w:color w:val="000000" w:themeColor="text1"/>
        </w:rPr>
        <w:lastRenderedPageBreak/>
        <w:t xml:space="preserve">(Dexamethasone).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ins w:id="28" w:author="Microsoft Office User" w:date="2017-09-05T16:42:00Z">
        <w:r w:rsidR="00B96AB4">
          <w:rPr>
            <w:rFonts w:eastAsia="Times New Roman" w:cs="Times New Roman"/>
            <w:color w:val="000000" w:themeColor="text1"/>
            <w:shd w:val="clear" w:color="auto" w:fill="FFFFFF"/>
          </w:rPr>
          <w:t>d</w:t>
        </w:r>
      </w:ins>
      <w:del w:id="29" w:author="Microsoft Office User" w:date="2017-09-05T16:42:00Z">
        <w:r w:rsidR="003145E7" w:rsidRPr="006902F6" w:rsidDel="00B96AB4">
          <w:rPr>
            <w:rFonts w:eastAsia="Times New Roman" w:cs="Times New Roman"/>
            <w:color w:val="000000" w:themeColor="text1"/>
            <w:shd w:val="clear" w:color="auto" w:fill="FFFFFF"/>
          </w:rPr>
          <w:delText>D</w:delText>
        </w:r>
      </w:del>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6DD03067"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del w:id="30" w:author="Microsoft Office User" w:date="2017-09-05T16:53:00Z">
        <w:r w:rsidR="0003545C" w:rsidRPr="006902F6" w:rsidDel="00027D24">
          <w:rPr>
            <w:color w:val="000000" w:themeColor="text1"/>
          </w:rPr>
          <w:delText xml:space="preserve"> </w:delText>
        </w:r>
        <w:r w:rsidR="00DA3579" w:rsidRPr="006902F6" w:rsidDel="00027D24">
          <w:rPr>
            <w:color w:val="000000" w:themeColor="text1"/>
          </w:rPr>
          <w:delText>and</w:delText>
        </w:r>
      </w:del>
      <w:r w:rsidR="00DA3579" w:rsidRPr="006902F6">
        <w:rPr>
          <w:color w:val="000000" w:themeColor="text1"/>
        </w:rPr>
        <w:t xml:space="preserve"> </w:t>
      </w:r>
      <w:r w:rsidR="0003545C" w:rsidRPr="006902F6">
        <w:rPr>
          <w:color w:val="000000" w:themeColor="text1"/>
        </w:rPr>
        <w:t xml:space="preserve">hyperglycemia </w:t>
      </w:r>
      <w:del w:id="31" w:author="Microsoft Office User" w:date="2017-09-06T14:03:00Z">
        <w:r w:rsidR="00DA3579" w:rsidRPr="006902F6" w:rsidDel="00DE6FEE">
          <w:rPr>
            <w:color w:val="000000" w:themeColor="text1"/>
          </w:rPr>
          <w:delText xml:space="preserve">(Supplementary Figure 1A-B) </w:delText>
        </w:r>
      </w:del>
      <w:r w:rsidR="0003545C" w:rsidRPr="006902F6">
        <w:rPr>
          <w:color w:val="000000" w:themeColor="text1"/>
        </w:rPr>
        <w:t>and reductions in lean mass, but no differences in fat mass between the groups (Supplementary Figures 1</w:t>
      </w:r>
      <w:ins w:id="32" w:author="Microsoft Office User" w:date="2017-09-06T14:02:00Z">
        <w:r w:rsidR="00DE6FEE">
          <w:rPr>
            <w:color w:val="000000" w:themeColor="text1"/>
          </w:rPr>
          <w:t>A</w:t>
        </w:r>
      </w:ins>
      <w:del w:id="33" w:author="Microsoft Office User" w:date="2017-09-06T14:02:00Z">
        <w:r w:rsidR="00DA3579" w:rsidRPr="006902F6" w:rsidDel="00DE6FEE">
          <w:rPr>
            <w:color w:val="000000" w:themeColor="text1"/>
          </w:rPr>
          <w:delText>C</w:delText>
        </w:r>
      </w:del>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w:t>
      </w:r>
      <w:del w:id="34" w:author="Microsoft Office User" w:date="2017-09-06T14:03:00Z">
        <w:r w:rsidR="00DA3579" w:rsidRPr="006902F6" w:rsidDel="00501D0B">
          <w:rPr>
            <w:color w:val="000000" w:themeColor="text1"/>
          </w:rPr>
          <w:delText xml:space="preserve">(Supplementary Figure 1E) </w:delText>
        </w:r>
      </w:del>
      <w:r w:rsidR="00DA3579" w:rsidRPr="006902F6">
        <w:rPr>
          <w:color w:val="000000" w:themeColor="text1"/>
        </w:rPr>
        <w:t xml:space="preserve">as well as insulin turnover rate </w:t>
      </w:r>
      <w:del w:id="35" w:author="Microsoft Office User" w:date="2017-09-06T14:03:00Z">
        <w:r w:rsidR="00DA3579" w:rsidRPr="006902F6" w:rsidDel="00501D0B">
          <w:rPr>
            <w:color w:val="000000" w:themeColor="text1"/>
          </w:rPr>
          <w:delText>(Supplementary Figure 1F)</w:delText>
        </w:r>
      </w:del>
      <w:r w:rsidR="00DA3579" w:rsidRPr="006902F6">
        <w:rPr>
          <w:color w:val="000000" w:themeColor="text1"/>
        </w:rPr>
        <w:t xml:space="preserve"> were similar between groups</w:t>
      </w:r>
      <w:ins w:id="36" w:author="Microsoft Office User" w:date="2017-09-06T14:03:00Z">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ins>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del w:id="37" w:author="Microsoft Office User" w:date="2017-09-06T14:08:00Z">
        <w:r w:rsidR="0078214E" w:rsidRPr="006902F6" w:rsidDel="0016700D">
          <w:rPr>
            <w:color w:val="000000" w:themeColor="text1"/>
          </w:rPr>
          <w:delText>In spite</w:delText>
        </w:r>
      </w:del>
      <w:ins w:id="38" w:author="Microsoft Office User" w:date="2017-09-06T14:08:00Z">
        <w:r w:rsidR="0016700D">
          <w:rPr>
            <w:color w:val="000000" w:themeColor="text1"/>
          </w:rPr>
          <w:t>Despite</w:t>
        </w:r>
      </w:ins>
      <w:r w:rsidR="0078214E" w:rsidRPr="006902F6">
        <w:rPr>
          <w:color w:val="000000" w:themeColor="text1"/>
        </w:rPr>
        <w:t xml:space="preserve"> </w:t>
      </w:r>
      <w:del w:id="39" w:author="Microsoft Office User" w:date="2017-09-06T14:08:00Z">
        <w:r w:rsidR="0078214E" w:rsidRPr="006902F6" w:rsidDel="0016700D">
          <w:rPr>
            <w:color w:val="000000" w:themeColor="text1"/>
          </w:rPr>
          <w:delText xml:space="preserve">of </w:delText>
        </w:r>
      </w:del>
      <w:r w:rsidR="0078214E" w:rsidRPr="006902F6">
        <w:rPr>
          <w:color w:val="000000" w:themeColor="text1"/>
        </w:rPr>
        <w:t>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6FF178C"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del w:id="40" w:author="Microsoft Office User" w:date="2017-09-06T14:11:00Z">
        <w:r w:rsidR="005F70A5" w:rsidRPr="006902F6" w:rsidDel="00605C01">
          <w:rPr>
            <w:color w:val="000000" w:themeColor="text1"/>
          </w:rPr>
          <w:delText>glucocorticoid</w:delText>
        </w:r>
      </w:del>
      <w:ins w:id="41" w:author="Microsoft Office User" w:date="2017-09-06T14:11:00Z">
        <w:r w:rsidR="00605C01">
          <w:rPr>
            <w:color w:val="000000" w:themeColor="text1"/>
          </w:rPr>
          <w:t>dexamethasone</w:t>
        </w:r>
      </w:ins>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del w:id="42" w:author="Microsoft Office User" w:date="2017-09-06T14:12:00Z">
        <w:r w:rsidR="002874F0" w:rsidRPr="006902F6" w:rsidDel="00605C01">
          <w:rPr>
            <w:color w:val="000000" w:themeColor="text1"/>
          </w:rPr>
          <w:delText>HFD-</w:delText>
        </w:r>
      </w:del>
      <w:ins w:id="43" w:author="Microsoft Office User" w:date="2017-09-06T14:12:00Z">
        <w:r w:rsidR="00605C01">
          <w:rPr>
            <w:color w:val="000000" w:themeColor="text1"/>
          </w:rPr>
          <w:t>obese</w:t>
        </w:r>
      </w:ins>
      <w:ins w:id="44" w:author="Microsoft Office User" w:date="2017-09-06T14:13:00Z">
        <w:r w:rsidR="00605C01">
          <w:rPr>
            <w:color w:val="000000" w:themeColor="text1"/>
          </w:rPr>
          <w:t xml:space="preserve"> </w:t>
        </w:r>
      </w:ins>
      <w:del w:id="45" w:author="Microsoft Office User" w:date="2017-09-06T14:12:00Z">
        <w:r w:rsidR="002874F0" w:rsidRPr="006902F6" w:rsidDel="00605C01">
          <w:rPr>
            <w:color w:val="000000" w:themeColor="text1"/>
          </w:rPr>
          <w:delText>fed</w:delText>
        </w:r>
      </w:del>
      <w:ins w:id="46" w:author="Microsoft Office User" w:date="2017-09-06T14:12:00Z">
        <w:r w:rsidR="00605C01">
          <w:rPr>
            <w:color w:val="000000" w:themeColor="text1"/>
          </w:rPr>
          <w:t xml:space="preserve"> controls</w:t>
        </w:r>
      </w:ins>
      <w:r w:rsidR="002874F0" w:rsidRPr="006902F6">
        <w:rPr>
          <w:color w:val="000000" w:themeColor="text1"/>
        </w:rPr>
        <w:t xml:space="preserve"> </w:t>
      </w:r>
      <w:ins w:id="47" w:author="Microsoft Office User" w:date="2017-09-06T14:14:00Z">
        <w:r w:rsidR="00051469">
          <w:rPr>
            <w:color w:val="000000" w:themeColor="text1"/>
          </w:rPr>
          <w:t>and</w:t>
        </w:r>
      </w:ins>
      <w:del w:id="48" w:author="Microsoft Office User" w:date="2017-09-06T14:14:00Z">
        <w:r w:rsidR="005F70A5" w:rsidRPr="006902F6" w:rsidDel="00051469">
          <w:rPr>
            <w:color w:val="000000" w:themeColor="text1"/>
          </w:rPr>
          <w:delText xml:space="preserve">or </w:delText>
        </w:r>
      </w:del>
      <w:ins w:id="49" w:author="Microsoft Office User" w:date="2017-09-06T14:13:00Z">
        <w:r w:rsidR="00605C01">
          <w:rPr>
            <w:color w:val="000000" w:themeColor="text1"/>
          </w:rPr>
          <w:t xml:space="preserve"> </w:t>
        </w:r>
      </w:ins>
      <w:ins w:id="50" w:author="Microsoft Office User" w:date="2017-09-06T14:12:00Z">
        <w:r w:rsidR="00605C01">
          <w:rPr>
            <w:color w:val="000000" w:themeColor="text1"/>
          </w:rPr>
          <w:t>lean groups</w:t>
        </w:r>
      </w:ins>
      <w:del w:id="51" w:author="Microsoft Office User" w:date="2017-09-06T14:12:00Z">
        <w:r w:rsidR="005F70A5" w:rsidRPr="006902F6" w:rsidDel="00605C01">
          <w:rPr>
            <w:color w:val="000000" w:themeColor="text1"/>
          </w:rPr>
          <w:delText xml:space="preserve">dexamethasone-treated </w:delText>
        </w:r>
        <w:r w:rsidR="002874F0" w:rsidRPr="006902F6" w:rsidDel="00605C01">
          <w:rPr>
            <w:color w:val="000000" w:themeColor="text1"/>
          </w:rPr>
          <w:delText>controls</w:delText>
        </w:r>
      </w:del>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w:t>
      </w:r>
      <w:r w:rsidR="00793D2F" w:rsidRPr="006902F6">
        <w:rPr>
          <w:color w:val="000000" w:themeColor="text1"/>
        </w:rPr>
        <w:lastRenderedPageBreak/>
        <w:t xml:space="preserve">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106EB6F4"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del w:id="52" w:author="Microsoft Office User" w:date="2017-09-06T14:14:00Z">
        <w:r w:rsidRPr="006902F6" w:rsidDel="00051469">
          <w:rPr>
            <w:color w:val="000000" w:themeColor="text1"/>
          </w:rPr>
          <w:delText>HFD-Fed</w:delText>
        </w:r>
      </w:del>
      <w:ins w:id="53" w:author="Microsoft Office User" w:date="2017-09-06T14:14:00Z">
        <w:r w:rsidR="00051469">
          <w:rPr>
            <w:color w:val="000000" w:themeColor="text1"/>
          </w:rPr>
          <w:t>Obese</w:t>
        </w:r>
      </w:ins>
      <w:r w:rsidRPr="006902F6">
        <w:rPr>
          <w:color w:val="000000" w:themeColor="text1"/>
        </w:rPr>
        <w:t xml:space="preserve"> Mice</w:t>
      </w:r>
    </w:p>
    <w:p w14:paraId="40719A94" w14:textId="0B5F1671"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del w:id="54" w:author="Microsoft Office User" w:date="2017-09-06T14:17:00Z">
        <w:r w:rsidR="00A81DE1" w:rsidRPr="006902F6" w:rsidDel="0060314C">
          <w:rPr>
            <w:color w:val="000000" w:themeColor="text1"/>
          </w:rPr>
          <w:delText xml:space="preserve">changes </w:delText>
        </w:r>
        <w:r w:rsidR="00567887" w:rsidRPr="006902F6" w:rsidDel="0060314C">
          <w:rPr>
            <w:color w:val="000000" w:themeColor="text1"/>
          </w:rPr>
          <w:delText>in</w:delText>
        </w:r>
      </w:del>
      <w:ins w:id="55" w:author="Microsoft Office User" w:date="2017-09-06T14:17:00Z">
        <w:r w:rsidR="0060314C">
          <w:rPr>
            <w:color w:val="000000" w:themeColor="text1"/>
          </w:rPr>
          <w:t>altered</w:t>
        </w:r>
      </w:ins>
      <w:r w:rsidR="00567887" w:rsidRPr="006902F6">
        <w:rPr>
          <w:color w:val="000000" w:themeColor="text1"/>
        </w:rPr>
        <w:t xml:space="preserve"> </w:t>
      </w:r>
      <w:ins w:id="56" w:author="Microsoft Office User" w:date="2017-09-06T14:43:00Z">
        <w:r w:rsidR="0070396E">
          <w:rPr>
            <w:color w:val="000000" w:themeColor="text1"/>
          </w:rPr>
          <w:t>caloric</w:t>
        </w:r>
      </w:ins>
      <w:del w:id="57" w:author="Microsoft Office User" w:date="2017-09-06T14:43:00Z">
        <w:r w:rsidR="00567887" w:rsidRPr="006902F6" w:rsidDel="0070396E">
          <w:rPr>
            <w:color w:val="000000" w:themeColor="text1"/>
          </w:rPr>
          <w:delText>food</w:delText>
        </w:r>
      </w:del>
      <w:r w:rsidR="00567887" w:rsidRPr="006902F6">
        <w:rPr>
          <w:color w:val="000000" w:themeColor="text1"/>
        </w:rPr>
        <w:t xml:space="preserve"> consumption</w:t>
      </w:r>
      <w:r w:rsidR="005A7212" w:rsidRPr="006902F6">
        <w:rPr>
          <w:color w:val="000000" w:themeColor="text1"/>
        </w:rPr>
        <w:t xml:space="preserve"> </w:t>
      </w:r>
      <w:del w:id="58" w:author="Microsoft Office User" w:date="2017-09-06T14:43:00Z">
        <w:r w:rsidR="005A7212" w:rsidRPr="006902F6" w:rsidDel="0070396E">
          <w:rPr>
            <w:color w:val="000000" w:themeColor="text1"/>
          </w:rPr>
          <w:delText>throughout this study</w:delText>
        </w:r>
        <w:r w:rsidR="00035700" w:rsidRPr="006902F6" w:rsidDel="0070396E">
          <w:rPr>
            <w:color w:val="000000" w:themeColor="text1"/>
          </w:rPr>
          <w:delText xml:space="preserve"> </w:delText>
        </w:r>
      </w:del>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del w:id="59" w:author="Microsoft Office User" w:date="2017-09-06T14:17:00Z">
        <w:r w:rsidR="00C902E7" w:rsidDel="0060314C">
          <w:rPr>
            <w:color w:val="000000" w:themeColor="text1"/>
          </w:rPr>
          <w:delText xml:space="preserve">between </w:delText>
        </w:r>
      </w:del>
      <w:ins w:id="60" w:author="Microsoft Office User" w:date="2017-09-06T14:17:00Z">
        <w:r w:rsidR="0060314C">
          <w:rPr>
            <w:color w:val="000000" w:themeColor="text1"/>
          </w:rPr>
          <w:t>among</w:t>
        </w:r>
        <w:r w:rsidR="0060314C">
          <w:rPr>
            <w:color w:val="000000" w:themeColor="text1"/>
          </w:rPr>
          <w:t xml:space="preserve"> </w:t>
        </w:r>
      </w:ins>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ins w:id="61" w:author="Microsoft Office User" w:date="2017-09-06T14:17:00Z">
        <w:r w:rsidR="0060314C">
          <w:rPr>
            <w:color w:val="000000" w:themeColor="text1"/>
          </w:rPr>
          <w:t>-fed</w:t>
        </w:r>
      </w:ins>
      <w:r w:rsidR="007374F3" w:rsidRPr="006902F6">
        <w:rPr>
          <w:color w:val="000000" w:themeColor="text1"/>
        </w:rPr>
        <w:t xml:space="preserve">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7139E82C" w:rsidR="00472706" w:rsidRPr="006902F6" w:rsidRDefault="005037E7">
      <w:pPr>
        <w:rPr>
          <w:color w:val="000000" w:themeColor="text1"/>
        </w:rPr>
      </w:pPr>
      <w:r w:rsidRPr="006902F6">
        <w:rPr>
          <w:color w:val="000000" w:themeColor="text1"/>
        </w:rPr>
        <w:t xml:space="preserve">To </w:t>
      </w:r>
      <w:del w:id="62" w:author="Microsoft Office User" w:date="2017-09-06T14:46:00Z">
        <w:r w:rsidRPr="006902F6" w:rsidDel="009E1130">
          <w:rPr>
            <w:color w:val="000000" w:themeColor="text1"/>
          </w:rPr>
          <w:delText xml:space="preserve">assess </w:delText>
        </w:r>
      </w:del>
      <w:ins w:id="63" w:author="Microsoft Office User" w:date="2017-09-06T14:46:00Z">
        <w:r w:rsidR="009E1130">
          <w:rPr>
            <w:color w:val="000000" w:themeColor="text1"/>
          </w:rPr>
          <w:t>measure</w:t>
        </w:r>
        <w:r w:rsidR="009E1130" w:rsidRPr="006902F6">
          <w:rPr>
            <w:color w:val="000000" w:themeColor="text1"/>
          </w:rPr>
          <w:t xml:space="preserve"> </w:t>
        </w:r>
      </w:ins>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del w:id="64" w:author="Microsoft Office User" w:date="2017-09-06T14:19:00Z">
        <w:r w:rsidR="0020558A" w:rsidDel="005503C3">
          <w:rPr>
            <w:color w:val="000000" w:themeColor="text1"/>
          </w:rPr>
          <w:delText xml:space="preserve">determined </w:delText>
        </w:r>
      </w:del>
      <w:ins w:id="65" w:author="Microsoft Office User" w:date="2017-09-06T14:45:00Z">
        <w:r w:rsidR="00CD0602">
          <w:rPr>
            <w:color w:val="000000" w:themeColor="text1"/>
          </w:rPr>
          <w:t>quantified</w:t>
        </w:r>
      </w:ins>
      <w:ins w:id="66" w:author="Microsoft Office User" w:date="2017-09-06T14:19:00Z">
        <w:r w:rsidR="005503C3">
          <w:rPr>
            <w:color w:val="000000" w:themeColor="text1"/>
          </w:rPr>
          <w:t xml:space="preserve"> </w:t>
        </w:r>
      </w:ins>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del w:id="67" w:author="Microsoft Office User" w:date="2017-09-06T14:46:00Z">
        <w:r w:rsidR="00467863" w:rsidRPr="006902F6" w:rsidDel="009E1130">
          <w:rPr>
            <w:color w:val="000000" w:themeColor="text1"/>
          </w:rPr>
          <w:delText>glucocorticoids</w:delText>
        </w:r>
        <w:r w:rsidR="008254B0" w:rsidRPr="006902F6" w:rsidDel="009E1130">
          <w:rPr>
            <w:color w:val="000000" w:themeColor="text1"/>
          </w:rPr>
          <w:delText xml:space="preserve"> </w:delText>
        </w:r>
      </w:del>
      <w:ins w:id="68" w:author="Microsoft Office User" w:date="2017-09-06T14:46:00Z">
        <w:r w:rsidR="009E1130">
          <w:rPr>
            <w:color w:val="000000" w:themeColor="text1"/>
          </w:rPr>
          <w:t>dexamethasone</w:t>
        </w:r>
        <w:r w:rsidR="009E1130" w:rsidRPr="006902F6">
          <w:rPr>
            <w:color w:val="000000" w:themeColor="text1"/>
          </w:rPr>
          <w:t xml:space="preserve"> </w:t>
        </w:r>
      </w:ins>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w:t>
      </w:r>
      <w:r w:rsidR="004B3A2E">
        <w:rPr>
          <w:color w:val="000000" w:themeColor="text1"/>
        </w:rPr>
        <w:lastRenderedPageBreak/>
        <w:t>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ins w:id="69" w:author="Microsoft Office User" w:date="2017-09-06T14:20:00Z">
        <w:r w:rsidR="005503C3" w:rsidRPr="006902F6">
          <w:rPr>
            <w:color w:val="000000" w:themeColor="text1"/>
          </w:rPr>
          <w:t>p&lt;0.05</w:t>
        </w:r>
        <w:r w:rsidR="005503C3">
          <w:rPr>
            <w:color w:val="000000" w:themeColor="text1"/>
          </w:rPr>
          <w:t xml:space="preserve"> for </w:t>
        </w:r>
      </w:ins>
      <w:r w:rsidR="00467863" w:rsidRPr="006902F6">
        <w:rPr>
          <w:color w:val="000000" w:themeColor="text1"/>
        </w:rPr>
        <w:t xml:space="preserve">all </w:t>
      </w:r>
      <w:del w:id="70" w:author="Microsoft Office User" w:date="2017-09-06T14:20:00Z">
        <w:r w:rsidR="00467863" w:rsidRPr="006902F6" w:rsidDel="005503C3">
          <w:rPr>
            <w:color w:val="000000" w:themeColor="text1"/>
          </w:rPr>
          <w:delText xml:space="preserve">groups </w:delText>
        </w:r>
      </w:del>
      <w:ins w:id="71" w:author="Microsoft Office User" w:date="2017-09-06T14:20:00Z">
        <w:r w:rsidR="005503C3">
          <w:rPr>
            <w:color w:val="000000" w:themeColor="text1"/>
          </w:rPr>
          <w:t>pairwise comparisons</w:t>
        </w:r>
      </w:ins>
      <w:del w:id="72" w:author="Microsoft Office User" w:date="2017-09-06T14:20:00Z">
        <w:r w:rsidR="00467863" w:rsidRPr="006902F6" w:rsidDel="005503C3">
          <w:rPr>
            <w:color w:val="000000" w:themeColor="text1"/>
          </w:rPr>
          <w:delText>p&lt;0.05</w:delText>
        </w:r>
      </w:del>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3E053297"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w:t>
      </w:r>
      <w:del w:id="73" w:author="Microsoft Office User" w:date="2017-09-06T14:23:00Z">
        <w:r w:rsidR="007A03AD" w:rsidDel="005503C3">
          <w:rPr>
            <w:color w:val="000000" w:themeColor="text1"/>
          </w:rPr>
          <w:delText xml:space="preserve"> </w:delText>
        </w:r>
        <w:r w:rsidR="000F63EF" w:rsidDel="005503C3">
          <w:rPr>
            <w:color w:val="000000" w:themeColor="text1"/>
          </w:rPr>
          <w:delText>as a surrogate measure of</w:delText>
        </w:r>
        <w:r w:rsidR="007A03AD" w:rsidDel="005503C3">
          <w:rPr>
            <w:color w:val="000000" w:themeColor="text1"/>
          </w:rPr>
          <w:delText xml:space="preserve"> lipolysis</w:delText>
        </w:r>
      </w:del>
      <w:r w:rsidR="006E4F40" w:rsidRPr="006902F6">
        <w:rPr>
          <w:color w:val="000000" w:themeColor="text1"/>
        </w:rPr>
        <w:t>.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then asked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w:t>
      </w:r>
      <w:del w:id="74" w:author="Microsoft Office User" w:date="2017-09-06T14:25:00Z">
        <w:r w:rsidR="00914AF8" w:rsidDel="00A70C8F">
          <w:rPr>
            <w:color w:val="000000" w:themeColor="text1"/>
          </w:rPr>
          <w:delText xml:space="preserve">water </w:delText>
        </w:r>
      </w:del>
      <w:r w:rsidR="00914AF8">
        <w:rPr>
          <w:color w:val="000000" w:themeColor="text1"/>
        </w:rPr>
        <w:t xml:space="preserve">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pPr>
        <w:rPr>
          <w:color w:val="000000" w:themeColor="text1"/>
        </w:rPr>
      </w:pPr>
    </w:p>
    <w:p w14:paraId="5E9492F1" w14:textId="00CE538E"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w:t>
      </w:r>
      <w:del w:id="75" w:author="Microsoft Office User" w:date="2017-09-06T14:26:00Z">
        <w:r w:rsidR="00001E0D" w:rsidRPr="006902F6" w:rsidDel="00A70C8F">
          <w:rPr>
            <w:color w:val="000000" w:themeColor="text1"/>
          </w:rPr>
          <w:delText>the</w:delText>
        </w:r>
        <w:r w:rsidRPr="006902F6" w:rsidDel="00A70C8F">
          <w:rPr>
            <w:color w:val="000000" w:themeColor="text1"/>
          </w:rPr>
          <w:delText xml:space="preserve"> </w:delText>
        </w:r>
      </w:del>
      <w:del w:id="76" w:author="Microsoft Office User" w:date="2017-09-06T14:25:00Z">
        <w:r w:rsidRPr="006902F6" w:rsidDel="00A70C8F">
          <w:rPr>
            <w:color w:val="000000" w:themeColor="text1"/>
          </w:rPr>
          <w:delText>lipolytic enzyme</w:delText>
        </w:r>
        <w:r w:rsidR="00250376" w:rsidRPr="006902F6" w:rsidDel="00A70C8F">
          <w:rPr>
            <w:color w:val="000000" w:themeColor="text1"/>
          </w:rPr>
          <w:delText xml:space="preserve"> </w:delText>
        </w:r>
      </w:del>
      <w:r w:rsidR="00250376" w:rsidRPr="006902F6">
        <w:rPr>
          <w:color w:val="000000" w:themeColor="text1"/>
        </w:rPr>
        <w:t>ATGL</w:t>
      </w:r>
      <w:del w:id="77" w:author="Microsoft Office User" w:date="2017-09-06T14:26:00Z">
        <w:r w:rsidR="00250376" w:rsidRPr="006902F6" w:rsidDel="00A70C8F">
          <w:rPr>
            <w:color w:val="000000" w:themeColor="text1"/>
          </w:rPr>
          <w:delText>,</w:delText>
        </w:r>
      </w:del>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del w:id="78" w:author="Microsoft Office User" w:date="2017-09-06T14:26:00Z">
        <w:r w:rsidR="00001E0D" w:rsidRPr="006902F6" w:rsidDel="00A70C8F">
          <w:rPr>
            <w:color w:val="000000" w:themeColor="text1"/>
          </w:rPr>
          <w:delText xml:space="preserve">glucocorticoids </w:delText>
        </w:r>
      </w:del>
      <w:ins w:id="79" w:author="Microsoft Office User" w:date="2017-09-06T14:42:00Z">
        <w:r w:rsidR="00F972F3">
          <w:rPr>
            <w:color w:val="000000" w:themeColor="text1"/>
          </w:rPr>
          <w:t>dexamethasone</w:t>
        </w:r>
      </w:ins>
      <w:ins w:id="80" w:author="Microsoft Office User" w:date="2017-09-06T14:26:00Z">
        <w:r w:rsidR="00A70C8F" w:rsidRPr="006902F6">
          <w:rPr>
            <w:color w:val="000000" w:themeColor="text1"/>
          </w:rPr>
          <w:t xml:space="preserve"> </w:t>
        </w:r>
      </w:ins>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color w:val="000000" w:themeColor="text1"/>
        </w:rPr>
      </w:pPr>
      <w:r>
        <w:rPr>
          <w:color w:val="000000" w:themeColor="text1"/>
        </w:rPr>
        <w:t xml:space="preserve">We </w:t>
      </w:r>
      <w:r w:rsidR="00990237">
        <w:rPr>
          <w:color w:val="000000" w:themeColor="text1"/>
        </w:rPr>
        <w:t>found that</w:t>
      </w:r>
      <w:r>
        <w:rPr>
          <w:color w:val="000000" w:themeColor="text1"/>
        </w:rPr>
        <w:t xml:space="preserve"> o</w:t>
      </w:r>
      <w:r w:rsidR="00830B0C" w:rsidRPr="006902F6">
        <w:rPr>
          <w:color w:val="000000" w:themeColor="text1"/>
        </w:rPr>
        <w:t>bese patients with Cushing’s disease</w:t>
      </w:r>
      <w:r w:rsidR="000568A8">
        <w:rPr>
          <w:color w:val="000000" w:themeColor="text1"/>
        </w:rPr>
        <w:t xml:space="preserve"> 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 xml:space="preserve">fatty acid flux </w:t>
      </w:r>
      <w:r w:rsidR="003647E4" w:rsidRPr="006902F6">
        <w:rPr>
          <w:color w:val="000000" w:themeColor="text1"/>
        </w:rPr>
        <w:lastRenderedPageBreak/>
        <w:t>(i.e.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A22A1">
      <w:pPr>
        <w:rPr>
          <w:color w:val="000000" w:themeColor="text1"/>
        </w:rPr>
      </w:pPr>
    </w:p>
    <w:p w14:paraId="34AF8A1F" w14:textId="18B7D21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ins w:id="81" w:author="Microsoft Office User" w:date="2017-09-06T14:29:00Z">
        <w:r w:rsidR="00BC1E8F">
          <w:rPr>
            <w:color w:val="000000" w:themeColor="text1"/>
          </w:rPr>
          <w:t>ed</w:t>
        </w:r>
      </w:ins>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0AF70724" w:rsidR="00FE35A0" w:rsidRPr="006902F6" w:rsidRDefault="000A7B19" w:rsidP="004B3A2E">
      <w:pPr>
        <w:rPr>
          <w:color w:val="000000" w:themeColor="text1"/>
        </w:rPr>
      </w:pPr>
      <w:r w:rsidRPr="006902F6">
        <w:rPr>
          <w:color w:val="000000" w:themeColor="text1"/>
        </w:rPr>
        <w:t xml:space="preserve">We found that </w:t>
      </w:r>
      <w:del w:id="82" w:author="Microsoft Office User" w:date="2017-09-06T14:33:00Z">
        <w:r w:rsidR="00830B0C" w:rsidRPr="006902F6" w:rsidDel="009D44D5">
          <w:rPr>
            <w:color w:val="000000" w:themeColor="text1"/>
          </w:rPr>
          <w:delText>HFD</w:delText>
        </w:r>
        <w:r w:rsidRPr="006902F6" w:rsidDel="009D44D5">
          <w:rPr>
            <w:color w:val="000000" w:themeColor="text1"/>
          </w:rPr>
          <w:delText>-fed</w:delText>
        </w:r>
      </w:del>
      <w:ins w:id="83" w:author="Microsoft Office User" w:date="2017-09-06T14:33:00Z">
        <w:r w:rsidR="009D44D5">
          <w:rPr>
            <w:color w:val="000000" w:themeColor="text1"/>
          </w:rPr>
          <w:t>obese</w:t>
        </w:r>
      </w:ins>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ins w:id="84" w:author="Microsoft Office User" w:date="2017-09-06T14:33:00Z">
        <w:r w:rsidR="009D44D5">
          <w:rPr>
            <w:color w:val="000000" w:themeColor="text1"/>
          </w:rPr>
          <w:t xml:space="preserve"> when compared to obese control mice</w:t>
        </w:r>
      </w:ins>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ins w:id="85" w:author="Microsoft Office User" w:date="2017-09-06T14:31:00Z">
        <w:r w:rsidR="000D7464">
          <w:rPr>
            <w:color w:val="000000" w:themeColor="text1"/>
          </w:rPr>
          <w:t xml:space="preserve">The combination of </w:t>
        </w:r>
      </w:ins>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del w:id="86" w:author="Microsoft Office User" w:date="2017-09-06T14:31:00Z">
        <w:r w:rsidR="000930A7" w:rsidRPr="006902F6" w:rsidDel="009D44D5">
          <w:rPr>
            <w:color w:val="000000" w:themeColor="text1"/>
          </w:rPr>
          <w:delText>,</w:delText>
        </w:r>
      </w:del>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w:t>
      </w:r>
      <w:ins w:id="87" w:author="Microsoft Office User" w:date="2017-09-06T14:32:00Z">
        <w:r w:rsidR="009D44D5">
          <w:rPr>
            <w:color w:val="000000" w:themeColor="text1"/>
          </w:rPr>
          <w:t>obese</w:t>
        </w:r>
      </w:ins>
      <w:del w:id="88" w:author="Microsoft Office User" w:date="2017-09-06T14:32:00Z">
        <w:r w:rsidR="007637C8" w:rsidRPr="006902F6" w:rsidDel="009D44D5">
          <w:rPr>
            <w:color w:val="000000" w:themeColor="text1"/>
          </w:rPr>
          <w:delText>HFD</w:delText>
        </w:r>
      </w:del>
      <w:r w:rsidR="007637C8" w:rsidRPr="006902F6">
        <w:rPr>
          <w:color w:val="000000" w:themeColor="text1"/>
        </w:rPr>
        <w:t xml:space="preserve"> control mice to </w:t>
      </w:r>
      <w:del w:id="89" w:author="Microsoft Office User" w:date="2017-09-06T14:32:00Z">
        <w:r w:rsidR="007637C8" w:rsidRPr="006902F6" w:rsidDel="009D44D5">
          <w:rPr>
            <w:color w:val="000000" w:themeColor="text1"/>
          </w:rPr>
          <w:delText xml:space="preserve">HFD </w:delText>
        </w:r>
      </w:del>
      <w:ins w:id="90" w:author="Microsoft Office User" w:date="2017-09-06T14:32:00Z">
        <w:r w:rsidR="009D44D5">
          <w:rPr>
            <w:color w:val="000000" w:themeColor="text1"/>
          </w:rPr>
          <w:t>obese</w:t>
        </w:r>
        <w:r w:rsidR="009D44D5" w:rsidRPr="006902F6">
          <w:rPr>
            <w:color w:val="000000" w:themeColor="text1"/>
          </w:rPr>
          <w:t xml:space="preserve"> </w:t>
        </w:r>
      </w:ins>
      <w:r w:rsidR="007637C8" w:rsidRPr="006902F6">
        <w:rPr>
          <w:color w:val="000000" w:themeColor="text1"/>
        </w:rPr>
        <w:t xml:space="preserve">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6750F63B"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ins w:id="91" w:author="Microsoft Office User" w:date="2017-09-06T14:35:00Z">
        <w:r w:rsidR="0080566A">
          <w:rPr>
            <w:color w:val="000000" w:themeColor="text1"/>
          </w:rPr>
          <w:t>,</w:t>
        </w:r>
      </w:ins>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2803144B"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w:t>
      </w:r>
      <w:ins w:id="92" w:author="Microsoft Office User" w:date="2017-09-06T14:36:00Z">
        <w:r w:rsidR="0080566A">
          <w:rPr>
            <w:color w:val="000000" w:themeColor="text1"/>
          </w:rPr>
          <w:t xml:space="preserve"> (data not shown)</w:t>
        </w:r>
      </w:ins>
      <w:r w:rsidRPr="006902F6">
        <w:rPr>
          <w:color w:val="000000" w:themeColor="text1"/>
        </w:rPr>
        <w:t xml:space="preserve">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1FD1BCA3"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"(15,16,60)"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720EDE9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ins w:id="93" w:author="Microsoft Office User" w:date="2017-09-06T14:38:00Z">
        <w:r w:rsidR="00D041BF">
          <w:rPr>
            <w:color w:val="000000" w:themeColor="text1"/>
          </w:rPr>
          <w:t>is</w:t>
        </w:r>
      </w:ins>
      <w:del w:id="94" w:author="Microsoft Office User" w:date="2017-09-06T14:38:00Z">
        <w:r w:rsidR="00175DBA" w:rsidDel="00D041BF">
          <w:rPr>
            <w:color w:val="000000" w:themeColor="text1"/>
          </w:rPr>
          <w:delText>are</w:delText>
        </w:r>
      </w:del>
      <w:r w:rsidR="00175DBA">
        <w:rPr>
          <w:color w:val="000000" w:themeColor="text1"/>
        </w:rPr>
        <w:t xml:space="preserve"> </w:t>
      </w:r>
      <w:r w:rsidR="0015242A" w:rsidRPr="006902F6">
        <w:rPr>
          <w:color w:val="000000" w:themeColor="text1"/>
        </w:rPr>
        <w:t xml:space="preserve">a </w:t>
      </w:r>
      <w:del w:id="95" w:author="Microsoft Office User" w:date="2017-09-06T14:38:00Z">
        <w:r w:rsidR="0015242A" w:rsidRPr="006902F6" w:rsidDel="00D041BF">
          <w:rPr>
            <w:color w:val="000000" w:themeColor="text1"/>
          </w:rPr>
          <w:delText>huge number</w:delText>
        </w:r>
      </w:del>
      <w:ins w:id="96" w:author="Microsoft Office User" w:date="2017-09-06T14:38:00Z">
        <w:r w:rsidR="00D041BF">
          <w:rPr>
            <w:color w:val="000000" w:themeColor="text1"/>
          </w:rPr>
          <w:t xml:space="preserve">significant </w:t>
        </w:r>
      </w:ins>
      <w:ins w:id="97" w:author="Microsoft Office User" w:date="2017-09-06T14:41:00Z">
        <w:r w:rsidR="00F87BB3">
          <w:rPr>
            <w:color w:val="000000" w:themeColor="text1"/>
          </w:rPr>
          <w:t>number</w:t>
        </w:r>
      </w:ins>
      <w:r w:rsidR="0015242A" w:rsidRPr="006902F6">
        <w:rPr>
          <w:color w:val="000000" w:themeColor="text1"/>
        </w:rPr>
        <w:t xml:space="preserve">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 xml:space="preserve">whether blocking </w:t>
      </w:r>
      <w:commentRangeStart w:id="98"/>
      <w:r w:rsidR="009C5B00" w:rsidRPr="006902F6">
        <w:rPr>
          <w:color w:val="000000" w:themeColor="text1"/>
        </w:rPr>
        <w:t>glucocorticoid/</w:t>
      </w:r>
      <w:proofErr w:type="spellStart"/>
      <w:r w:rsidR="009C5B00" w:rsidRPr="006902F6">
        <w:rPr>
          <w:color w:val="000000" w:themeColor="text1"/>
        </w:rPr>
        <w:t>lipolytic</w:t>
      </w:r>
      <w:proofErr w:type="spellEnd"/>
      <w:r w:rsidR="009C5B00" w:rsidRPr="006902F6">
        <w:rPr>
          <w:color w:val="000000" w:themeColor="text1"/>
        </w:rPr>
        <w:t xml:space="preserve"> </w:t>
      </w:r>
      <w:commentRangeEnd w:id="98"/>
      <w:r w:rsidR="0063292F">
        <w:rPr>
          <w:rStyle w:val="CommentReference"/>
        </w:rPr>
        <w:commentReference w:id="98"/>
      </w:r>
      <w:r w:rsidR="009C5B00" w:rsidRPr="006902F6">
        <w:rPr>
          <w:color w:val="000000" w:themeColor="text1"/>
        </w:rPr>
        <w:t xml:space="preserve">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7B1DF7EF"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r w:rsidR="000B4772" w:rsidRPr="00015EDD">
        <w:rPr>
          <w:bCs/>
          <w:color w:val="000000" w:themeColor="text1"/>
        </w:rPr>
        <w:t xml:space="preserve">Erin Stephenson is </w:t>
      </w:r>
      <w:r w:rsidR="00015EDD">
        <w:rPr>
          <w:bCs/>
          <w:color w:val="000000" w:themeColor="text1"/>
        </w:rPr>
        <w:t>partially</w:t>
      </w:r>
      <w:r w:rsidR="000B4772" w:rsidRPr="00015EDD">
        <w:rPr>
          <w:bCs/>
          <w:color w:val="000000" w:themeColor="text1"/>
        </w:rPr>
        <w:t xml:space="preserve"> supported by funding</w:t>
      </w:r>
      <w:r w:rsidR="00015EDD">
        <w:rPr>
          <w:bCs/>
          <w:color w:val="000000" w:themeColor="text1"/>
        </w:rPr>
        <w:t xml:space="preserve"> from</w:t>
      </w:r>
      <w:r w:rsidR="000B4772" w:rsidRPr="00015EDD">
        <w:rPr>
          <w:bCs/>
          <w:color w:val="000000" w:themeColor="text1"/>
        </w:rPr>
        <w:t xml:space="preserve"> </w:t>
      </w:r>
      <w:r w:rsidR="00015EDD" w:rsidRPr="004B46F2">
        <w:rPr>
          <w:rFonts w:cs="Times"/>
          <w:bCs/>
        </w:rPr>
        <w:t>Le Bonheur Children’s Hospital, the Children’s Foundation Research Institute and</w:t>
      </w:r>
      <w:r w:rsidR="009C426D">
        <w:rPr>
          <w:rFonts w:cs="Times"/>
          <w:bCs/>
        </w:rPr>
        <w:t xml:space="preserve"> the Le Bonheur Associate Board</w:t>
      </w:r>
      <w:r w:rsidR="000B4772">
        <w:rPr>
          <w:bCs/>
          <w:color w:val="000000" w:themeColor="text1"/>
        </w:rPr>
        <w:t xml:space="preserve">. </w:t>
      </w:r>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AE7586D" w14:textId="164576FA" w:rsidR="009C426D" w:rsidRPr="00FF4BE1" w:rsidRDefault="000A7B51" w:rsidP="009C426D">
      <w:pPr>
        <w:widowControl w:val="0"/>
        <w:autoSpaceDE w:val="0"/>
        <w:autoSpaceDN w:val="0"/>
        <w:adjustRightInd w:val="0"/>
        <w:spacing w:before="480"/>
        <w:ind w:left="640" w:hanging="640"/>
        <w:rPr>
          <w:color w:val="000000" w:themeColor="text1"/>
          <w:sz w:val="32"/>
        </w:rPr>
      </w:pPr>
      <w:r w:rsidRPr="00FF4BE1">
        <w:rPr>
          <w:color w:val="000000" w:themeColor="text1"/>
          <w:sz w:val="32"/>
        </w:rPr>
        <w:t>References</w:t>
      </w:r>
    </w:p>
    <w:p w14:paraId="29D3094F" w14:textId="6F395036" w:rsidR="009C426D" w:rsidRPr="009C426D" w:rsidRDefault="009C426D" w:rsidP="00837C98">
      <w:pPr>
        <w:widowControl w:val="0"/>
        <w:autoSpaceDE w:val="0"/>
        <w:autoSpaceDN w:val="0"/>
        <w:adjustRightInd w:val="0"/>
        <w:spacing w:before="48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9C426D">
        <w:rPr>
          <w:rFonts w:ascii="Calibri" w:eastAsia="Times New Roman" w:hAnsi="Calibri" w:cs="Times New Roman"/>
          <w:noProof/>
        </w:rPr>
        <w:t xml:space="preserve">1. </w:t>
      </w:r>
      <w:r w:rsidRPr="009C426D">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018E402" w14:textId="079BC34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 </w:t>
      </w:r>
      <w:r w:rsidRPr="009C426D">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2003;149:543–8. </w:t>
      </w:r>
    </w:p>
    <w:p w14:paraId="75EFDF1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3. </w:t>
      </w:r>
      <w:r w:rsidRPr="009C426D">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0E4D6DD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 </w:t>
      </w:r>
      <w:r w:rsidRPr="009C426D">
        <w:rPr>
          <w:rFonts w:ascii="Calibri" w:eastAsia="Times New Roman" w:hAnsi="Calibri" w:cs="Times New Roman"/>
          <w:noProof/>
        </w:rPr>
        <w:tab/>
        <w:t xml:space="preserve">Pivonello R, Martino MC De, Leo M De, Lombardi G, Colao A. Cushing’s Syndrome. 2008;37:135–49. </w:t>
      </w:r>
    </w:p>
    <w:p w14:paraId="4B7A87E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 </w:t>
      </w:r>
      <w:r w:rsidRPr="009C426D">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6BD4DE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6. </w:t>
      </w:r>
      <w:r w:rsidRPr="009C426D">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1761DF8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7. </w:t>
      </w:r>
      <w:r w:rsidRPr="009C426D">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9CEC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8. </w:t>
      </w:r>
      <w:r w:rsidRPr="009C426D">
        <w:rPr>
          <w:rFonts w:ascii="Calibri" w:eastAsia="Times New Roman" w:hAnsi="Calibri" w:cs="Times New Roman"/>
          <w:noProof/>
        </w:rPr>
        <w:tab/>
        <w:t xml:space="preserve">Hsiao C, Ph D, Cherry DK, Beatty PC, Ph D, Rechtsteiner EA, Care H. National Ambulatory Medical Care Survey : 2007 Summary. 2010; </w:t>
      </w:r>
    </w:p>
    <w:p w14:paraId="790EAF16"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9. </w:t>
      </w:r>
      <w:r w:rsidRPr="009C426D">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35FD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10. </w:t>
      </w:r>
      <w:r w:rsidRPr="009C426D">
        <w:rPr>
          <w:rFonts w:ascii="Calibri" w:eastAsia="Times New Roman" w:hAnsi="Calibri" w:cs="Times New Roman"/>
          <w:noProof/>
        </w:rPr>
        <w:tab/>
        <w:t xml:space="preserve">Karam JH, Grodsky GM, Ph D, Forsham PH. Excessive Insulin Response to Glucose in Obese Subjects as Measured by Immunochemical Assay. </w:t>
      </w:r>
    </w:p>
    <w:p w14:paraId="4EB202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11. </w:t>
      </w:r>
      <w:r w:rsidRPr="009C426D">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1E080FA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12. </w:t>
      </w:r>
      <w:r w:rsidRPr="009C426D">
        <w:rPr>
          <w:rFonts w:ascii="Calibri" w:eastAsia="Times New Roman" w:hAnsi="Calibri" w:cs="Times New Roman"/>
          <w:noProof/>
        </w:rPr>
        <w:tab/>
        <w:t xml:space="preserve">Steffensen C, Pereira AM, Dekkers OM. Prevalence of hypercortisolism in type 2 diabetes patients : a systematic review and. 2016; </w:t>
      </w:r>
    </w:p>
    <w:p w14:paraId="364DD3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13. </w:t>
      </w:r>
      <w:r w:rsidRPr="009C426D">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2BCD6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14. </w:t>
      </w:r>
      <w:r w:rsidRPr="009C426D">
        <w:rPr>
          <w:rFonts w:ascii="Calibri" w:eastAsia="Times New Roman" w:hAnsi="Calibri" w:cs="Times New Roman"/>
          <w:noProof/>
        </w:rPr>
        <w:tab/>
        <w:t xml:space="preserve">Youssef WI, Mccullough AJ. Steatohepatitis in obese individuals. 2002;16:733–47. </w:t>
      </w:r>
    </w:p>
    <w:p w14:paraId="018768F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15. </w:t>
      </w:r>
      <w:r w:rsidRPr="009C426D">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2D327D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16. </w:t>
      </w:r>
      <w:r w:rsidRPr="009C426D">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39AD62D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17. </w:t>
      </w:r>
      <w:r w:rsidRPr="009C426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4BB4B1D5" w14:textId="7D9F21AD"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18. </w:t>
      </w:r>
      <w:r w:rsidRPr="009C426D">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6E172446" w14:textId="5CDBF4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19. </w:t>
      </w:r>
      <w:r w:rsidRPr="009C426D">
        <w:rPr>
          <w:rFonts w:ascii="Calibri" w:eastAsia="Times New Roman" w:hAnsi="Calibri" w:cs="Times New Roman"/>
          <w:noProof/>
        </w:rPr>
        <w:tab/>
        <w:t xml:space="preserve">Schakman O, Kalista S, Barbé C, Loumaye A, Thissen JP. Glucocorticoid-induced skeletal muscle atrophy </w:t>
      </w:r>
      <w:r w:rsidRPr="009C426D">
        <w:rPr>
          <w:rFonts w:ascii="Oriya Sangam MN" w:eastAsia="Oriya Sangam MN" w:hAnsi="Oriya Sangam MN" w:cs="Oriya Sangam MN"/>
          <w:noProof/>
        </w:rPr>
        <w:t>ଝ</w:t>
      </w:r>
      <w:r w:rsidRPr="009C426D">
        <w:rPr>
          <w:rFonts w:ascii="Calibri" w:eastAsia="Times New Roman" w:hAnsi="Calibri" w:cs="Times New Roman"/>
          <w:noProof/>
        </w:rPr>
        <w:t xml:space="preserve">. Int J Biochem Cell Biol. Elsevier Ltd; 2013;45:2163–72. </w:t>
      </w:r>
    </w:p>
    <w:p w14:paraId="08D780D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20. </w:t>
      </w:r>
      <w:r w:rsidRPr="009C426D">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E76E29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21. </w:t>
      </w:r>
      <w:r w:rsidRPr="009C426D">
        <w:rPr>
          <w:rFonts w:ascii="Calibri" w:eastAsia="Times New Roman" w:hAnsi="Calibri" w:cs="Times New Roman"/>
          <w:noProof/>
        </w:rPr>
        <w:tab/>
        <w:t xml:space="preserve">Geer EB, Shen W, Gallagher D, Punyanitya M, Looker HC, Post KD, Freda PU. Female Patients with Cushing ’ s Disease. 2011;73:469–75. </w:t>
      </w:r>
    </w:p>
    <w:p w14:paraId="41DEB7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22. </w:t>
      </w:r>
      <w:r w:rsidRPr="009C426D">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2FE03D"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23. </w:t>
      </w:r>
      <w:r w:rsidRPr="009C426D">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FBA3F8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24. </w:t>
      </w:r>
      <w:r w:rsidRPr="009C426D">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7230C4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25. </w:t>
      </w:r>
      <w:r w:rsidRPr="009C426D">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69C0174" w14:textId="7D3E5491"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26. </w:t>
      </w:r>
      <w:r w:rsidRPr="009C426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29F06EF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27. </w:t>
      </w:r>
      <w:r w:rsidRPr="009C426D">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7DD0F6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28. </w:t>
      </w:r>
      <w:r w:rsidRPr="009C426D">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6A4EC4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29. </w:t>
      </w:r>
      <w:r w:rsidRPr="009C426D">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0098E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30. </w:t>
      </w:r>
      <w:r w:rsidRPr="009C426D">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9B63A9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31. </w:t>
      </w:r>
      <w:r w:rsidRPr="009C426D">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6EF34AD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32. </w:t>
      </w:r>
      <w:r w:rsidRPr="009C426D">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68BD21C" w14:textId="7F3D7B3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33. </w:t>
      </w:r>
      <w:r w:rsidRPr="009C426D">
        <w:rPr>
          <w:rFonts w:ascii="Calibri" w:eastAsia="Times New Roman" w:hAnsi="Calibri" w:cs="Times New Roman"/>
          <w:noProof/>
        </w:rPr>
        <w:tab/>
        <w:t xml:space="preserve">Schoiswohl G, Stefanovic-Racic M, Menke MN, Wills RC, Surlow B a., Basantani MK, Sitnick MT, Cai L, Yazbeck CF, Stolz DB, et al. Impact of Reduced ATGL-Mediated Adipocyte Lipolysis on Obesity-Associated Insulin Resistance and Inflammation in Male Mice. Endocrinology. 2015;156:3610–24. </w:t>
      </w:r>
    </w:p>
    <w:p w14:paraId="3D083D2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34. </w:t>
      </w:r>
      <w:r w:rsidRPr="009C426D">
        <w:rPr>
          <w:rFonts w:ascii="Calibri" w:eastAsia="Times New Roman" w:hAnsi="Calibri" w:cs="Times New Roman"/>
          <w:noProof/>
        </w:rPr>
        <w:tab/>
        <w:t xml:space="preserve">Mueller KM, Hartmann K, Kaltenecker D, Vettorazzi S, Bauer M, Mauser L, Amann S, Jall </w:t>
      </w:r>
      <w:r w:rsidRPr="009C426D">
        <w:rPr>
          <w:rFonts w:ascii="Calibri" w:eastAsia="Times New Roman" w:hAnsi="Calibri" w:cs="Times New Roman"/>
          <w:noProof/>
        </w:rPr>
        <w:lastRenderedPageBreak/>
        <w:t xml:space="preserve">S, Fischer K, Esterbauer H, et al. Adipocyte Glucocorticoid Receptor De fi ciency Attenuates Aging- and HFD-Induced Obesity and Impairs the Feeding-Fasting Transition. 2017;66:272–86. </w:t>
      </w:r>
    </w:p>
    <w:p w14:paraId="001E2DB4" w14:textId="36167AF8"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35. </w:t>
      </w:r>
      <w:r w:rsidRPr="009C426D">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Elsevie</w:t>
      </w:r>
      <w:r w:rsidR="00793FB9">
        <w:rPr>
          <w:rFonts w:ascii="Calibri" w:eastAsia="Times New Roman" w:hAnsi="Calibri" w:cs="Times New Roman"/>
          <w:noProof/>
        </w:rPr>
        <w:t>r GmbH; 2017.</w:t>
      </w:r>
    </w:p>
    <w:p w14:paraId="20CBF888"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36. </w:t>
      </w:r>
      <w:r w:rsidRPr="009C426D">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C0A3E57" w14:textId="7E55A135"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37. </w:t>
      </w:r>
      <w:r w:rsidRPr="009C426D">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40067C0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38. </w:t>
      </w:r>
      <w:r w:rsidRPr="009C426D">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3D0EC0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39. </w:t>
      </w:r>
      <w:r w:rsidRPr="009C426D">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0FB164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40. </w:t>
      </w:r>
      <w:r w:rsidRPr="009C426D">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0B920D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41. </w:t>
      </w:r>
      <w:r w:rsidRPr="009C426D">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D0DE64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42. </w:t>
      </w:r>
      <w:r w:rsidRPr="009C426D">
        <w:rPr>
          <w:rFonts w:ascii="Calibri" w:eastAsia="Times New Roman" w:hAnsi="Calibri" w:cs="Times New Roman"/>
          <w:noProof/>
        </w:rPr>
        <w:tab/>
        <w:t xml:space="preserve">Chiang S-H, Chang L SA. TC10 and Insulin </w:t>
      </w:r>
      <w:r w:rsidRPr="009C426D">
        <w:rPr>
          <w:rFonts w:ascii="Calibri" w:eastAsia="Calibri" w:hAnsi="Calibri" w:cs="Calibri"/>
          <w:noProof/>
        </w:rPr>
        <w:t>‐</w:t>
      </w:r>
      <w:r w:rsidRPr="009C426D">
        <w:rPr>
          <w:rFonts w:ascii="Calibri" w:eastAsia="Times New Roman" w:hAnsi="Calibri" w:cs="Times New Roman"/>
          <w:noProof/>
        </w:rPr>
        <w:t xml:space="preserve"> Stimulated Glucose Transport. 2002;406:1257–62. </w:t>
      </w:r>
    </w:p>
    <w:p w14:paraId="19481C58" w14:textId="29BAAE52"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43. </w:t>
      </w:r>
      <w:r w:rsidRPr="009C426D">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7E741AD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44. </w:t>
      </w:r>
      <w:r w:rsidRPr="009C426D">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7364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45. </w:t>
      </w:r>
      <w:r w:rsidRPr="009C426D">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0838B6E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46. </w:t>
      </w:r>
      <w:r w:rsidRPr="009C426D">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2CDF76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47. </w:t>
      </w:r>
      <w:r w:rsidRPr="009C426D">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2987C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48. </w:t>
      </w:r>
      <w:r w:rsidRPr="009C426D">
        <w:rPr>
          <w:rFonts w:ascii="Calibri" w:eastAsia="Times New Roman" w:hAnsi="Calibri" w:cs="Times New Roman"/>
          <w:noProof/>
        </w:rPr>
        <w:tab/>
        <w:t xml:space="preserve">Yan Y, Hou D, Zhao X, Liu J. Childhood Adiposity and Nonalcoholic Fatty Liver Disease in Adulthood. 2017;139. </w:t>
      </w:r>
    </w:p>
    <w:p w14:paraId="1EF253BC" w14:textId="162B0B0B"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49. </w:t>
      </w:r>
      <w:r w:rsidRPr="009C426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1830799" w14:textId="75AC5DA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50. </w:t>
      </w:r>
      <w:r w:rsidRPr="009C426D">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Investigative Pathology; 2017;187:614–26. </w:t>
      </w:r>
    </w:p>
    <w:p w14:paraId="2AC74A2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51. </w:t>
      </w:r>
      <w:r w:rsidRPr="009C426D">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A75992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52. </w:t>
      </w:r>
      <w:r w:rsidRPr="009C426D">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C807FB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53. </w:t>
      </w:r>
      <w:r w:rsidRPr="009C426D">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8AFC16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54. </w:t>
      </w:r>
      <w:r w:rsidRPr="009C426D">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99B8249" w14:textId="2CD953F0"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55. </w:t>
      </w:r>
      <w:r w:rsidRPr="009C426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2DE1D35B" w14:textId="50293CAE"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56. </w:t>
      </w:r>
      <w:r w:rsidRPr="009C426D">
        <w:rPr>
          <w:rFonts w:ascii="Calibri" w:eastAsia="Times New Roman" w:hAnsi="Calibri" w:cs="Times New Roman"/>
          <w:noProof/>
        </w:rPr>
        <w:tab/>
        <w:t xml:space="preserve">Xu C, He J, Jiang H, Zu L, Zhai W, Pu S, Xu G. Direct effect of glucocorticoids on lipolysis in adipocytes. Mol Endocrinol. 2009;23:1161–70. </w:t>
      </w:r>
    </w:p>
    <w:p w14:paraId="4B7623A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57. </w:t>
      </w:r>
      <w:r w:rsidRPr="009C426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E43609E" w14:textId="671DE19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58. </w:t>
      </w:r>
      <w:r w:rsidRPr="009C426D">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49DE4CC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59. </w:t>
      </w:r>
      <w:r w:rsidRPr="009C426D">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034AE7B" w14:textId="77777777" w:rsidR="009C426D" w:rsidRPr="009C426D" w:rsidRDefault="009C426D" w:rsidP="009C426D">
      <w:pPr>
        <w:widowControl w:val="0"/>
        <w:autoSpaceDE w:val="0"/>
        <w:autoSpaceDN w:val="0"/>
        <w:adjustRightInd w:val="0"/>
        <w:spacing w:before="480"/>
        <w:ind w:left="640" w:hanging="640"/>
        <w:rPr>
          <w:rFonts w:ascii="Calibri" w:hAnsi="Calibri"/>
          <w:noProof/>
        </w:rPr>
      </w:pPr>
      <w:r w:rsidRPr="009C426D">
        <w:rPr>
          <w:rFonts w:ascii="Calibri" w:eastAsia="Times New Roman" w:hAnsi="Calibri" w:cs="Times New Roman"/>
          <w:noProof/>
        </w:rPr>
        <w:t xml:space="preserve">60. </w:t>
      </w:r>
      <w:r w:rsidRPr="009C426D">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1F2187C" w14:textId="5924B520" w:rsidR="009C426D" w:rsidRPr="006902F6" w:rsidRDefault="009C426D" w:rsidP="009C426D">
      <w:pPr>
        <w:widowControl w:val="0"/>
        <w:autoSpaceDE w:val="0"/>
        <w:autoSpaceDN w:val="0"/>
        <w:adjustRightInd w:val="0"/>
        <w:spacing w:before="480"/>
        <w:ind w:left="640" w:hanging="640"/>
        <w:rPr>
          <w:color w:val="000000" w:themeColor="text1"/>
        </w:rPr>
      </w:pPr>
      <w:r>
        <w:rPr>
          <w:color w:val="000000" w:themeColor="text1"/>
        </w:rPr>
        <w:fldChar w:fldCharType="end"/>
      </w:r>
    </w:p>
    <w:p w14:paraId="00AC6C9B" w14:textId="1AFDB42B" w:rsidR="000A4359" w:rsidRPr="006902F6" w:rsidRDefault="000A4359" w:rsidP="009C426D">
      <w:pPr>
        <w:widowControl w:val="0"/>
        <w:autoSpaceDE w:val="0"/>
        <w:autoSpaceDN w:val="0"/>
        <w:adjustRightInd w:val="0"/>
        <w:ind w:left="640" w:hanging="640"/>
        <w:rPr>
          <w:color w:val="000000" w:themeColor="text1"/>
        </w:rPr>
      </w:pP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8" w:author="Microsoft Office User" w:date="2017-09-06T14:40:00Z" w:initials="Office">
    <w:p w14:paraId="2839C7BD" w14:textId="4B5581A3" w:rsidR="0063292F" w:rsidRDefault="0063292F">
      <w:pPr>
        <w:pStyle w:val="CommentText"/>
      </w:pPr>
      <w:r>
        <w:rPr>
          <w:rStyle w:val="CommentReference"/>
        </w:rPr>
        <w:annotationRef/>
      </w:r>
      <w:r>
        <w:t>is okay to leave the backslash?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39C7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3CB"/>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15CD"/>
    <w:rsid w:val="001A3544"/>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7F3"/>
    <w:rsid w:val="00481EB2"/>
    <w:rsid w:val="00485915"/>
    <w:rsid w:val="0048623D"/>
    <w:rsid w:val="0048656A"/>
    <w:rsid w:val="00486FEB"/>
    <w:rsid w:val="00487B74"/>
    <w:rsid w:val="00490E90"/>
    <w:rsid w:val="00491EA8"/>
    <w:rsid w:val="004924C0"/>
    <w:rsid w:val="004953F6"/>
    <w:rsid w:val="00497500"/>
    <w:rsid w:val="00497CD5"/>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03C3"/>
    <w:rsid w:val="00553155"/>
    <w:rsid w:val="00562E5E"/>
    <w:rsid w:val="005647A8"/>
    <w:rsid w:val="00566E30"/>
    <w:rsid w:val="00567887"/>
    <w:rsid w:val="0057116C"/>
    <w:rsid w:val="005727CB"/>
    <w:rsid w:val="00575375"/>
    <w:rsid w:val="005801D2"/>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BC9"/>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15BB"/>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37C98"/>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A5431"/>
    <w:rsid w:val="008B6CAB"/>
    <w:rsid w:val="008B71EA"/>
    <w:rsid w:val="008B7F23"/>
    <w:rsid w:val="008C3E9A"/>
    <w:rsid w:val="008C41F3"/>
    <w:rsid w:val="008C70EE"/>
    <w:rsid w:val="008D3DC3"/>
    <w:rsid w:val="008D4D8A"/>
    <w:rsid w:val="008D6B15"/>
    <w:rsid w:val="008E232E"/>
    <w:rsid w:val="008E2917"/>
    <w:rsid w:val="008E3983"/>
    <w:rsid w:val="008F1032"/>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0C8F"/>
    <w:rsid w:val="00A7248A"/>
    <w:rsid w:val="00A7294B"/>
    <w:rsid w:val="00A73F99"/>
    <w:rsid w:val="00A7582B"/>
    <w:rsid w:val="00A7765F"/>
    <w:rsid w:val="00A778B2"/>
    <w:rsid w:val="00A804DB"/>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70D5"/>
    <w:rsid w:val="00B211F2"/>
    <w:rsid w:val="00B21E33"/>
    <w:rsid w:val="00B2448B"/>
    <w:rsid w:val="00B2460D"/>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87BB3"/>
    <w:rsid w:val="00F90038"/>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AC336-D87D-2141-BF25-B64C3093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16</Pages>
  <Words>33050</Words>
  <Characters>188387</Characters>
  <Application>Microsoft Macintosh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173</cp:revision>
  <dcterms:created xsi:type="dcterms:W3CDTF">2017-08-21T12:00:00Z</dcterms:created>
  <dcterms:modified xsi:type="dcterms:W3CDTF">2017-09-06T19:03:00Z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