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 xml:space="preserve">Innocence Harvey, Erin J. Stephenson, </w:t>
      </w:r>
      <w:proofErr w:type="spellStart"/>
      <w:r>
        <w:t>JeAnna</w:t>
      </w:r>
      <w:proofErr w:type="spellEnd"/>
      <w:r>
        <w:t xml:space="preserve"> R. Redd, </w:t>
      </w:r>
      <w:proofErr w:type="spellStart"/>
      <w:r>
        <w:t>Quynh</w:t>
      </w:r>
      <w:proofErr w:type="spellEnd"/>
      <w:r>
        <w:t xml:space="preserve"> T. Tran, </w:t>
      </w:r>
      <w:proofErr w:type="spellStart"/>
      <w:r>
        <w:t>Irit</w:t>
      </w:r>
      <w:proofErr w:type="spellEnd"/>
      <w:r>
        <w:t xml:space="preserve"> Hochberg, Nathan Qi and Dave Bridges</w:t>
      </w:r>
    </w:p>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5799BD45" w14:textId="10E8C1FB"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w:t>
      </w:r>
      <w:r w:rsidR="00F01E9C">
        <w:rPr>
          <w:color w:val="000000" w:themeColor="text1"/>
        </w:rPr>
        <w:t xml:space="preserve">in </w:t>
      </w:r>
      <w:r w:rsidR="00383057" w:rsidRPr="006902F6">
        <w:rPr>
          <w:color w:val="000000" w:themeColor="text1"/>
        </w:rPr>
        <w:t>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01E9C">
      <w:pPr>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color w:val="000000" w:themeColor="text1"/>
        </w:rPr>
      </w:pPr>
    </w:p>
    <w:p w14:paraId="2DD1CB88" w14:textId="082CFED8" w:rsidR="006A1504" w:rsidRDefault="00EF0E90" w:rsidP="00F01E9C">
      <w:pPr>
        <w:rPr>
          <w:color w:val="000000" w:themeColor="text1"/>
        </w:rPr>
      </w:pPr>
      <w:r>
        <w:rPr>
          <w:color w:val="000000" w:themeColor="text1"/>
        </w:rPr>
        <w:t xml:space="preserve">Similarly to Cushing’s syndrome, </w:t>
      </w: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r w:rsidR="00980A1E">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"(12\u201314)"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"(15,16)"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the increased level</w:t>
      </w:r>
      <w:r w:rsidR="001A055D">
        <w:rPr>
          <w:color w:val="000000" w:themeColor="text1"/>
        </w:rPr>
        <w:t>s/amounts</w:t>
      </w:r>
      <w:r w:rsidR="00DA3E40">
        <w:rPr>
          <w:color w:val="000000" w:themeColor="text1"/>
        </w:rPr>
        <w:t xml:space="preserve"> of corticosteroid prescription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01E9C">
      <w:pPr>
        <w:rPr>
          <w:color w:val="000000" w:themeColor="text1"/>
        </w:rPr>
      </w:pPr>
    </w:p>
    <w:p w14:paraId="3FD39526" w14:textId="6AA8EE4E"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80A1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"(10,11)"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remain unclear.</w:t>
      </w:r>
    </w:p>
    <w:p w14:paraId="20D3C5BE" w14:textId="448F331F" w:rsidR="00A82500" w:rsidRPr="006902F6" w:rsidRDefault="00A82500" w:rsidP="0048623D">
      <w:pPr>
        <w:rPr>
          <w:color w:val="000000" w:themeColor="text1"/>
        </w:rPr>
      </w:pP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4CF929"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80A1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"(15,28\u201330)"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9C4CFA">
      <w:pPr>
        <w:rPr>
          <w:color w:val="000000" w:themeColor="text1"/>
        </w:rPr>
      </w:pPr>
    </w:p>
    <w:p w14:paraId="2D64B995" w14:textId="0D359CE3"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4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for the duration of the study. 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915C5C" w:rsidRPr="006902F6">
        <w:rPr>
          <w:rFonts w:eastAsia="Times New Roman" w:cs="Times New Roman"/>
          <w:color w:val="000000" w:themeColor="text1"/>
          <w:shd w:val="clear" w:color="auto" w:fill="FFFFFF"/>
        </w:rPr>
        <w:t xml:space="preserve">3-6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sixteen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lastRenderedPageBreak/>
        <w:t xml:space="preserve">Animal body weight and composition was determined weekly using an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45FD76A4" w:rsidR="00C86E77" w:rsidRPr="00011A92" w:rsidRDefault="004B1467" w:rsidP="00C86E77">
      <w:pPr>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 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A9523A" w:rsidRPr="006902F6">
        <w:rPr>
          <w:rFonts w:cs="Times New Roman"/>
          <w:color w:val="000000" w:themeColor="text1"/>
        </w:rPr>
        <w:t xml:space="preserve"> following a six hour fast</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(n=14)</w:t>
      </w:r>
      <w:r w:rsidR="00BF4435" w:rsidRPr="006902F6">
        <w:rPr>
          <w:color w:val="000000" w:themeColor="text1"/>
        </w:rPr>
        <w:t xml:space="preserve"> 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given </w:t>
      </w:r>
      <w:r w:rsidR="00637F63">
        <w:rPr>
          <w:color w:val="000000" w:themeColor="text1"/>
        </w:rPr>
        <w:t>access to regular drinking water</w:t>
      </w:r>
      <w:r w:rsidR="0067415E">
        <w:rPr>
          <w:color w:val="000000" w:themeColor="text1"/>
        </w:rPr>
        <w:t xml:space="preserve"> (n=11)</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5</w:t>
      </w:r>
      <w:r w:rsidR="00D949CB">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w:t>
      </w:r>
      <w:r w:rsidR="00C86E77" w:rsidRPr="006902F6">
        <w:rPr>
          <w:rFonts w:ascii="Calibri" w:hAnsi="Calibri" w:cs="Arial"/>
          <w:color w:val="000000" w:themeColor="text1"/>
        </w:rPr>
        <w:lastRenderedPageBreak/>
        <w:t>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29D1C11C" w:rsidR="00873DCF" w:rsidRPr="006902F6" w:rsidRDefault="00343149" w:rsidP="00873DCF">
      <w:pPr>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PBS.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9C4CFA">
      <w:pPr>
        <w:rPr>
          <w:color w:val="000000" w:themeColor="text1"/>
        </w:rPr>
      </w:pPr>
    </w:p>
    <w:p w14:paraId="659E5B2F" w14:textId="7FBD629A"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136CB1">
        <w:rPr>
          <w:rFonts w:cs="Helvetica"/>
          <w:color w:val="000000" w:themeColor="text1"/>
        </w:rPr>
        <w:t>rates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3518723F"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43698C8C"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lastRenderedPageBreak/>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delta </w:t>
      </w:r>
      <w:proofErr w:type="spellStart"/>
      <w:r w:rsidR="00CD11DF">
        <w:rPr>
          <w:rFonts w:cs="Times New Roman"/>
          <w:color w:val="000000" w:themeColor="text1"/>
        </w:rPr>
        <w:t>delta</w:t>
      </w:r>
      <w:proofErr w:type="spellEnd"/>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575716B8"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and 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39092F">
        <w:rPr>
          <w:rFonts w:eastAsia="Times New Roman" w:cs="Times New Roman"/>
          <w:color w:val="000000" w:themeColor="text1"/>
          <w:shd w:val="clear" w:color="auto" w:fill="FFFFFF"/>
        </w:rPr>
        <w:t>BME-containing</w:t>
      </w:r>
      <w:r w:rsidR="008A5431">
        <w:rPr>
          <w:rFonts w:eastAsia="Times New Roman" w:cs="Times New Roman"/>
          <w:color w:val="000000" w:themeColor="text1"/>
          <w:shd w:val="clear" w:color="auto" w:fill="FFFFFF"/>
        </w:rPr>
        <w:t xml:space="preserve"> 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62552CA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commentRangeStart w:id="0"/>
      <w:r w:rsidR="007309A3">
        <w:rPr>
          <w:color w:val="000000" w:themeColor="text1"/>
        </w:rPr>
        <w:t>P</w:t>
      </w:r>
      <w:r w:rsidR="00737415">
        <w:rPr>
          <w:color w:val="000000" w:themeColor="text1"/>
        </w:rPr>
        <w:t xml:space="preserve">airwise </w:t>
      </w:r>
      <w:r w:rsidR="00A110DA">
        <w:rPr>
          <w:color w:val="000000" w:themeColor="text1"/>
        </w:rPr>
        <w:t>comparisons</w:t>
      </w:r>
      <w:commentRangeEnd w:id="0"/>
      <w:r w:rsidR="00204913">
        <w:rPr>
          <w:rStyle w:val="CommentReference"/>
        </w:rPr>
        <w:commentReference w:id="0"/>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w:t>
      </w:r>
      <w:commentRangeStart w:id="1"/>
      <w:r w:rsidR="00737415">
        <w:rPr>
          <w:color w:val="000000" w:themeColor="text1"/>
        </w:rPr>
        <w:t>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w:t>
      </w:r>
      <w:commentRangeEnd w:id="1"/>
      <w:r w:rsidR="00204913">
        <w:rPr>
          <w:rStyle w:val="CommentReference"/>
        </w:rPr>
        <w:commentReference w:id="1"/>
      </w:r>
      <w:r w:rsidR="00DC4AF1" w:rsidRPr="006902F6">
        <w:rPr>
          <w:color w:val="000000" w:themeColor="text1"/>
        </w:rPr>
        <w:t xml:space="preserve">.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235DD18B" w:rsidR="00F0261F" w:rsidRPr="006902F6" w:rsidRDefault="009115EE">
      <w:pPr>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increase in </w:t>
      </w:r>
      <w:r w:rsidR="005074CE">
        <w:rPr>
          <w:bCs/>
          <w:color w:val="000000" w:themeColor="text1"/>
        </w:rPr>
        <w:t xml:space="preserve">the </w:t>
      </w:r>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3B82129E"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 xml:space="preserve">glucocorticoids we performed an insulin tolerance test (ITT) on lean (NCD) and diet-induced </w:t>
      </w:r>
      <w:r w:rsidR="007E0200" w:rsidRPr="006902F6">
        <w:rPr>
          <w:color w:val="000000" w:themeColor="text1"/>
        </w:rPr>
        <w:lastRenderedPageBreak/>
        <w:t>obese (HFD) mice that were untreated (Control) or treated with glucocorticoids (Dexamethasone;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1B3E0DBC"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r w:rsidR="00DA3579" w:rsidRPr="006902F6">
        <w:rPr>
          <w:color w:val="000000" w:themeColor="text1"/>
        </w:rPr>
        <w:t xml:space="preserve">and </w:t>
      </w:r>
      <w:r w:rsidR="0003545C" w:rsidRPr="006902F6">
        <w:rPr>
          <w:color w:val="000000" w:themeColor="text1"/>
        </w:rPr>
        <w:t xml:space="preserve">hyperglycemia </w:t>
      </w:r>
      <w:r w:rsidR="00DA3579" w:rsidRPr="006902F6">
        <w:rPr>
          <w:color w:val="000000" w:themeColor="text1"/>
        </w:rPr>
        <w:t xml:space="preserve">(Supplementary Figure 1A-B) </w:t>
      </w:r>
      <w:r w:rsidR="0003545C" w:rsidRPr="006902F6">
        <w:rPr>
          <w:color w:val="000000" w:themeColor="text1"/>
        </w:rPr>
        <w:t>and reductions in lean mass, but no differences in fat mass between the groups (Supplementary Figures 1</w:t>
      </w:r>
      <w:r w:rsidR="00DA3579" w:rsidRPr="006902F6">
        <w:rPr>
          <w:color w:val="000000" w:themeColor="text1"/>
        </w:rPr>
        <w:t>C-D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78214E" w:rsidRPr="006902F6">
        <w:rPr>
          <w:color w:val="000000" w:themeColor="text1"/>
        </w:rPr>
        <w:t>In spite of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4429361C"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"(13,2)", "plainTextFormattedCitation" : "(13,2)", "previouslyFormattedCitation" : "(15,2)" }, "properties" : { "noteIndex" : 0 }, "schema" : "https://github.com/citation-style-language/schema/raw/master/csl-citation.json" }</w:instrText>
      </w:r>
      <w:r w:rsidR="00C70427" w:rsidRPr="006902F6">
        <w:rPr>
          <w:color w:val="000000" w:themeColor="text1"/>
        </w:rPr>
        <w:fldChar w:fldCharType="separate"/>
      </w:r>
      <w:r w:rsidR="00980A1E" w:rsidRPr="00980A1E">
        <w:rPr>
          <w:noProof/>
          <w:color w:val="000000" w:themeColor="text1"/>
        </w:rPr>
        <w:t>(13,2)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lastRenderedPageBreak/>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on </w:t>
      </w:r>
      <w:proofErr w:type="spellStart"/>
      <w:r w:rsidR="0086228C" w:rsidRPr="006902F6">
        <w:rPr>
          <w:i/>
          <w:color w:val="000000" w:themeColor="text1"/>
        </w:rPr>
        <w:t>Fasn</w:t>
      </w:r>
      <w:proofErr w:type="spellEnd"/>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6FBD9FFA" w:rsidR="00733364" w:rsidRPr="006902F6" w:rsidRDefault="00222D60">
      <w:pPr>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w:t>
      </w:r>
      <w:proofErr w:type="spellStart"/>
      <w:r w:rsidR="00035700" w:rsidRPr="006902F6">
        <w:rPr>
          <w:color w:val="000000" w:themeColor="text1"/>
        </w:rPr>
        <w:t>EchoMRI</w:t>
      </w:r>
      <w:proofErr w:type="spellEnd"/>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00035700" w:rsidRPr="006902F6">
        <w:rPr>
          <w:color w:val="000000" w:themeColor="text1"/>
        </w:rPr>
        <w:t xml:space="preserve"> (Figure 3D</w:t>
      </w:r>
      <w:r w:rsidR="000E75DF" w:rsidRPr="006902F6">
        <w:rPr>
          <w:color w:val="000000" w:themeColor="text1"/>
        </w:rPr>
        <w:t>)</w:t>
      </w:r>
      <w:r w:rsidR="00C902E7">
        <w:rPr>
          <w:color w:val="000000" w:themeColor="text1"/>
        </w:rPr>
        <w:t>, we compared food intake between 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641709AC" w:rsidR="00472706" w:rsidRPr="006902F6" w:rsidRDefault="005037E7">
      <w:pPr>
        <w:rPr>
          <w:color w:val="000000" w:themeColor="text1"/>
        </w:rPr>
      </w:pPr>
      <w:r w:rsidRPr="006902F6">
        <w:rPr>
          <w:color w:val="000000" w:themeColor="text1"/>
        </w:rPr>
        <w:lastRenderedPageBreak/>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20558A">
        <w:rPr>
          <w:color w:val="000000" w:themeColor="text1"/>
        </w:rPr>
        <w:t xml:space="preserve">determined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2A03EA99"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w:t>
      </w:r>
      <w:r w:rsidR="007A03AD">
        <w:rPr>
          <w:color w:val="000000" w:themeColor="text1"/>
        </w:rPr>
        <w:t xml:space="preserve"> </w:t>
      </w:r>
      <w:r w:rsidR="000F63EF">
        <w:rPr>
          <w:color w:val="000000" w:themeColor="text1"/>
        </w:rPr>
        <w:t>as a surrogate measure of</w:t>
      </w:r>
      <w:r w:rsidR="007A03AD">
        <w:rPr>
          <w:color w:val="000000" w:themeColor="text1"/>
        </w:rPr>
        <w:t xml:space="preserve"> lipolysis</w:t>
      </w:r>
      <w:r w:rsidR="006E4F40" w:rsidRPr="006902F6">
        <w:rPr>
          <w:color w:val="000000" w:themeColor="text1"/>
        </w:rPr>
        <w:t>.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then asked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water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pPr>
        <w:rPr>
          <w:color w:val="000000" w:themeColor="text1"/>
        </w:rPr>
      </w:pPr>
    </w:p>
    <w:p w14:paraId="5E9492F1" w14:textId="5CE79332"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w:t>
      </w:r>
      <w:proofErr w:type="spellStart"/>
      <w:r w:rsidRPr="006902F6">
        <w:rPr>
          <w:color w:val="000000" w:themeColor="text1"/>
        </w:rPr>
        <w:t>lipolytic</w:t>
      </w:r>
      <w:proofErr w:type="spellEnd"/>
      <w:r w:rsidRPr="006902F6">
        <w:rPr>
          <w:color w:val="000000" w:themeColor="text1"/>
        </w:rPr>
        <w:t xml:space="preserve"> enzyme</w:t>
      </w:r>
      <w:r w:rsidR="00250376" w:rsidRPr="006902F6">
        <w:rPr>
          <w:color w:val="000000" w:themeColor="text1"/>
        </w:rPr>
        <w:t xml:space="preserve"> 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73BC376C" w:rsidR="00990237" w:rsidRDefault="00C1438E" w:rsidP="00EA22A1">
      <w:pPr>
        <w:rPr>
          <w:ins w:id="2" w:author="Microsoft Office User" w:date="2017-09-02T17:10:00Z"/>
          <w:color w:val="000000" w:themeColor="text1"/>
        </w:rPr>
      </w:pPr>
      <w:r>
        <w:rPr>
          <w:color w:val="000000" w:themeColor="text1"/>
        </w:rPr>
        <w:t xml:space="preserve">We </w:t>
      </w:r>
      <w:r w:rsidR="00990237">
        <w:rPr>
          <w:color w:val="000000" w:themeColor="text1"/>
        </w:rPr>
        <w:t>found that</w:t>
      </w:r>
      <w:r>
        <w:rPr>
          <w:color w:val="000000" w:themeColor="text1"/>
        </w:rPr>
        <w:t xml:space="preserve"> o</w:t>
      </w:r>
      <w:r w:rsidR="00830B0C" w:rsidRPr="006902F6">
        <w:rPr>
          <w:color w:val="000000" w:themeColor="text1"/>
        </w:rPr>
        <w:t>bese patients with Cushing’s disease</w:t>
      </w:r>
      <w:r w:rsidR="000568A8">
        <w:rPr>
          <w:color w:val="000000" w:themeColor="text1"/>
        </w:rPr>
        <w:t xml:space="preserve"> 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lastRenderedPageBreak/>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w:t>
      </w:r>
      <w:commentRangeStart w:id="3"/>
      <w:commentRangeStart w:id="4"/>
      <w:r w:rsidR="00A06D11" w:rsidRPr="006902F6">
        <w:rPr>
          <w:color w:val="000000" w:themeColor="text1"/>
        </w:rPr>
        <w:t>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commentRangeEnd w:id="3"/>
      <w:r w:rsidR="004365F5">
        <w:rPr>
          <w:rStyle w:val="CommentReference"/>
        </w:rPr>
        <w:commentReference w:id="3"/>
      </w:r>
      <w:commentRangeEnd w:id="4"/>
      <w:r w:rsidR="00C83D0B">
        <w:rPr>
          <w:rStyle w:val="CommentReference"/>
        </w:rPr>
        <w:commentReference w:id="4"/>
      </w:r>
    </w:p>
    <w:p w14:paraId="2412D18E" w14:textId="77777777" w:rsidR="00990237" w:rsidRDefault="00990237" w:rsidP="00EA22A1">
      <w:pPr>
        <w:rPr>
          <w:ins w:id="6" w:author="Microsoft Office User" w:date="2017-09-02T17:10:00Z"/>
          <w:color w:val="000000" w:themeColor="text1"/>
        </w:rPr>
      </w:pPr>
    </w:p>
    <w:p w14:paraId="34AF8A1F" w14:textId="69D35B32" w:rsidR="00830B0C" w:rsidRPr="006902F6" w:rsidRDefault="00C1438E" w:rsidP="00EA22A1">
      <w:pPr>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0F5B3BC6" w:rsidR="00FE35A0" w:rsidRPr="006902F6" w:rsidRDefault="000A7B19" w:rsidP="004B3A2E">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"(15,16)"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7EDB0064"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A22A1">
      <w:pPr>
        <w:rPr>
          <w:color w:val="000000" w:themeColor="text1"/>
        </w:rPr>
      </w:pPr>
    </w:p>
    <w:p w14:paraId="1CD3293E" w14:textId="718D86C0"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t>
      </w:r>
      <w:r w:rsidR="0014428B" w:rsidRPr="006902F6">
        <w:rPr>
          <w:color w:val="000000" w:themeColor="text1"/>
        </w:rPr>
        <w:lastRenderedPageBreak/>
        <w:t xml:space="preserve">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601699FF"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80A1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"(10,11,60)"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20CE221C"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are </w:t>
      </w:r>
      <w:r w:rsidR="0015242A" w:rsidRPr="006902F6">
        <w:rPr>
          <w:color w:val="000000" w:themeColor="text1"/>
        </w:rPr>
        <w:t xml:space="preserve">a huge number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proofErr w:type="spellStart"/>
      <w:r w:rsidR="009C5B00" w:rsidRPr="006902F6">
        <w:rPr>
          <w:color w:val="000000" w:themeColor="text1"/>
        </w:rPr>
        <w:t>lipolytic</w:t>
      </w:r>
      <w:proofErr w:type="spellEnd"/>
      <w:r w:rsidR="009C5B00" w:rsidRPr="006902F6">
        <w:rPr>
          <w:color w:val="000000" w:themeColor="text1"/>
        </w:rPr>
        <w:t xml:space="preserve">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33DF9C34" w:rsidR="000A4359" w:rsidRPr="006902F6" w:rsidRDefault="000A4359" w:rsidP="00011A92">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r w:rsidR="000B4772" w:rsidRPr="00015EDD">
        <w:rPr>
          <w:bCs/>
          <w:color w:val="000000" w:themeColor="text1"/>
        </w:rPr>
        <w:t xml:space="preserve">Erin Stephenson is </w:t>
      </w:r>
      <w:r w:rsidR="00015EDD">
        <w:rPr>
          <w:bCs/>
          <w:color w:val="000000" w:themeColor="text1"/>
        </w:rPr>
        <w:t>partially</w:t>
      </w:r>
      <w:r w:rsidR="000B4772" w:rsidRPr="00015EDD">
        <w:rPr>
          <w:bCs/>
          <w:color w:val="000000" w:themeColor="text1"/>
        </w:rPr>
        <w:t xml:space="preserve"> supported by funding</w:t>
      </w:r>
      <w:r w:rsidR="00015EDD">
        <w:rPr>
          <w:bCs/>
          <w:color w:val="000000" w:themeColor="text1"/>
        </w:rPr>
        <w:t xml:space="preserve"> from</w:t>
      </w:r>
      <w:r w:rsidR="000B4772" w:rsidRPr="00015EDD">
        <w:rPr>
          <w:bCs/>
          <w:color w:val="000000" w:themeColor="text1"/>
        </w:rPr>
        <w:t xml:space="preserve"> </w:t>
      </w:r>
      <w:r w:rsidR="00015EDD" w:rsidRPr="004B46F2">
        <w:rPr>
          <w:rFonts w:cs="Times"/>
          <w:bCs/>
        </w:rPr>
        <w:t xml:space="preserve">Le Bonheur Children’s Hospital, the Children’s Foundation Research Institute and the Le Bonheur Associate </w:t>
      </w:r>
      <w:proofErr w:type="gramStart"/>
      <w:r w:rsidR="00015EDD" w:rsidRPr="004B46F2">
        <w:rPr>
          <w:rFonts w:cs="Times"/>
          <w:bCs/>
        </w:rPr>
        <w:t xml:space="preserve">Board </w:t>
      </w:r>
      <w:r w:rsidR="000B4772">
        <w:rPr>
          <w:bCs/>
          <w:color w:val="000000" w:themeColor="text1"/>
        </w:rPr>
        <w:t>.</w:t>
      </w:r>
      <w:proofErr w:type="gramEnd"/>
      <w:r w:rsidR="000B4772">
        <w:rPr>
          <w:bCs/>
          <w:color w:val="000000" w:themeColor="text1"/>
        </w:rPr>
        <w:t xml:space="preserve"> </w:t>
      </w:r>
      <w:r w:rsidR="00302276">
        <w:rPr>
          <w:bCs/>
          <w:color w:val="000000" w:themeColor="text1"/>
        </w:rPr>
        <w:t xml:space="preserve">We would like to thank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t>References</w:t>
      </w:r>
    </w:p>
    <w:p w14:paraId="407418F5" w14:textId="5704105D" w:rsidR="000A4359" w:rsidRPr="006902F6" w:rsidRDefault="000A4359" w:rsidP="000A4359">
      <w:pPr>
        <w:rPr>
          <w:color w:val="000000" w:themeColor="text1"/>
        </w:rPr>
      </w:pPr>
    </w:p>
    <w:p w14:paraId="4CB98194" w14:textId="4D07A249" w:rsidR="00980A1E" w:rsidRPr="00980A1E" w:rsidRDefault="00FA2417" w:rsidP="00980A1E">
      <w:pPr>
        <w:widowControl w:val="0"/>
        <w:autoSpaceDE w:val="0"/>
        <w:autoSpaceDN w:val="0"/>
        <w:adjustRightInd w:val="0"/>
        <w:ind w:left="640" w:hanging="640"/>
        <w:rPr>
          <w:rFonts w:ascii="Calibri" w:eastAsia="Times New Roman" w:hAnsi="Calibri" w:cs="Times New Roman"/>
          <w:noProof/>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980A1E" w:rsidRPr="00980A1E">
        <w:rPr>
          <w:rFonts w:ascii="Calibri" w:eastAsia="Times New Roman" w:hAnsi="Calibri" w:cs="Times New Roman"/>
          <w:noProof/>
        </w:rPr>
        <w:t xml:space="preserve">1. </w:t>
      </w:r>
      <w:r w:rsidR="00980A1E" w:rsidRPr="00980A1E">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3ACD77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 </w:t>
      </w:r>
      <w:r w:rsidRPr="00980A1E">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w:t>
      </w:r>
      <w:r w:rsidRPr="00980A1E">
        <w:rPr>
          <w:rFonts w:ascii="Calibri" w:eastAsia="Times New Roman" w:hAnsi="Calibri" w:cs="Times New Roman"/>
          <w:noProof/>
        </w:rPr>
        <w:lastRenderedPageBreak/>
        <w:t>tomography. Eur J Endocrinol [Internet]. 2003;149:543–8. Available from: http://www.eje-online.org/cgi/doi/10.1530/eje.0.1490543</w:t>
      </w:r>
    </w:p>
    <w:p w14:paraId="18D3D69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 </w:t>
      </w:r>
      <w:r w:rsidRPr="00980A1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11DD16B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 </w:t>
      </w:r>
      <w:r w:rsidRPr="00980A1E">
        <w:rPr>
          <w:rFonts w:ascii="Calibri" w:eastAsia="Times New Roman" w:hAnsi="Calibri" w:cs="Times New Roman"/>
          <w:noProof/>
        </w:rPr>
        <w:tab/>
        <w:t xml:space="preserve">Pivonello R, Martino MC De, Leo M De, Lombardi G, Colao A. Cushing’s Syndrome. 2008;37:135–49. </w:t>
      </w:r>
    </w:p>
    <w:p w14:paraId="69BCF72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 </w:t>
      </w:r>
      <w:r w:rsidRPr="00980A1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116214AB"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6. </w:t>
      </w:r>
      <w:r w:rsidRPr="00980A1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ABFAFD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7. </w:t>
      </w:r>
      <w:r w:rsidRPr="00980A1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6CAF05B"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8. </w:t>
      </w:r>
      <w:r w:rsidRPr="00980A1E">
        <w:rPr>
          <w:rFonts w:ascii="Calibri" w:eastAsia="Times New Roman" w:hAnsi="Calibri" w:cs="Times New Roman"/>
          <w:noProof/>
        </w:rPr>
        <w:tab/>
        <w:t xml:space="preserve">Hsiao C, Ph D, Cherry DK, Beatty PC, Ph D, Rechtsteiner EA, Care H. National Ambulatory Medical Care Survey : 2007 Summary. 2010; </w:t>
      </w:r>
    </w:p>
    <w:p w14:paraId="52738DB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9. </w:t>
      </w:r>
      <w:r w:rsidRPr="00980A1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610FB0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10. </w:t>
      </w:r>
      <w:r w:rsidRPr="00980A1E">
        <w:rPr>
          <w:rFonts w:ascii="Calibri" w:eastAsia="Times New Roman" w:hAnsi="Calibri" w:cs="Times New Roman"/>
          <w:noProof/>
        </w:rPr>
        <w:tab/>
        <w:t xml:space="preserve">Karam JH, Grodsky GM, Ph D, Forsham PH. Excessive Insulin Response to Glucose in Obese Subjects as Measured by Immunochemical Assay. </w:t>
      </w:r>
    </w:p>
    <w:p w14:paraId="447B08F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11. </w:t>
      </w:r>
      <w:r w:rsidRPr="00980A1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3F12F7BE"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12. </w:t>
      </w:r>
      <w:r w:rsidRPr="00980A1E">
        <w:rPr>
          <w:rFonts w:ascii="Calibri" w:eastAsia="Times New Roman" w:hAnsi="Calibri" w:cs="Times New Roman"/>
          <w:noProof/>
        </w:rPr>
        <w:tab/>
        <w:t xml:space="preserve">Steffensen C, Pereira AM, Dekkers OM. Prevalence of hypercortisolism in type 2 diabetes patients : a systematic review and. 2016; </w:t>
      </w:r>
    </w:p>
    <w:p w14:paraId="55B706F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13. </w:t>
      </w:r>
      <w:r w:rsidRPr="00980A1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99334D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14. </w:t>
      </w:r>
      <w:r w:rsidRPr="00980A1E">
        <w:rPr>
          <w:rFonts w:ascii="Calibri" w:eastAsia="Times New Roman" w:hAnsi="Calibri" w:cs="Times New Roman"/>
          <w:noProof/>
        </w:rPr>
        <w:tab/>
        <w:t xml:space="preserve">Youssef WI, Mccullough AJ. Steatohepatitis in obese individuals. 2002;16:733–47. </w:t>
      </w:r>
    </w:p>
    <w:p w14:paraId="4F5F8A7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15. </w:t>
      </w:r>
      <w:r w:rsidRPr="00980A1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1F4F564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16. </w:t>
      </w:r>
      <w:r w:rsidRPr="00980A1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41AD252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17. </w:t>
      </w:r>
      <w:r w:rsidRPr="00980A1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A780B3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18. </w:t>
      </w:r>
      <w:r w:rsidRPr="00980A1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A52E49E"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19. </w:t>
      </w:r>
      <w:r w:rsidRPr="00980A1E">
        <w:rPr>
          <w:rFonts w:ascii="Calibri" w:eastAsia="Times New Roman" w:hAnsi="Calibri" w:cs="Times New Roman"/>
          <w:noProof/>
        </w:rPr>
        <w:tab/>
        <w:t xml:space="preserve">Schakman O, Kalista S, Barbé C, Loumaye A, Thissen JP. Glucocorticoid-induced skeletal muscle atrophy </w:t>
      </w:r>
      <w:r w:rsidRPr="00980A1E">
        <w:rPr>
          <w:rFonts w:ascii="Oriya Sangam MN" w:eastAsia="Oriya Sangam MN" w:hAnsi="Oriya Sangam MN" w:cs="Oriya Sangam MN"/>
          <w:noProof/>
        </w:rPr>
        <w:t>ଝ</w:t>
      </w:r>
      <w:r w:rsidRPr="00980A1E">
        <w:rPr>
          <w:rFonts w:ascii="Calibri" w:eastAsia="Times New Roman" w:hAnsi="Calibri" w:cs="Times New Roman"/>
          <w:noProof/>
        </w:rPr>
        <w:t>. Int J Biochem Cell Biol [Internet]. Elsevier Ltd; 2013;45:2163–72. Available from: http://dx.doi.org/10.1016/j.biocel.2013.05.036</w:t>
      </w:r>
    </w:p>
    <w:p w14:paraId="39195E9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20. </w:t>
      </w:r>
      <w:r w:rsidRPr="00980A1E">
        <w:rPr>
          <w:rFonts w:ascii="Calibri" w:eastAsia="Times New Roman" w:hAnsi="Calibri" w:cs="Times New Roman"/>
          <w:noProof/>
        </w:rPr>
        <w:tab/>
        <w:t xml:space="preserve">Abad V, Chrousos GP, Reynolds JC, Nieman LK, Hill SC, Weinstein RS, Leong GM. </w:t>
      </w:r>
      <w:r w:rsidRPr="00980A1E">
        <w:rPr>
          <w:rFonts w:ascii="Calibri" w:eastAsia="Times New Roman" w:hAnsi="Calibri" w:cs="Times New Roman"/>
          <w:noProof/>
        </w:rPr>
        <w:lastRenderedPageBreak/>
        <w:t xml:space="preserve">Glucocorticoid Excess During Adolescence Leads to a Major Persistent Deficit in Bone Mass and an Increase in Central Body Fat. 2001;16:1879–85. </w:t>
      </w:r>
    </w:p>
    <w:p w14:paraId="1D4F5F0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21. </w:t>
      </w:r>
      <w:r w:rsidRPr="00980A1E">
        <w:rPr>
          <w:rFonts w:ascii="Calibri" w:eastAsia="Times New Roman" w:hAnsi="Calibri" w:cs="Times New Roman"/>
          <w:noProof/>
        </w:rPr>
        <w:tab/>
        <w:t xml:space="preserve">Geer EB, Shen W, Gallagher D, Punyanitya M, Looker HC, Post KD, Freda PU. Female Patients with Cushing ’ s Disease. 2011;73:469–75. </w:t>
      </w:r>
    </w:p>
    <w:p w14:paraId="08FCD5D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22. </w:t>
      </w:r>
      <w:r w:rsidRPr="00980A1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6A4C4E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23. </w:t>
      </w:r>
      <w:r w:rsidRPr="00980A1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A23321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24. </w:t>
      </w:r>
      <w:r w:rsidRPr="00980A1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1345FB45"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25. </w:t>
      </w:r>
      <w:r w:rsidRPr="00980A1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EC5482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26. </w:t>
      </w:r>
      <w:r w:rsidRPr="00980A1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16DE1F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27. </w:t>
      </w:r>
      <w:r w:rsidRPr="00980A1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F8202C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28. </w:t>
      </w:r>
      <w:r w:rsidRPr="00980A1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9B0EAC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29. </w:t>
      </w:r>
      <w:r w:rsidRPr="00980A1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32C8CE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30. </w:t>
      </w:r>
      <w:r w:rsidRPr="00980A1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F25FF8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31. </w:t>
      </w:r>
      <w:r w:rsidRPr="00980A1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3FC91C9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32. </w:t>
      </w:r>
      <w:r w:rsidRPr="00980A1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215A7CF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33. </w:t>
      </w:r>
      <w:r w:rsidRPr="00980A1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2778B45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lastRenderedPageBreak/>
        <w:t xml:space="preserve">34. </w:t>
      </w:r>
      <w:r w:rsidRPr="00980A1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5CAC738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35. </w:t>
      </w:r>
      <w:r w:rsidRPr="00980A1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ED90C2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36. </w:t>
      </w:r>
      <w:r w:rsidRPr="00980A1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7B36B7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37. </w:t>
      </w:r>
      <w:r w:rsidRPr="00980A1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492F6CE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38. </w:t>
      </w:r>
      <w:r w:rsidRPr="00980A1E">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3B71D999"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39. </w:t>
      </w:r>
      <w:r w:rsidRPr="00980A1E">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9B589D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40. </w:t>
      </w:r>
      <w:r w:rsidRPr="00980A1E">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6475CCF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41. </w:t>
      </w:r>
      <w:r w:rsidRPr="00980A1E">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164584C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42. </w:t>
      </w:r>
      <w:r w:rsidRPr="00980A1E">
        <w:rPr>
          <w:rFonts w:ascii="Calibri" w:eastAsia="Times New Roman" w:hAnsi="Calibri" w:cs="Times New Roman"/>
          <w:noProof/>
        </w:rPr>
        <w:tab/>
        <w:t xml:space="preserve">Chiang S-H, Chang L SA. TC10 and Insulin </w:t>
      </w:r>
      <w:r w:rsidRPr="00980A1E">
        <w:rPr>
          <w:rFonts w:ascii="Calibri" w:eastAsia="Calibri" w:hAnsi="Calibri" w:cs="Calibri"/>
          <w:noProof/>
        </w:rPr>
        <w:t>‐</w:t>
      </w:r>
      <w:r w:rsidRPr="00980A1E">
        <w:rPr>
          <w:rFonts w:ascii="Calibri" w:eastAsia="Times New Roman" w:hAnsi="Calibri" w:cs="Times New Roman"/>
          <w:noProof/>
        </w:rPr>
        <w:t xml:space="preserve"> Stimulated Glucose Transport. 2002;406:1257–62. </w:t>
      </w:r>
    </w:p>
    <w:p w14:paraId="0403F76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43. </w:t>
      </w:r>
      <w:r w:rsidRPr="00980A1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2737D35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44. </w:t>
      </w:r>
      <w:r w:rsidRPr="00980A1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23B4443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45. </w:t>
      </w:r>
      <w:r w:rsidRPr="00980A1E">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55A8E87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46. </w:t>
      </w:r>
      <w:r w:rsidRPr="00980A1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4BEBD15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47. </w:t>
      </w:r>
      <w:r w:rsidRPr="00980A1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0CAA67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48. </w:t>
      </w:r>
      <w:r w:rsidRPr="00980A1E">
        <w:rPr>
          <w:rFonts w:ascii="Calibri" w:eastAsia="Times New Roman" w:hAnsi="Calibri" w:cs="Times New Roman"/>
          <w:noProof/>
        </w:rPr>
        <w:tab/>
        <w:t xml:space="preserve">Yan Y, Hou D, Zhao X, Liu J. Childhood Adiposity and Nonalcoholic Fatty Liver Disease in Adulthood. 2017;139. </w:t>
      </w:r>
    </w:p>
    <w:p w14:paraId="6961BF8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49. </w:t>
      </w:r>
      <w:r w:rsidRPr="00980A1E">
        <w:rPr>
          <w:rFonts w:ascii="Calibri" w:eastAsia="Times New Roman" w:hAnsi="Calibri" w:cs="Times New Roman"/>
          <w:noProof/>
        </w:rPr>
        <w:tab/>
        <w:t xml:space="preserve">Stender S, Kozlitina J, Nordestgaard BG, Tybjærg-hansen A, Hobbs HH, Cohen JC. </w:t>
      </w:r>
      <w:r w:rsidRPr="00980A1E">
        <w:rPr>
          <w:rFonts w:ascii="Calibri" w:eastAsia="Times New Roman" w:hAnsi="Calibri" w:cs="Times New Roman"/>
          <w:noProof/>
        </w:rPr>
        <w:lastRenderedPageBreak/>
        <w:t>Adiposity amplifies the genetic risk of fatty liver disease conferred by multiple loci. Nat Publ Gr [Internet]. Nature Publishing Group; 2017;49:842–7. Available from: http://dx.doi.org/10.1038/ng.3855</w:t>
      </w:r>
    </w:p>
    <w:p w14:paraId="65FCBD9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50. </w:t>
      </w:r>
      <w:r w:rsidRPr="00980A1E">
        <w:rPr>
          <w:rFonts w:ascii="Calibri" w:eastAsia="Times New Roman" w:hAnsi="Calibri" w:cs="Times New Roman"/>
          <w:noProof/>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2C02EC4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51. </w:t>
      </w:r>
      <w:r w:rsidRPr="00980A1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072F3B2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52. </w:t>
      </w:r>
      <w:r w:rsidRPr="00980A1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39FC4AF0"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53. </w:t>
      </w:r>
      <w:r w:rsidRPr="00980A1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1ED3ACE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54. </w:t>
      </w:r>
      <w:r w:rsidRPr="00980A1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399C2FD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55. </w:t>
      </w:r>
      <w:r w:rsidRPr="00980A1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37E35D5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56. </w:t>
      </w:r>
      <w:r w:rsidRPr="00980A1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880821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57. </w:t>
      </w:r>
      <w:r w:rsidRPr="00980A1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650C4C2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58. </w:t>
      </w:r>
      <w:r w:rsidRPr="00980A1E">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23D26829"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59. </w:t>
      </w:r>
      <w:r w:rsidRPr="00980A1E">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59F2A743" w14:textId="77777777" w:rsidR="00980A1E" w:rsidRPr="00980A1E" w:rsidRDefault="00980A1E" w:rsidP="00980A1E">
      <w:pPr>
        <w:widowControl w:val="0"/>
        <w:autoSpaceDE w:val="0"/>
        <w:autoSpaceDN w:val="0"/>
        <w:adjustRightInd w:val="0"/>
        <w:ind w:left="640" w:hanging="640"/>
        <w:rPr>
          <w:rFonts w:ascii="Calibri" w:hAnsi="Calibri"/>
          <w:noProof/>
        </w:rPr>
      </w:pPr>
      <w:r w:rsidRPr="00980A1E">
        <w:rPr>
          <w:rFonts w:ascii="Calibri" w:eastAsia="Times New Roman" w:hAnsi="Calibri" w:cs="Times New Roman"/>
          <w:noProof/>
        </w:rPr>
        <w:t xml:space="preserve">60. </w:t>
      </w:r>
      <w:r w:rsidRPr="00980A1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5E1EC58B" w:rsidR="000A4359" w:rsidRPr="006902F6" w:rsidRDefault="00FA2417" w:rsidP="00980A1E">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hu Quynh Tran" w:date="2017-08-20T16:37:00Z" w:initials="NQ">
    <w:p w14:paraId="318327CF" w14:textId="3C0C33B3" w:rsidR="006E71BA" w:rsidRDefault="006E71BA">
      <w:pPr>
        <w:pStyle w:val="CommentText"/>
      </w:pPr>
      <w:r>
        <w:rPr>
          <w:rStyle w:val="CommentReference"/>
        </w:rPr>
        <w:annotationRef/>
      </w:r>
      <w:r>
        <w:t>If we have more than 2 groups (Figure 4 A, B, C, we need to perform Tukey’s HSD or Dunn test. These tests control for the family wise error rate (FWER).</w:t>
      </w:r>
    </w:p>
    <w:p w14:paraId="70A0B37B" w14:textId="77777777" w:rsidR="006E71BA" w:rsidRDefault="006E71BA">
      <w:pPr>
        <w:pStyle w:val="CommentText"/>
      </w:pPr>
    </w:p>
    <w:p w14:paraId="3BB22049" w14:textId="584F720B" w:rsidR="006E71BA" w:rsidRDefault="006E71BA">
      <w:pPr>
        <w:pStyle w:val="CommentText"/>
      </w:pPr>
      <w:r>
        <w:t xml:space="preserve">Usually, post-hoc test for ANOVA is Tukey’s HSD test. Dunn test is a non-parametric procedure with BH control. We can use the package </w:t>
      </w:r>
      <w:proofErr w:type="spellStart"/>
      <w:r>
        <w:t>dunn.test</w:t>
      </w:r>
      <w:proofErr w:type="spellEnd"/>
      <w:r>
        <w:t xml:space="preserve"> in R.</w:t>
      </w:r>
    </w:p>
  </w:comment>
  <w:comment w:id="1" w:author="Nhu Quynh Tran" w:date="2017-08-20T16:43:00Z" w:initials="NQ">
    <w:p w14:paraId="45E43BE8" w14:textId="123F6CDE" w:rsidR="006E71BA" w:rsidRDefault="006E71BA">
      <w:pPr>
        <w:pStyle w:val="CommentText"/>
      </w:pPr>
      <w:r>
        <w:rPr>
          <w:rStyle w:val="CommentReference"/>
        </w:rPr>
        <w:annotationRef/>
      </w:r>
      <w:r>
        <w:t xml:space="preserve">Did we control for FWER? How many tests were actually performed? If the interaction was significant, we would have 6 pairwise comparisons. </w:t>
      </w:r>
    </w:p>
  </w:comment>
  <w:comment w:id="3" w:author="Erin Stephenson" w:date="2017-08-19T14:23:00Z" w:initials="ES">
    <w:p w14:paraId="72A5E725" w14:textId="77777777" w:rsidR="006E71BA" w:rsidRDefault="006E71BA">
      <w:pPr>
        <w:pStyle w:val="CommentText"/>
      </w:pPr>
      <w:bookmarkStart w:id="5" w:name="_GoBack"/>
      <w:bookmarkEnd w:id="5"/>
      <w:r>
        <w:rPr>
          <w:rStyle w:val="CommentReference"/>
        </w:rPr>
        <w:annotationRef/>
      </w:r>
      <w:r>
        <w:t>I am not sure this makes sense. You might consider rephrasing</w:t>
      </w:r>
    </w:p>
    <w:p w14:paraId="4C706A6D" w14:textId="61A1675B" w:rsidR="006E71BA" w:rsidRDefault="006E71BA">
      <w:pPr>
        <w:pStyle w:val="CommentText"/>
      </w:pPr>
    </w:p>
  </w:comment>
  <w:comment w:id="4" w:author="Microsoft Office User" w:date="2017-09-04T14:49:00Z" w:initials="Office">
    <w:p w14:paraId="0E9CC45A" w14:textId="6C466092" w:rsidR="006E71BA" w:rsidRDefault="006E71BA">
      <w:pPr>
        <w:pStyle w:val="CommentText"/>
      </w:pPr>
      <w:r>
        <w:rPr>
          <w:rStyle w:val="CommentReference"/>
        </w:rPr>
        <w:annotationRef/>
      </w:r>
      <w:r>
        <w:t>Dave, I had the higher waist circumference in there originally, I guess it was removed at some level of the editing process. Does this make more sense if I include?</w:t>
      </w:r>
    </w:p>
    <w:p w14:paraId="1331E268" w14:textId="77777777" w:rsidR="006E71BA" w:rsidRDefault="006E71BA">
      <w:pPr>
        <w:pStyle w:val="CommentText"/>
      </w:pPr>
    </w:p>
    <w:p w14:paraId="7BC76DF8" w14:textId="3B95E0E2" w:rsidR="006E71BA" w:rsidRDefault="006E71BA">
      <w:pPr>
        <w:pStyle w:val="CommentText"/>
      </w:pPr>
      <w:r>
        <w:t>I think these are important links to make but I want it to flow make sense why they are being made to the reader.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22049" w15:done="0"/>
  <w15:commentEx w15:paraId="45E43BE8" w15:done="0"/>
  <w15:commentEx w15:paraId="4C706A6D" w15:done="0"/>
  <w15:commentEx w15:paraId="7BC76DF8" w15:paraIdParent="4C706A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Erin Stephenson">
    <w15:presenceInfo w15:providerId="None" w15:userId="Erin Stephe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D45"/>
    <w:rsid w:val="000C36A0"/>
    <w:rsid w:val="000C3B57"/>
    <w:rsid w:val="000C560C"/>
    <w:rsid w:val="000C6027"/>
    <w:rsid w:val="000C6E46"/>
    <w:rsid w:val="000C77FD"/>
    <w:rsid w:val="000D02A2"/>
    <w:rsid w:val="000D0E93"/>
    <w:rsid w:val="000D47AD"/>
    <w:rsid w:val="000D5336"/>
    <w:rsid w:val="000D578C"/>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1082"/>
    <w:rsid w:val="00163A9C"/>
    <w:rsid w:val="00166860"/>
    <w:rsid w:val="001669B6"/>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A055D"/>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41A8"/>
    <w:rsid w:val="002B5DCB"/>
    <w:rsid w:val="002B657C"/>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5D40"/>
    <w:rsid w:val="003A5F27"/>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71634"/>
    <w:rsid w:val="00472259"/>
    <w:rsid w:val="00472706"/>
    <w:rsid w:val="00472CEF"/>
    <w:rsid w:val="004763F1"/>
    <w:rsid w:val="00480A0E"/>
    <w:rsid w:val="00480B27"/>
    <w:rsid w:val="004810EC"/>
    <w:rsid w:val="004817F3"/>
    <w:rsid w:val="00481EB2"/>
    <w:rsid w:val="00485915"/>
    <w:rsid w:val="0048623D"/>
    <w:rsid w:val="00486FEB"/>
    <w:rsid w:val="00487B74"/>
    <w:rsid w:val="00490E90"/>
    <w:rsid w:val="00491EA8"/>
    <w:rsid w:val="004924C0"/>
    <w:rsid w:val="004953F6"/>
    <w:rsid w:val="00497500"/>
    <w:rsid w:val="00497CD5"/>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3155"/>
    <w:rsid w:val="00562E5E"/>
    <w:rsid w:val="005647A8"/>
    <w:rsid w:val="00566E30"/>
    <w:rsid w:val="00567887"/>
    <w:rsid w:val="0057116C"/>
    <w:rsid w:val="005727CB"/>
    <w:rsid w:val="00575375"/>
    <w:rsid w:val="005801D2"/>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402"/>
    <w:rsid w:val="00605595"/>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E3F"/>
    <w:rsid w:val="00633BB2"/>
    <w:rsid w:val="006347AE"/>
    <w:rsid w:val="00637B3B"/>
    <w:rsid w:val="00637F63"/>
    <w:rsid w:val="0064019A"/>
    <w:rsid w:val="0064248A"/>
    <w:rsid w:val="00642BDD"/>
    <w:rsid w:val="0064405D"/>
    <w:rsid w:val="006526D2"/>
    <w:rsid w:val="006531C6"/>
    <w:rsid w:val="00656284"/>
    <w:rsid w:val="00656421"/>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7132"/>
    <w:rsid w:val="007925ED"/>
    <w:rsid w:val="0079356A"/>
    <w:rsid w:val="007937AB"/>
    <w:rsid w:val="00793930"/>
    <w:rsid w:val="00793D2F"/>
    <w:rsid w:val="00794B8D"/>
    <w:rsid w:val="007978A8"/>
    <w:rsid w:val="007A03AD"/>
    <w:rsid w:val="007A1966"/>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A59"/>
    <w:rsid w:val="008070E2"/>
    <w:rsid w:val="00807CEF"/>
    <w:rsid w:val="00811966"/>
    <w:rsid w:val="00813742"/>
    <w:rsid w:val="008143F2"/>
    <w:rsid w:val="00822ACC"/>
    <w:rsid w:val="0082442E"/>
    <w:rsid w:val="00824C9D"/>
    <w:rsid w:val="00824F44"/>
    <w:rsid w:val="008254B0"/>
    <w:rsid w:val="00827CC4"/>
    <w:rsid w:val="00830364"/>
    <w:rsid w:val="00830B0C"/>
    <w:rsid w:val="00831691"/>
    <w:rsid w:val="00831CC3"/>
    <w:rsid w:val="00832CF5"/>
    <w:rsid w:val="00833589"/>
    <w:rsid w:val="00833B9D"/>
    <w:rsid w:val="00834FC4"/>
    <w:rsid w:val="00836173"/>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43A7"/>
    <w:rsid w:val="00895D92"/>
    <w:rsid w:val="008A2638"/>
    <w:rsid w:val="008A2DC1"/>
    <w:rsid w:val="008A4288"/>
    <w:rsid w:val="008A5431"/>
    <w:rsid w:val="008B6CAB"/>
    <w:rsid w:val="008B71EA"/>
    <w:rsid w:val="008B7F23"/>
    <w:rsid w:val="008C3E9A"/>
    <w:rsid w:val="008C41F3"/>
    <w:rsid w:val="008D3DC3"/>
    <w:rsid w:val="008D6B15"/>
    <w:rsid w:val="008E232E"/>
    <w:rsid w:val="008E2917"/>
    <w:rsid w:val="008E3983"/>
    <w:rsid w:val="008F1032"/>
    <w:rsid w:val="008F39C5"/>
    <w:rsid w:val="008F6355"/>
    <w:rsid w:val="00900242"/>
    <w:rsid w:val="00900B8C"/>
    <w:rsid w:val="00902E88"/>
    <w:rsid w:val="00903291"/>
    <w:rsid w:val="009055D7"/>
    <w:rsid w:val="009115EE"/>
    <w:rsid w:val="00914AF8"/>
    <w:rsid w:val="00914D17"/>
    <w:rsid w:val="00915C5C"/>
    <w:rsid w:val="00916395"/>
    <w:rsid w:val="00916A30"/>
    <w:rsid w:val="00922899"/>
    <w:rsid w:val="009240AB"/>
    <w:rsid w:val="00924AB8"/>
    <w:rsid w:val="00925F4F"/>
    <w:rsid w:val="0093161D"/>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91B"/>
    <w:rsid w:val="009D4F4B"/>
    <w:rsid w:val="009E06A7"/>
    <w:rsid w:val="009E166C"/>
    <w:rsid w:val="009E2596"/>
    <w:rsid w:val="009E542F"/>
    <w:rsid w:val="009E5B00"/>
    <w:rsid w:val="009F020A"/>
    <w:rsid w:val="009F043D"/>
    <w:rsid w:val="009F155F"/>
    <w:rsid w:val="009F238C"/>
    <w:rsid w:val="009F4B82"/>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248A"/>
    <w:rsid w:val="00A7294B"/>
    <w:rsid w:val="00A73F99"/>
    <w:rsid w:val="00A7582B"/>
    <w:rsid w:val="00A7765F"/>
    <w:rsid w:val="00A778B2"/>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30F"/>
    <w:rsid w:val="00B80ED3"/>
    <w:rsid w:val="00B82C78"/>
    <w:rsid w:val="00B83305"/>
    <w:rsid w:val="00B835BC"/>
    <w:rsid w:val="00B84CE7"/>
    <w:rsid w:val="00B8773B"/>
    <w:rsid w:val="00B87A01"/>
    <w:rsid w:val="00B87B8B"/>
    <w:rsid w:val="00B90019"/>
    <w:rsid w:val="00B900CB"/>
    <w:rsid w:val="00B90861"/>
    <w:rsid w:val="00B90F75"/>
    <w:rsid w:val="00B928EF"/>
    <w:rsid w:val="00B92BA0"/>
    <w:rsid w:val="00B92FF3"/>
    <w:rsid w:val="00B93D95"/>
    <w:rsid w:val="00B93FB7"/>
    <w:rsid w:val="00B95085"/>
    <w:rsid w:val="00B96BDB"/>
    <w:rsid w:val="00B97DA4"/>
    <w:rsid w:val="00B97F49"/>
    <w:rsid w:val="00BA1028"/>
    <w:rsid w:val="00BA16F5"/>
    <w:rsid w:val="00BA2136"/>
    <w:rsid w:val="00BA5577"/>
    <w:rsid w:val="00BA670F"/>
    <w:rsid w:val="00BA7708"/>
    <w:rsid w:val="00BB3D94"/>
    <w:rsid w:val="00BB3E98"/>
    <w:rsid w:val="00BB49E1"/>
    <w:rsid w:val="00BB4EFB"/>
    <w:rsid w:val="00BC0504"/>
    <w:rsid w:val="00BC08E9"/>
    <w:rsid w:val="00BC1E1F"/>
    <w:rsid w:val="00BD2B9E"/>
    <w:rsid w:val="00BD3767"/>
    <w:rsid w:val="00BD529C"/>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2AAC"/>
    <w:rsid w:val="00D02E18"/>
    <w:rsid w:val="00D03BDE"/>
    <w:rsid w:val="00D0401E"/>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90038"/>
    <w:rsid w:val="00F93630"/>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E61D7"/>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0C89D-C27F-8145-875D-E9BE8C3E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14</Pages>
  <Words>33164</Words>
  <Characters>189038</Characters>
  <Application>Microsoft Macintosh Word</Application>
  <DocSecurity>0</DocSecurity>
  <Lines>1575</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137</cp:revision>
  <dcterms:created xsi:type="dcterms:W3CDTF">2017-08-21T12:00:00Z</dcterms:created>
  <dcterms:modified xsi:type="dcterms:W3CDTF">2017-09-04T22:34:00Z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