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5799BD45" w14:textId="485F4807"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r w:rsidR="00F01E9C">
        <w:rPr>
          <w:color w:val="000000" w:themeColor="text1"/>
        </w:rPr>
        <w:t xml:space="preserve">effect of a </w:t>
      </w:r>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w:t>
      </w:r>
      <w:r w:rsidR="009F7868">
        <w:rPr>
          <w:color w:val="000000" w:themeColor="text1"/>
        </w:rPr>
        <w:t>s of hepatic lipid accumulation</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in hepatic steatosis and </w:t>
      </w:r>
      <w:r w:rsidR="00AB44A0">
        <w:rPr>
          <w:color w:val="000000" w:themeColor="text1"/>
        </w:rPr>
        <w:t xml:space="preserve">synergistic </w:t>
      </w:r>
      <w:del w:id="0" w:author="Microsoft Office User" w:date="2017-09-05T16:36:00Z">
        <w:r w:rsidR="00AB44A0" w:rsidDel="00B3095B">
          <w:rPr>
            <w:color w:val="000000" w:themeColor="text1"/>
          </w:rPr>
          <w:delText xml:space="preserve">elevations </w:delText>
        </w:r>
      </w:del>
      <w:ins w:id="1" w:author="Microsoft Office User" w:date="2017-09-05T16:37:00Z">
        <w:r w:rsidR="00B3095B">
          <w:rPr>
            <w:color w:val="000000" w:themeColor="text1"/>
          </w:rPr>
          <w:t>impairments</w:t>
        </w:r>
      </w:ins>
      <w:ins w:id="2" w:author="Microsoft Office User" w:date="2017-09-05T16:36:00Z">
        <w:r w:rsidR="00B3095B">
          <w:rPr>
            <w:color w:val="000000" w:themeColor="text1"/>
          </w:rPr>
          <w:t xml:space="preserve"> </w:t>
        </w:r>
      </w:ins>
      <w:r w:rsidR="00AB44A0">
        <w:rPr>
          <w:color w:val="000000" w:themeColor="text1"/>
        </w:rPr>
        <w:t xml:space="preserve">in </w:t>
      </w:r>
      <w:r w:rsidR="00383057" w:rsidRPr="006902F6">
        <w:rPr>
          <w:color w:val="000000" w:themeColor="text1"/>
        </w:rPr>
        <w:t xml:space="preserve">insulin </w:t>
      </w:r>
      <w:del w:id="3" w:author="Microsoft Office User" w:date="2017-09-05T16:36:00Z">
        <w:r w:rsidR="00383057" w:rsidRPr="006902F6" w:rsidDel="00B3095B">
          <w:rPr>
            <w:color w:val="000000" w:themeColor="text1"/>
          </w:rPr>
          <w:delText xml:space="preserve">resistance </w:delText>
        </w:r>
      </w:del>
      <w:ins w:id="4" w:author="Microsoft Office User" w:date="2017-09-05T16:36:00Z">
        <w:r w:rsidR="00B3095B">
          <w:rPr>
            <w:color w:val="000000" w:themeColor="text1"/>
          </w:rPr>
          <w:t>sensitivity</w:t>
        </w:r>
        <w:r w:rsidR="00B3095B" w:rsidRPr="006902F6">
          <w:rPr>
            <w:color w:val="000000" w:themeColor="text1"/>
          </w:rPr>
          <w:t xml:space="preserve"> </w:t>
        </w:r>
      </w:ins>
      <w:r w:rsidR="00383057" w:rsidRPr="006902F6">
        <w:rPr>
          <w:color w:val="000000" w:themeColor="text1"/>
        </w:rPr>
        <w:t>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5BF60BA4" w:rsidR="002B0844" w:rsidRDefault="00A3343F" w:rsidP="00F01E9C">
      <w:pPr>
        <w:rPr>
          <w:color w:val="000000" w:themeColor="text1"/>
        </w:rPr>
      </w:pPr>
      <w:r>
        <w:t>Cushing’s syndrome is an endocrine disorder that manifests in response to chronically elevated levels of glucocorticoids and is often associated with changes in adipose mass and distribution</w:t>
      </w:r>
      <w:r w:rsidR="00831691">
        <w:t xml:space="preserve"> </w:t>
      </w:r>
      <w:r w:rsidR="00831691">
        <w:fldChar w:fldCharType="begin" w:fldLock="1"/>
      </w:r>
      <w:r w:rsidR="00980A1E">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 "plainTextFormattedCitation" : "(1)", "previouslyFormattedCitation" : "(1)" }, "properties" : { "noteIndex" : 0 }, "schema" : "https://github.com/citation-style-language/schema/raw/master/csl-citation.json" }</w:instrText>
      </w:r>
      <w:r w:rsidR="00831691">
        <w:fldChar w:fldCharType="separate"/>
      </w:r>
      <w:r w:rsidR="00831691" w:rsidRPr="00831691">
        <w:rPr>
          <w:noProof/>
        </w:rPr>
        <w:t>(1)</w:t>
      </w:r>
      <w:r w:rsidR="00831691">
        <w:fldChar w:fldCharType="end"/>
      </w:r>
      <w:r>
        <w:t>, fatty liver</w:t>
      </w:r>
      <w:r w:rsidR="00831691">
        <w:t xml:space="preserve"> </w:t>
      </w:r>
      <w:r w:rsidR="00831691">
        <w:fldChar w:fldCharType="begin" w:fldLock="1"/>
      </w:r>
      <w:r w:rsidR="00980A1E">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831691">
        <w:fldChar w:fldCharType="separate"/>
      </w:r>
      <w:r w:rsidR="00831691" w:rsidRPr="00831691">
        <w:rPr>
          <w:noProof/>
        </w:rPr>
        <w:t>(2,3)</w:t>
      </w:r>
      <w:r w:rsidR="00831691">
        <w:fldChar w:fldCharType="end"/>
      </w:r>
      <w:r>
        <w:t>, impaired glucose tolerance and type 2 diabetes</w:t>
      </w:r>
      <w:r w:rsidR="00831691">
        <w:t xml:space="preserve"> </w:t>
      </w:r>
      <w:r w:rsidR="00831691">
        <w:fldChar w:fldCharType="begin" w:fldLock="1"/>
      </w:r>
      <w:r w:rsidR="00980A1E">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831691">
        <w:fldChar w:fldCharType="separate"/>
      </w:r>
      <w:r w:rsidR="00831691" w:rsidRPr="00831691">
        <w:rPr>
          <w:noProof/>
        </w:rPr>
        <w:t>(4,5)</w:t>
      </w:r>
      <w:r w:rsidR="00831691">
        <w:fldChar w:fldCharType="end"/>
      </w:r>
      <w:r>
        <w:t>. Although prevalence of Cushing’s syndrome is rare, it is estimated that at any given time 1-3% of the US, UK and Danish populations are prescribed exogenous corticosteroids, which may increase their risk for developing some of the same metabolic complications</w:t>
      </w:r>
      <w:r w:rsidR="00EE73D6">
        <w:t xml:space="preserve"> observed in Cushing’s syndrome </w:t>
      </w:r>
      <w:r w:rsidR="00A621EB" w:rsidRPr="006902F6">
        <w:rPr>
          <w:color w:val="000000" w:themeColor="text1"/>
        </w:rPr>
        <w:fldChar w:fldCharType="begin" w:fldLock="1"/>
      </w:r>
      <w:r w:rsidR="00980A1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"(6\u20139)", "plainTextFormattedCitation" : "(6\u20139)", "previouslyFormattedCitation" : "(6\u20139)" }, "properties" : { "noteIndex" : 0 }, "schema" : "https://github.com/citation-style-language/schema/raw/master/csl-citation.json" }</w:instrText>
      </w:r>
      <w:r w:rsidR="00A621EB" w:rsidRPr="006902F6">
        <w:rPr>
          <w:color w:val="000000" w:themeColor="text1"/>
        </w:rPr>
        <w:fldChar w:fldCharType="separate"/>
      </w:r>
      <w:r w:rsidR="00831691" w:rsidRPr="00831691">
        <w:rPr>
          <w:noProof/>
          <w:color w:val="000000" w:themeColor="text1"/>
        </w:rPr>
        <w:t>(6–9)</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01E9C">
      <w:pPr>
        <w:rPr>
          <w:color w:val="000000" w:themeColor="text1"/>
        </w:rPr>
      </w:pPr>
    </w:p>
    <w:p w14:paraId="2DD1CB88" w14:textId="48149025" w:rsidR="006A1504" w:rsidRDefault="00EF0E90" w:rsidP="00F01E9C">
      <w:pPr>
        <w:rPr>
          <w:color w:val="000000" w:themeColor="text1"/>
        </w:rPr>
      </w:pPr>
      <w:r>
        <w:rPr>
          <w:color w:val="000000" w:themeColor="text1"/>
        </w:rPr>
        <w:t xml:space="preserve">Similarly to Cushing’s syndrome, </w:t>
      </w:r>
      <w:r w:rsidR="00467A1F">
        <w:rPr>
          <w:color w:val="000000" w:themeColor="text1"/>
        </w:rPr>
        <w:t>o</w:t>
      </w:r>
      <w:r w:rsidRPr="006902F6">
        <w:rPr>
          <w:color w:val="000000" w:themeColor="text1"/>
        </w:rPr>
        <w:t xml:space="preserve">besity is often accompanied by a multitude of metabolic complications, such as insulin resistance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"(10\u201312)", "plainTextFormattedCitation" : "(10\u201312)", "previouslyFormattedCitation" : "(10\u201312)"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(10–12)</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Pr="006902F6">
        <w:rPr>
          <w:color w:val="000000" w:themeColor="text1"/>
        </w:rPr>
        <w:fldChar w:fldCharType="separate"/>
      </w:r>
      <w:r w:rsidR="00980A1E" w:rsidRPr="00980A1E">
        <w:rPr>
          <w:noProof/>
          <w:color w:val="000000" w:themeColor="text1"/>
        </w:rPr>
        <w:t>(13,14)</w:t>
      </w:r>
      <w:r w:rsidRPr="006902F6">
        <w:rPr>
          <w:color w:val="000000" w:themeColor="text1"/>
        </w:rPr>
        <w:fldChar w:fldCharType="end"/>
      </w:r>
      <w:r w:rsidR="006A1504">
        <w:rPr>
          <w:color w:val="000000" w:themeColor="text1"/>
        </w:rPr>
        <w:t xml:space="preserve"> and is becoming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del w:id="5" w:author="Microsoft Office User" w:date="2017-09-05T16:10:00Z">
        <w:r w:rsidR="00DA3E40" w:rsidDel="00467A1F">
          <w:rPr>
            <w:color w:val="000000" w:themeColor="text1"/>
          </w:rPr>
          <w:delText>increased level</w:delText>
        </w:r>
        <w:r w:rsidR="001A055D" w:rsidDel="00467A1F">
          <w:rPr>
            <w:color w:val="000000" w:themeColor="text1"/>
          </w:rPr>
          <w:delText>s/amounts</w:delText>
        </w:r>
      </w:del>
      <w:ins w:id="6" w:author="Microsoft Office User" w:date="2017-09-05T16:10:00Z">
        <w:r w:rsidR="00467A1F">
          <w:rPr>
            <w:color w:val="000000" w:themeColor="text1"/>
          </w:rPr>
          <w:t>high rates</w:t>
        </w:r>
      </w:ins>
      <w:r w:rsidR="00DA3E40">
        <w:rPr>
          <w:color w:val="000000" w:themeColor="text1"/>
        </w:rPr>
        <w:t xml:space="preserve"> of </w:t>
      </w:r>
      <w:ins w:id="7" w:author="Microsoft Office User" w:date="2017-09-05T16:12:00Z">
        <w:r w:rsidR="00223EE4">
          <w:rPr>
            <w:color w:val="000000" w:themeColor="text1"/>
          </w:rPr>
          <w:t xml:space="preserve">medically prescribed </w:t>
        </w:r>
      </w:ins>
      <w:r w:rsidR="00DA3E40">
        <w:rPr>
          <w:color w:val="000000" w:themeColor="text1"/>
        </w:rPr>
        <w:t>corticosteroid</w:t>
      </w:r>
      <w:ins w:id="8" w:author="Microsoft Office User" w:date="2017-09-05T16:12:00Z">
        <w:r w:rsidR="00223EE4">
          <w:rPr>
            <w:color w:val="000000" w:themeColor="text1"/>
          </w:rPr>
          <w:t>s</w:t>
        </w:r>
      </w:ins>
      <w:r w:rsidR="00DA3E40">
        <w:rPr>
          <w:color w:val="000000" w:themeColor="text1"/>
        </w:rPr>
        <w:t xml:space="preserve"> </w:t>
      </w:r>
      <w:del w:id="9" w:author="Microsoft Office User" w:date="2017-09-05T16:11:00Z">
        <w:r w:rsidR="00DA3E40" w:rsidDel="00223EE4">
          <w:rPr>
            <w:color w:val="000000" w:themeColor="text1"/>
          </w:rPr>
          <w:delText xml:space="preserve">prescription </w:delText>
        </w:r>
      </w:del>
      <w:r w:rsidR="00DA3E40">
        <w:rPr>
          <w:color w:val="000000" w:themeColor="text1"/>
        </w:rPr>
        <w:t xml:space="preserve">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A82500" w:rsidRPr="006902F6">
        <w:rPr>
          <w:color w:val="000000" w:themeColor="text1"/>
        </w:rPr>
        <w:t xml:space="preserve">it is likely that </w:t>
      </w:r>
      <w:r w:rsidR="00F01E9C">
        <w:rPr>
          <w:color w:val="000000" w:themeColor="text1"/>
        </w:rPr>
        <w:t xml:space="preserve">the combination of </w:t>
      </w:r>
      <w:r w:rsidR="00C7563E" w:rsidRPr="006902F6">
        <w:rPr>
          <w:color w:val="000000" w:themeColor="text1"/>
        </w:rPr>
        <w:t xml:space="preserve">obesity and glucocorticoid excess </w:t>
      </w:r>
      <w:r w:rsidR="00F01E9C">
        <w:rPr>
          <w:color w:val="000000" w:themeColor="text1"/>
        </w:rPr>
        <w:t>is</w:t>
      </w:r>
      <w:r w:rsidR="00A82500"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1157A4">
        <w:rPr>
          <w:color w:val="000000" w:themeColor="text1"/>
        </w:rPr>
        <w:t>; though, to our knowledge, this has not been studied</w:t>
      </w:r>
      <w:r w:rsidR="00805A59" w:rsidRPr="006902F6">
        <w:rPr>
          <w:color w:val="000000" w:themeColor="text1"/>
        </w:rPr>
        <w:t xml:space="preserve">. </w:t>
      </w:r>
    </w:p>
    <w:p w14:paraId="3682148F" w14:textId="77777777" w:rsidR="006A1504" w:rsidRDefault="006A1504" w:rsidP="00F01E9C">
      <w:pPr>
        <w:rPr>
          <w:color w:val="000000" w:themeColor="text1"/>
        </w:rPr>
      </w:pPr>
    </w:p>
    <w:p w14:paraId="3FD39526" w14:textId="57EABD12" w:rsidR="005E120F" w:rsidRPr="006902F6" w:rsidRDefault="00C35ED8" w:rsidP="00F01E9C">
      <w:pPr>
        <w:rPr>
          <w:color w:val="000000" w:themeColor="text1"/>
        </w:rPr>
      </w:pPr>
      <w:r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"(15,16)", "plainTextFormattedCitation" : "(15,16)", "previouslyFormattedCitation" : "(15,16)" }, "properties" : { "noteIndex" : 0 }, "schema" : "https://github.com/citation-style-language/schema/raw/master/csl-citation.json" }</w:instrText>
      </w:r>
      <w:r w:rsidR="00BF554F" w:rsidRPr="006902F6">
        <w:rPr>
          <w:color w:val="000000" w:themeColor="text1"/>
        </w:rPr>
        <w:fldChar w:fldCharType="separate"/>
      </w:r>
      <w:r w:rsidR="00980A1E" w:rsidRPr="00980A1E">
        <w:rPr>
          <w:noProof/>
          <w:color w:val="000000" w:themeColor="text1"/>
        </w:rPr>
        <w:t>(15,16)</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ins w:id="10" w:author="Microsoft Office User" w:date="2017-09-05T16:12:00Z">
        <w:r w:rsidR="00223EE4">
          <w:rPr>
            <w:color w:val="000000" w:themeColor="text1"/>
          </w:rPr>
          <w:t xml:space="preserve">leading to these outcomes </w:t>
        </w:r>
      </w:ins>
      <w:r w:rsidR="007A487B">
        <w:rPr>
          <w:color w:val="000000" w:themeColor="text1"/>
        </w:rPr>
        <w:t>remain unclear.</w:t>
      </w:r>
    </w:p>
    <w:p w14:paraId="20D3C5BE" w14:textId="448F331F" w:rsidR="00A82500" w:rsidRPr="006902F6" w:rsidRDefault="00A82500" w:rsidP="0048623D">
      <w:pPr>
        <w:rPr>
          <w:color w:val="000000" w:themeColor="text1"/>
        </w:rPr>
      </w:pP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CE20BD1" w:rsidR="00C30018" w:rsidRPr="006902F6" w:rsidRDefault="00026A0B" w:rsidP="0048623D">
      <w:pPr>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9C426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"(13,28\u201330)", "plainTextFormattedCitation" : "(13,28\u201330)", "previouslyFormattedCitation" : "(13,28\u201330)" }, "properties" : { "noteIndex" : 0 }, "schema" : "https://github.com/citation-style-language/schema/raw/master/csl-citation.json" }</w:instrText>
      </w:r>
      <w:r w:rsidR="000128D5" w:rsidRPr="006902F6">
        <w:rPr>
          <w:color w:val="000000" w:themeColor="text1"/>
        </w:rPr>
        <w:fldChar w:fldCharType="separate"/>
      </w:r>
      <w:r w:rsidR="00980A1E" w:rsidRPr="00980A1E">
        <w:rPr>
          <w:noProof/>
          <w:color w:val="000000" w:themeColor="text1"/>
        </w:rPr>
        <w:t>(13,28–30)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831691">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"(25,31\u201333)"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831691">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"(34\u201337)"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1344A8C8" w:rsidR="00AE79F4" w:rsidRPr="006902F6" w:rsidRDefault="003E5E79" w:rsidP="006902F6">
      <w:pPr>
        <w:rPr>
          <w:color w:val="000000" w:themeColor="text1"/>
        </w:rPr>
      </w:pPr>
      <w:r w:rsidRPr="006902F6">
        <w:rPr>
          <w:color w:val="000000" w:themeColor="text1"/>
        </w:rPr>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94BD653" w:rsidR="002E3AD9" w:rsidRPr="006902F6" w:rsidRDefault="000D47AD" w:rsidP="009C4CFA">
      <w:pPr>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9C4CFA">
      <w:pPr>
        <w:rPr>
          <w:color w:val="000000" w:themeColor="text1"/>
        </w:rPr>
      </w:pPr>
    </w:p>
    <w:p w14:paraId="2D64B995" w14:textId="05E89E38" w:rsidR="00EB0A54" w:rsidRPr="006902F6" w:rsidRDefault="004B1467" w:rsidP="009C4CFA">
      <w:pPr>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ins w:id="11" w:author="Microsoft Office User" w:date="2017-09-05T16:16:00Z">
        <w:r w:rsidR="00390741">
          <w:rPr>
            <w:rFonts w:eastAsia="Times New Roman" w:cs="Times New Roman"/>
            <w:color w:val="000000" w:themeColor="text1"/>
            <w:shd w:val="clear" w:color="auto" w:fill="FFFFFF"/>
          </w:rPr>
          <w:t>four</w:t>
        </w:r>
      </w:ins>
      <w:del w:id="12" w:author="Microsoft Office User" w:date="2017-09-05T16:16:00Z">
        <w:r w:rsidR="0075740D" w:rsidDel="00390741">
          <w:rPr>
            <w:rFonts w:eastAsia="Times New Roman" w:cs="Times New Roman"/>
            <w:color w:val="000000" w:themeColor="text1"/>
            <w:shd w:val="clear" w:color="auto" w:fill="FFFFFF"/>
          </w:rPr>
          <w:delText>4</w:delText>
        </w:r>
      </w:del>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ins w:id="13" w:author="Microsoft Office User" w:date="2017-09-05T16:22:00Z">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ins>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ins w:id="14" w:author="Microsoft Office User" w:date="2017-09-05T16:17:00Z">
        <w:r w:rsidR="00390741">
          <w:rPr>
            <w:rFonts w:eastAsia="Times New Roman" w:cs="Times New Roman"/>
            <w:color w:val="000000" w:themeColor="text1"/>
            <w:shd w:val="clear" w:color="auto" w:fill="FFFFFF"/>
          </w:rPr>
          <w:t>three to six</w:t>
        </w:r>
      </w:ins>
      <w:del w:id="15" w:author="Microsoft Office User" w:date="2017-09-05T16:17:00Z">
        <w:r w:rsidR="00915C5C" w:rsidRPr="006902F6" w:rsidDel="00390741">
          <w:rPr>
            <w:rFonts w:eastAsia="Times New Roman" w:cs="Times New Roman"/>
            <w:color w:val="000000" w:themeColor="text1"/>
            <w:shd w:val="clear" w:color="auto" w:fill="FFFFFF"/>
          </w:rPr>
          <w:delText>3-6</w:delText>
        </w:r>
      </w:del>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del w:id="16" w:author="Microsoft Office User" w:date="2017-09-05T16:17:00Z">
        <w:r w:rsidR="00915C5C" w:rsidRPr="006902F6" w:rsidDel="00390741">
          <w:rPr>
            <w:rFonts w:eastAsia="Times New Roman" w:cs="Times New Roman"/>
            <w:color w:val="000000" w:themeColor="text1"/>
            <w:shd w:val="clear" w:color="auto" w:fill="FFFFFF"/>
          </w:rPr>
          <w:delText xml:space="preserve">sixteen </w:delText>
        </w:r>
      </w:del>
      <w:ins w:id="17" w:author="Microsoft Office User" w:date="2017-09-05T16:17:00Z">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ins>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 xml:space="preserve">Due to the immunosuppressive </w:t>
      </w:r>
      <w:r w:rsidR="00CD611F">
        <w:rPr>
          <w:rFonts w:eastAsia="Times New Roman" w:cs="Times New Roman"/>
          <w:color w:val="000000" w:themeColor="text1"/>
          <w:shd w:val="clear" w:color="auto" w:fill="FFFFFF"/>
        </w:rPr>
        <w:lastRenderedPageBreak/>
        <w:t>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del w:id="18" w:author="Microsoft Office User" w:date="2017-09-05T16:20:00Z">
        <w:r w:rsidR="00EB0A54" w:rsidRPr="006902F6" w:rsidDel="00750F89">
          <w:rPr>
            <w:rFonts w:eastAsia="Times New Roman" w:cs="Times New Roman"/>
            <w:color w:val="000000" w:themeColor="text1"/>
            <w:shd w:val="clear" w:color="auto" w:fill="FFFFFF"/>
          </w:rPr>
          <w:delText xml:space="preserve"> </w:delText>
        </w:r>
      </w:del>
      <w:ins w:id="19" w:author="Microsoft Office User" w:date="2017-09-05T16:20:00Z">
        <w:r w:rsidR="00750F89">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and composition was determined weekly using a</w:t>
      </w:r>
      <w:ins w:id="20" w:author="Microsoft Office User" w:date="2017-09-05T16:20:00Z">
        <w:r w:rsidR="00750F89">
          <w:rPr>
            <w:rFonts w:eastAsia="Times New Roman" w:cs="Times New Roman"/>
            <w:color w:val="000000" w:themeColor="text1"/>
            <w:shd w:val="clear" w:color="auto" w:fill="FFFFFF"/>
          </w:rPr>
          <w:t xml:space="preserve"> digital scale and</w:t>
        </w:r>
      </w:ins>
      <w:del w:id="21" w:author="Microsoft Office User" w:date="2017-09-05T16:20:00Z">
        <w:r w:rsidR="00EB0A54" w:rsidRPr="006902F6" w:rsidDel="00750F89">
          <w:rPr>
            <w:rFonts w:eastAsia="Times New Roman" w:cs="Times New Roman"/>
            <w:color w:val="000000" w:themeColor="text1"/>
            <w:shd w:val="clear" w:color="auto" w:fill="FFFFFF"/>
          </w:rPr>
          <w:delText>n</w:delText>
        </w:r>
      </w:del>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ins w:id="22" w:author="Microsoft Office User" w:date="2017-09-05T16:20:00Z">
        <w:r w:rsidR="00750F89">
          <w:rPr>
            <w:rFonts w:eastAsia="Times New Roman" w:cs="Times New Roman"/>
            <w:color w:val="000000" w:themeColor="text1"/>
            <w:shd w:val="clear" w:color="auto" w:fill="FFFFFF"/>
          </w:rPr>
          <w:t>, respectively</w:t>
        </w:r>
      </w:ins>
      <w:r w:rsidR="00EB0A54" w:rsidRPr="006902F6">
        <w:rPr>
          <w:rFonts w:eastAsia="Times New Roman" w:cs="Times New Roman"/>
          <w:color w:val="000000" w:themeColor="text1"/>
          <w:shd w:val="clear" w:color="auto" w:fill="FFFFFF"/>
        </w:rPr>
        <w:t xml:space="preserve">. </w:t>
      </w:r>
      <w:del w:id="23" w:author="Microsoft Office User" w:date="2017-09-05T16:21:00Z">
        <w:r w:rsidR="00EB0A54" w:rsidRPr="006902F6" w:rsidDel="00750F89">
          <w:rPr>
            <w:rFonts w:eastAsia="Times New Roman" w:cs="Times New Roman"/>
            <w:color w:val="000000" w:themeColor="text1"/>
            <w:shd w:val="clear" w:color="auto" w:fill="FFFFFF"/>
          </w:rPr>
          <w:delText xml:space="preserve">Food was weighed weekly, with food intake determined as the decrease in food weight per mouse per week per cage. </w:delText>
        </w:r>
      </w:del>
      <w:del w:id="24" w:author="Microsoft Office User" w:date="2017-09-05T16:22:00Z">
        <w:r w:rsidR="00EB0A54" w:rsidRPr="006902F6" w:rsidDel="001143CB">
          <w:rPr>
            <w:rFonts w:eastAsia="Times New Roman" w:cs="Times New Roman"/>
            <w:color w:val="000000" w:themeColor="text1"/>
            <w:shd w:val="clear" w:color="auto" w:fill="FFFFFF"/>
          </w:rPr>
          <w:delText>All mice were provided with access to food and water </w:delText>
        </w:r>
        <w:r w:rsidR="00EB0A54" w:rsidRPr="006902F6" w:rsidDel="001143CB">
          <w:rPr>
            <w:rFonts w:eastAsia="Times New Roman" w:cs="Times New Roman"/>
            <w:i/>
            <w:iCs/>
            <w:color w:val="000000" w:themeColor="text1"/>
          </w:rPr>
          <w:delText>ad libitum</w:delText>
        </w:r>
        <w:r w:rsidR="00EB0A54" w:rsidRPr="006902F6" w:rsidDel="001143CB">
          <w:rPr>
            <w:rFonts w:eastAsia="Times New Roman" w:cs="Times New Roman"/>
            <w:color w:val="000000" w:themeColor="text1"/>
            <w:shd w:val="clear" w:color="auto" w:fill="FFFFFF"/>
          </w:rPr>
          <w:delText> throughout the study</w:delText>
        </w:r>
        <w:r w:rsidR="00883597" w:rsidRPr="006902F6" w:rsidDel="001143CB">
          <w:rPr>
            <w:rFonts w:eastAsia="Times New Roman" w:cs="Times New Roman"/>
            <w:color w:val="000000" w:themeColor="text1"/>
            <w:shd w:val="clear" w:color="auto" w:fill="FFFFFF"/>
          </w:rPr>
          <w:delText>, unless otherwise noted</w:delText>
        </w:r>
        <w:r w:rsidR="00EB0A54" w:rsidRPr="006902F6" w:rsidDel="001143CB">
          <w:rPr>
            <w:rFonts w:eastAsia="Times New Roman" w:cs="Times New Roman"/>
            <w:color w:val="000000" w:themeColor="text1"/>
            <w:shd w:val="clear" w:color="auto" w:fill="FFFFFF"/>
          </w:rPr>
          <w:delText xml:space="preserve">. </w:delText>
        </w:r>
      </w:del>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ins w:id="25" w:author="Microsoft Office User" w:date="2017-09-05T16:23:00Z">
        <w:r w:rsidR="001143CB">
          <w:rPr>
            <w:rFonts w:eastAsia="Times New Roman" w:cs="Times New Roman"/>
            <w:color w:val="000000" w:themeColor="text1"/>
            <w:shd w:val="clear" w:color="auto" w:fill="FFFFFF"/>
          </w:rPr>
          <w:t xml:space="preserve">and </w:t>
        </w:r>
      </w:ins>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 xml:space="preserve">depots were carefully removed and weighed </w:t>
      </w:r>
      <w:r w:rsidR="00DF4988">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782B952C" w:rsidR="00C86E77" w:rsidRPr="00011A92" w:rsidRDefault="004B1467" w:rsidP="00C86E77">
      <w:pPr>
        <w:rPr>
          <w:rFonts w:ascii="Arial" w:hAnsi="Arial"/>
          <w:color w:val="000000" w:themeColor="text1"/>
        </w:rPr>
      </w:pPr>
      <w:r w:rsidRPr="006902F6">
        <w:rPr>
          <w:b/>
          <w:color w:val="000000" w:themeColor="text1"/>
        </w:rPr>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w:t>
      </w:r>
      <w:ins w:id="26" w:author="Microsoft Office User" w:date="2017-09-05T16:27:00Z">
        <w:r w:rsidR="001143CB">
          <w:rPr>
            <w:rFonts w:cs="Times New Roman"/>
            <w:color w:val="000000" w:themeColor="text1"/>
          </w:rPr>
          <w:t xml:space="preserve"> and 17 weeks of HFD</w:t>
        </w:r>
      </w:ins>
      <w:r w:rsidR="00EB0A54" w:rsidRPr="006902F6">
        <w:rPr>
          <w:rFonts w:cs="Times New Roman"/>
          <w:color w:val="000000" w:themeColor="text1"/>
        </w:rPr>
        <w:t xml:space="preserve"> (27</w:t>
      </w:r>
      <w:r w:rsidR="00067455" w:rsidRPr="006902F6">
        <w:rPr>
          <w:rFonts w:cs="Times New Roman"/>
          <w:color w:val="000000" w:themeColor="text1"/>
        </w:rPr>
        <w:t xml:space="preserve"> weeks of age).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ins w:id="27" w:author="Microsoft Office User" w:date="2017-09-05T16:24:00Z">
        <w:r w:rsidR="001143CB">
          <w:rPr>
            <w:rFonts w:cs="Times New Roman"/>
            <w:color w:val="000000" w:themeColor="text1"/>
          </w:rPr>
          <w:t xml:space="preserve"> 2.5mU/kg</w:t>
        </w:r>
      </w:ins>
      <w:r w:rsidR="00067455" w:rsidRPr="006902F6">
        <w:rPr>
          <w:rFonts w:cs="Times New Roman"/>
          <w:color w:val="000000" w:themeColor="text1"/>
        </w:rPr>
        <w:t xml:space="preserve"> 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del w:id="28" w:author="Microsoft Office User" w:date="2017-09-05T16:25:00Z">
        <w:r w:rsidR="00C34EC4" w:rsidDel="001143CB">
          <w:delText xml:space="preserve"> </w:delText>
        </w:r>
        <w:r w:rsidR="00F46BC5" w:rsidDel="001143CB">
          <w:rPr>
            <w:rFonts w:cs="Times New Roman"/>
            <w:color w:val="000000" w:themeColor="text1"/>
          </w:rPr>
          <w:delText>as described in</w:delText>
        </w:r>
        <w:r w:rsidR="00C52356" w:rsidDel="001143CB">
          <w:rPr>
            <w:rFonts w:cs="Times New Roman"/>
            <w:color w:val="000000" w:themeColor="text1"/>
          </w:rPr>
          <w:delText xml:space="preserve"> figure legend</w:delText>
        </w:r>
        <w:r w:rsidR="00F46BC5" w:rsidDel="001143CB">
          <w:rPr>
            <w:rFonts w:cs="Times New Roman"/>
            <w:color w:val="000000" w:themeColor="text1"/>
          </w:rPr>
          <w:delText>s</w:delText>
        </w:r>
      </w:del>
      <w:del w:id="29" w:author="Microsoft Office User" w:date="2017-09-05T16:23:00Z">
        <w:r w:rsidR="00F46BC5" w:rsidDel="001143CB">
          <w:rPr>
            <w:rFonts w:cs="Times New Roman"/>
            <w:color w:val="000000" w:themeColor="text1"/>
          </w:rPr>
          <w:delText>,</w:delText>
        </w:r>
        <w:r w:rsidR="00A9523A" w:rsidRPr="006902F6" w:rsidDel="001143CB">
          <w:rPr>
            <w:rFonts w:cs="Times New Roman"/>
            <w:color w:val="000000" w:themeColor="text1"/>
          </w:rPr>
          <w:delText xml:space="preserve"> following a six hour fast</w:delText>
        </w:r>
      </w:del>
      <w:r w:rsidR="00067455" w:rsidRPr="006902F6">
        <w:rPr>
          <w:rFonts w:cs="Times New Roman"/>
          <w:color w:val="000000" w:themeColor="text1"/>
        </w:rPr>
        <w:t xml:space="preserve">. Blood </w:t>
      </w:r>
      <w:r w:rsidR="004A26F2">
        <w:rPr>
          <w:rFonts w:cs="Times New Roman"/>
          <w:color w:val="000000" w:themeColor="text1"/>
        </w:rPr>
        <w:t>was collected from a tail cut</w:t>
      </w:r>
      <w:r w:rsidR="004A26F2" w:rsidRPr="006902F6">
        <w:rPr>
          <w:rFonts w:cs="Times New Roman"/>
          <w:color w:val="000000" w:themeColor="text1"/>
        </w:rPr>
        <w:t xml:space="preserve"> </w:t>
      </w:r>
      <w:r w:rsidR="004A26F2">
        <w:rPr>
          <w:rFonts w:cs="Times New Roman"/>
          <w:color w:val="000000" w:themeColor="text1"/>
        </w:rPr>
        <w:t>and blood</w:t>
      </w:r>
      <w:r w:rsidR="00067455" w:rsidRPr="006902F6">
        <w:rPr>
          <w:rFonts w:cs="Times New Roman"/>
          <w:color w:val="000000" w:themeColor="text1"/>
        </w:rPr>
        <w:t xml:space="preserve"> 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(n=14)</w:t>
      </w:r>
      <w:r w:rsidR="00BF4435" w:rsidRPr="006902F6">
        <w:rPr>
          <w:color w:val="000000" w:themeColor="text1"/>
        </w:rPr>
        <w:t xml:space="preserve"> 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given </w:t>
      </w:r>
      <w:r w:rsidR="00637F63">
        <w:rPr>
          <w:color w:val="000000" w:themeColor="text1"/>
        </w:rPr>
        <w:t>access to regular drinking water</w:t>
      </w:r>
      <w:r w:rsidR="0067415E">
        <w:rPr>
          <w:color w:val="000000" w:themeColor="text1"/>
        </w:rPr>
        <w:t xml:space="preserve"> (n=11)</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1D16EF">
        <w:rPr>
          <w:rFonts w:ascii="Calibri" w:hAnsi="Calibri" w:cs="Arial"/>
          <w:color w:val="000000" w:themeColor="text1"/>
          <w:szCs w:val="22"/>
        </w:rPr>
        <w:t>IP</w:t>
      </w:r>
      <w:r w:rsidR="001D16EF" w:rsidRPr="006902F6">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ins w:id="30" w:author="Microsoft Office User" w:date="2017-09-05T16:28:00Z">
        <w:r w:rsidR="008D4D8A">
          <w:rPr>
            <w:rFonts w:ascii="Calibri" w:hAnsi="Calibri" w:cs="Arial"/>
            <w:color w:val="000000" w:themeColor="text1"/>
          </w:rPr>
          <w:t xml:space="preserve">five </w:t>
        </w:r>
      </w:ins>
      <w:del w:id="31" w:author="Microsoft Office User" w:date="2017-09-05T16:28:00Z">
        <w:r w:rsidR="00C86E77" w:rsidRPr="006902F6" w:rsidDel="008D4D8A">
          <w:rPr>
            <w:rFonts w:ascii="Calibri" w:hAnsi="Calibri" w:cs="Arial"/>
            <w:color w:val="000000" w:themeColor="text1"/>
          </w:rPr>
          <w:delText>5</w:delText>
        </w:r>
        <w:r w:rsidR="00D949CB" w:rsidDel="008D4D8A">
          <w:rPr>
            <w:rFonts w:ascii="Calibri" w:hAnsi="Calibri" w:cs="Arial"/>
            <w:color w:val="000000" w:themeColor="text1"/>
          </w:rPr>
          <w:delText>-</w:delText>
        </w:r>
      </w:del>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bookmarkStart w:id="32" w:name="_GoBack"/>
      <w:bookmarkEnd w:id="32"/>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xml:space="preserve"> and counted using a Liquid </w:t>
      </w:r>
      <w:r w:rsidR="00C86E77" w:rsidRPr="006902F6">
        <w:rPr>
          <w:rFonts w:ascii="Calibri" w:hAnsi="Calibri" w:cs="Arial"/>
          <w:color w:val="000000" w:themeColor="text1"/>
        </w:rPr>
        <w:lastRenderedPageBreak/>
        <w:t>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rFonts w:ascii="Calibri" w:hAnsi="Calibri" w:cs="Arial"/>
          <w:color w:val="000000" w:themeColor="text1"/>
        </w:rPr>
      </w:pPr>
    </w:p>
    <w:p w14:paraId="4F2CACF9" w14:textId="069BA588" w:rsidR="00873DCF" w:rsidRPr="006902F6" w:rsidRDefault="00343149" w:rsidP="00873DCF">
      <w:pPr>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ins w:id="33" w:author="Microsoft Office User" w:date="2017-09-05T16:52:00Z">
        <w:r w:rsidR="00CC778F">
          <w:rPr>
            <w:color w:val="000000" w:themeColor="text1"/>
          </w:rPr>
          <w:t xml:space="preserve">Dulbecco’s </w:t>
        </w:r>
      </w:ins>
      <w:ins w:id="34" w:author="Microsoft Office User" w:date="2017-09-05T16:30:00Z">
        <w:r w:rsidR="00CC778F">
          <w:rPr>
            <w:color w:val="000000" w:themeColor="text1"/>
          </w:rPr>
          <w:t>phosphate</w:t>
        </w:r>
      </w:ins>
      <w:ins w:id="35" w:author="Microsoft Office User" w:date="2017-09-05T16:29:00Z">
        <w:r w:rsidR="00870FC0">
          <w:rPr>
            <w:color w:val="000000" w:themeColor="text1"/>
          </w:rPr>
          <w:t>-</w:t>
        </w:r>
      </w:ins>
      <w:ins w:id="36" w:author="Microsoft Office User" w:date="2017-09-05T16:30:00Z">
        <w:r w:rsidR="00870FC0">
          <w:rPr>
            <w:color w:val="000000" w:themeColor="text1"/>
          </w:rPr>
          <w:t>buffer</w:t>
        </w:r>
      </w:ins>
      <w:ins w:id="37" w:author="Microsoft Office User" w:date="2017-09-05T16:51:00Z">
        <w:r w:rsidR="00CC778F">
          <w:rPr>
            <w:color w:val="000000" w:themeColor="text1"/>
          </w:rPr>
          <w:t>e</w:t>
        </w:r>
      </w:ins>
      <w:ins w:id="38" w:author="Microsoft Office User" w:date="2017-09-05T16:30:00Z">
        <w:r w:rsidR="00870FC0">
          <w:rPr>
            <w:color w:val="000000" w:themeColor="text1"/>
          </w:rPr>
          <w:t>d saline</w:t>
        </w:r>
      </w:ins>
      <w:ins w:id="39" w:author="Microsoft Office User" w:date="2017-09-05T16:52:00Z">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ins>
      <w:del w:id="40" w:author="Microsoft Office User" w:date="2017-09-05T16:29:00Z">
        <w:r w:rsidR="00873DCF" w:rsidRPr="006902F6" w:rsidDel="00870FC0">
          <w:rPr>
            <w:color w:val="000000" w:themeColor="text1"/>
          </w:rPr>
          <w:delText>P</w:delText>
        </w:r>
      </w:del>
      <w:del w:id="41" w:author="Microsoft Office User" w:date="2017-09-05T16:30:00Z">
        <w:r w:rsidR="00873DCF" w:rsidRPr="006902F6" w:rsidDel="00870FC0">
          <w:rPr>
            <w:color w:val="000000" w:themeColor="text1"/>
          </w:rPr>
          <w:delText>BS</w:delText>
        </w:r>
      </w:del>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9C4CFA">
      <w:pPr>
        <w:rPr>
          <w:color w:val="000000" w:themeColor="text1"/>
        </w:rPr>
      </w:pPr>
    </w:p>
    <w:p w14:paraId="659E5B2F" w14:textId="0088D689"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del w:id="42" w:author="Microsoft Office User" w:date="2017-09-05T16:30:00Z">
        <w:r w:rsidR="00163A9C" w:rsidRPr="006902F6" w:rsidDel="00870FC0">
          <w:rPr>
            <w:color w:val="000000" w:themeColor="text1"/>
          </w:rPr>
          <w:delText xml:space="preserve"> (NCS)</w:delText>
        </w:r>
      </w:del>
      <w:r w:rsidR="00B90861" w:rsidRPr="006902F6">
        <w:rPr>
          <w:color w:val="000000" w:themeColor="text1"/>
        </w:rPr>
        <w:t>,</w:t>
      </w:r>
      <w:r w:rsidR="00E36D9E" w:rsidRPr="006902F6">
        <w:rPr>
          <w:color w:val="000000" w:themeColor="text1"/>
        </w:rPr>
        <w:t xml:space="preserve"> </w:t>
      </w:r>
      <w:r w:rsidR="00D936C4">
        <w:rPr>
          <w:color w:val="000000" w:themeColor="text1"/>
        </w:rPr>
        <w:t>4.5 g/L</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136CB1">
        <w:rPr>
          <w:color w:val="000000" w:themeColor="text1"/>
        </w:rPr>
        <w:t>,</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 xml:space="preserve">, </w:t>
      </w:r>
      <w:r w:rsidR="00136CB1">
        <w:rPr>
          <w:rFonts w:cs="Helvetica"/>
          <w:color w:val="000000" w:themeColor="text1"/>
        </w:rPr>
        <w:t>in</w:t>
      </w:r>
      <w:r w:rsidR="00B90861" w:rsidRPr="006902F6">
        <w:rPr>
          <w:rFonts w:cs="Helvetica"/>
          <w:color w:val="000000" w:themeColor="text1"/>
        </w:rPr>
        <w:t xml:space="preserve"> high glucose DMEM with 1%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 xml:space="preserve">To assess </w:t>
      </w:r>
      <w:ins w:id="43" w:author="Microsoft Office User" w:date="2017-09-05T16:31:00Z">
        <w:r w:rsidR="00870FC0">
          <w:rPr>
            <w:rFonts w:cs="Helvetica"/>
            <w:color w:val="000000" w:themeColor="text1"/>
          </w:rPr>
          <w:t>markers</w:t>
        </w:r>
      </w:ins>
      <w:del w:id="44" w:author="Microsoft Office User" w:date="2017-09-05T16:31:00Z">
        <w:r w:rsidR="00136CB1" w:rsidDel="00870FC0">
          <w:rPr>
            <w:rFonts w:cs="Helvetica"/>
            <w:color w:val="000000" w:themeColor="text1"/>
          </w:rPr>
          <w:delText>rates</w:delText>
        </w:r>
      </w:del>
      <w:r w:rsidR="00136CB1">
        <w:rPr>
          <w:rFonts w:cs="Helvetica"/>
          <w:color w:val="000000" w:themeColor="text1"/>
        </w:rPr>
        <w:t xml:space="preserve"> of</w:t>
      </w:r>
      <w:r w:rsidR="005B3B55" w:rsidRPr="006902F6">
        <w:rPr>
          <w:rFonts w:cs="Helvetica"/>
          <w:color w:val="000000" w:themeColor="text1"/>
        </w:rPr>
        <w:t xml:space="preserve"> 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51B172EB" w:rsidR="002633D8" w:rsidRPr="006902F6" w:rsidRDefault="002633D8" w:rsidP="009C4CFA">
      <w:pPr>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43698C8C"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11F0C79" w:rsidR="00833B9D" w:rsidRPr="006902F6" w:rsidRDefault="00642BDD" w:rsidP="009C4CFA">
      <w:pPr>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w:t>
      </w:r>
      <w:r w:rsidR="00CD11DF">
        <w:rPr>
          <w:rFonts w:cs="Times New Roman"/>
          <w:color w:val="000000" w:themeColor="text1"/>
        </w:rPr>
        <w:lastRenderedPageBreak/>
        <w:t>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delta </w:t>
      </w:r>
      <w:proofErr w:type="spellStart"/>
      <w:r w:rsidR="00CD11DF">
        <w:rPr>
          <w:rFonts w:cs="Times New Roman"/>
          <w:color w:val="000000" w:themeColor="text1"/>
        </w:rPr>
        <w:t>delta</w:t>
      </w:r>
      <w:proofErr w:type="spellEnd"/>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9C4CFA">
      <w:pPr>
        <w:rPr>
          <w:color w:val="000000" w:themeColor="text1"/>
        </w:rPr>
      </w:pPr>
    </w:p>
    <w:p w14:paraId="77DBC1CE" w14:textId="481228C0" w:rsidR="00642BDD" w:rsidRPr="006902F6" w:rsidRDefault="00642BDD" w:rsidP="009C4CFA">
      <w:pPr>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ins w:id="45" w:author="Microsoft Office User" w:date="2017-09-05T16:58:00Z">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ins>
      <w:r w:rsidR="00ED5C81">
        <w:rPr>
          <w:rFonts w:eastAsia="Times New Roman" w:cs="Times New Roman"/>
          <w:color w:val="000000" w:themeColor="text1"/>
          <w:shd w:val="clear" w:color="auto" w:fill="FFFFFF"/>
        </w:rPr>
        <w:t xml:space="preserve">and </w:t>
      </w:r>
      <w:commentRangeStart w:id="46"/>
      <w:r w:rsidR="00ED5C81">
        <w:rPr>
          <w:rFonts w:eastAsia="Times New Roman" w:cs="Times New Roman"/>
          <w:color w:val="000000" w:themeColor="text1"/>
          <w:shd w:val="clear" w:color="auto" w:fill="FFFFFF"/>
        </w:rPr>
        <w:t>c</w:t>
      </w:r>
      <w:r w:rsidR="00CE26FC" w:rsidRPr="006902F6">
        <w:rPr>
          <w:rFonts w:eastAsia="Times New Roman" w:cs="Times New Roman"/>
          <w:color w:val="000000" w:themeColor="text1"/>
          <w:shd w:val="clear" w:color="auto" w:fill="FFFFFF"/>
        </w:rPr>
        <w:t>larified lysates</w:t>
      </w:r>
      <w:r w:rsidR="008A5431">
        <w:rPr>
          <w:rFonts w:eastAsia="Times New Roman" w:cs="Times New Roman"/>
          <w:color w:val="000000" w:themeColor="text1"/>
          <w:shd w:val="clear" w:color="auto" w:fill="FFFFFF"/>
        </w:rPr>
        <w:t xml:space="preserve"> diluted in </w:t>
      </w:r>
      <w:del w:id="47" w:author="Microsoft Office User" w:date="2017-09-05T16:58:00Z">
        <w:r w:rsidR="0039092F" w:rsidDel="00797D9A">
          <w:rPr>
            <w:rFonts w:eastAsia="Times New Roman" w:cs="Times New Roman"/>
            <w:color w:val="000000" w:themeColor="text1"/>
            <w:shd w:val="clear" w:color="auto" w:fill="FFFFFF"/>
          </w:rPr>
          <w:delText>BME-containing</w:delText>
        </w:r>
        <w:r w:rsidR="008A5431" w:rsidDel="00797D9A">
          <w:rPr>
            <w:rFonts w:eastAsia="Times New Roman" w:cs="Times New Roman"/>
            <w:color w:val="000000" w:themeColor="text1"/>
            <w:shd w:val="clear" w:color="auto" w:fill="FFFFFF"/>
          </w:rPr>
          <w:delText xml:space="preserve"> buffer</w:delText>
        </w:r>
      </w:del>
      <w:ins w:id="48" w:author="Microsoft Office User" w:date="2017-09-05T16:58:00Z">
        <w:r w:rsidR="00797D9A">
          <w:rPr>
            <w:rFonts w:eastAsia="Times New Roman" w:cs="Times New Roman"/>
            <w:color w:val="000000" w:themeColor="text1"/>
            <w:shd w:val="clear" w:color="auto" w:fill="FFFFFF"/>
          </w:rPr>
          <w:t>loading buffer</w:t>
        </w:r>
      </w:ins>
      <w:r w:rsidR="0039092F">
        <w:rPr>
          <w:rFonts w:eastAsia="Times New Roman" w:cs="Times New Roman"/>
          <w:color w:val="000000" w:themeColor="text1"/>
          <w:shd w:val="clear" w:color="auto" w:fill="FFFFFF"/>
        </w:rPr>
        <w:t>.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heated 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 at room temperature</w:t>
      </w:r>
      <w:commentRangeEnd w:id="46"/>
      <w:r w:rsidR="00B3095B">
        <w:rPr>
          <w:rStyle w:val="CommentReference"/>
        </w:rPr>
        <w:commentReference w:id="46"/>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1DF398C" w14:textId="62552CA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333D8F48" w:rsidR="00F0261F" w:rsidRPr="006902F6" w:rsidRDefault="009115EE">
      <w:pPr>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r w:rsidR="007309A3">
        <w:rPr>
          <w:color w:val="000000" w:themeColor="text1"/>
        </w:rPr>
        <w:t>,</w:t>
      </w:r>
      <w:r w:rsidR="004405D4">
        <w:rPr>
          <w:color w:val="000000" w:themeColor="text1"/>
        </w:rPr>
        <w:t xml:space="preserve"> </w:t>
      </w:r>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ins w:id="49" w:author="Microsoft Office User" w:date="2017-09-05T16:39:00Z">
        <w:r w:rsidR="00786101">
          <w:rPr>
            <w:color w:val="000000" w:themeColor="text1"/>
          </w:rPr>
          <w:t xml:space="preserve"> group</w:t>
        </w:r>
      </w:ins>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4405D4">
        <w:rPr>
          <w:bCs/>
          <w:color w:val="000000" w:themeColor="text1"/>
        </w:rPr>
        <w:t>Furthermore, w</w:t>
      </w:r>
      <w:r w:rsidR="00F55C38" w:rsidRPr="006902F6">
        <w:rPr>
          <w:bCs/>
          <w:color w:val="000000" w:themeColor="text1"/>
        </w:rPr>
        <w:t xml:space="preserve">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increase in </w:t>
      </w:r>
      <w:r w:rsidR="005074CE">
        <w:rPr>
          <w:bCs/>
          <w:color w:val="000000" w:themeColor="text1"/>
        </w:rPr>
        <w:t xml:space="preserve">the </w:t>
      </w:r>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386C6C38"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del w:id="50" w:author="Microsoft Office User" w:date="2017-09-05T16:40:00Z">
        <w:r w:rsidR="007E0200" w:rsidRPr="006902F6" w:rsidDel="00BB237E">
          <w:rPr>
            <w:color w:val="000000" w:themeColor="text1"/>
          </w:rPr>
          <w:delText>Control</w:delText>
        </w:r>
      </w:del>
      <w:ins w:id="51" w:author="Microsoft Office User" w:date="2017-09-05T16:40:00Z">
        <w:r w:rsidR="00BB237E">
          <w:rPr>
            <w:color w:val="000000" w:themeColor="text1"/>
          </w:rPr>
          <w:t>Water</w:t>
        </w:r>
      </w:ins>
      <w:r w:rsidR="007E0200" w:rsidRPr="006902F6">
        <w:rPr>
          <w:color w:val="000000" w:themeColor="text1"/>
        </w:rPr>
        <w:t xml:space="preserve">) or treated with glucocorticoids </w:t>
      </w:r>
      <w:r w:rsidR="007E0200" w:rsidRPr="006902F6">
        <w:rPr>
          <w:color w:val="000000" w:themeColor="text1"/>
        </w:rPr>
        <w:lastRenderedPageBreak/>
        <w:t xml:space="preserve">(Dexamethasone).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ins w:id="52" w:author="Microsoft Office User" w:date="2017-09-05T16:42:00Z">
        <w:r w:rsidR="00B96AB4">
          <w:rPr>
            <w:rFonts w:eastAsia="Times New Roman" w:cs="Times New Roman"/>
            <w:color w:val="000000" w:themeColor="text1"/>
            <w:shd w:val="clear" w:color="auto" w:fill="FFFFFF"/>
          </w:rPr>
          <w:t>d</w:t>
        </w:r>
      </w:ins>
      <w:del w:id="53" w:author="Microsoft Office User" w:date="2017-09-05T16:42:00Z">
        <w:r w:rsidR="003145E7" w:rsidRPr="006902F6" w:rsidDel="00B96AB4">
          <w:rPr>
            <w:rFonts w:eastAsia="Times New Roman" w:cs="Times New Roman"/>
            <w:color w:val="000000" w:themeColor="text1"/>
            <w:shd w:val="clear" w:color="auto" w:fill="FFFFFF"/>
          </w:rPr>
          <w:delText>D</w:delText>
        </w:r>
      </w:del>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1B3E0DBC"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del w:id="54" w:author="Microsoft Office User" w:date="2017-09-05T16:53:00Z">
        <w:r w:rsidR="0003545C" w:rsidRPr="006902F6" w:rsidDel="00027D24">
          <w:rPr>
            <w:color w:val="000000" w:themeColor="text1"/>
          </w:rPr>
          <w:delText xml:space="preserve"> </w:delText>
        </w:r>
        <w:r w:rsidR="00DA3579" w:rsidRPr="006902F6" w:rsidDel="00027D24">
          <w:rPr>
            <w:color w:val="000000" w:themeColor="text1"/>
          </w:rPr>
          <w:delText>and</w:delText>
        </w:r>
      </w:del>
      <w:r w:rsidR="00DA3579" w:rsidRPr="006902F6">
        <w:rPr>
          <w:color w:val="000000" w:themeColor="text1"/>
        </w:rPr>
        <w:t xml:space="preserve">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and reductions in lean mass, but no differences in fat mass between the 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turnover rate (Supplementary Figure 1F) were similar between groups.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77A64F4B" w:rsidR="00B63F75" w:rsidRPr="006902F6" w:rsidRDefault="002611CB">
      <w:pPr>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"(2,13)", "plainTextFormattedCitation" : "(2,13)", "previouslyFormattedCitation" : "(2,13)" }, "properties" : { "noteIndex" : 0 }, "schema" : "https://github.com/citation-style-language/schema/raw/master/csl-citation.json" }</w:instrText>
      </w:r>
      <w:r w:rsidR="00C70427" w:rsidRPr="006902F6">
        <w:rPr>
          <w:color w:val="000000" w:themeColor="text1"/>
        </w:rPr>
        <w:fldChar w:fldCharType="separate"/>
      </w:r>
      <w:r w:rsidR="009C426D" w:rsidRPr="009C426D">
        <w:rPr>
          <w:noProof/>
          <w:color w:val="000000" w:themeColor="text1"/>
        </w:rPr>
        <w:t>(2,13)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6FD9467B" w:rsidR="00733364" w:rsidRPr="006902F6" w:rsidRDefault="007D4828">
      <w:pPr>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a significant effect</w:t>
      </w:r>
      <w:r w:rsidR="0086228C" w:rsidRPr="006902F6">
        <w:rPr>
          <w:color w:val="000000" w:themeColor="text1"/>
        </w:rPr>
        <w:t xml:space="preserve"> of diet and drug </w:t>
      </w:r>
      <w:r w:rsidR="0086228C" w:rsidRPr="006902F6">
        <w:rPr>
          <w:color w:val="000000" w:themeColor="text1"/>
        </w:rPr>
        <w:lastRenderedPageBreak/>
        <w:t xml:space="preserve">on </w:t>
      </w:r>
      <w:proofErr w:type="spellStart"/>
      <w:r w:rsidR="0086228C" w:rsidRPr="006902F6">
        <w:rPr>
          <w:i/>
          <w:color w:val="000000" w:themeColor="text1"/>
        </w:rPr>
        <w:t>Fasn</w:t>
      </w:r>
      <w:proofErr w:type="spellEnd"/>
      <w:r w:rsidR="0086228C" w:rsidRPr="006902F6">
        <w:rPr>
          <w:color w:val="000000" w:themeColor="text1"/>
        </w:rPr>
        <w:t xml:space="preserve"> expression (p=0.014)</w:t>
      </w:r>
      <w:r>
        <w:rPr>
          <w:color w:val="000000" w:themeColor="text1"/>
        </w:rPr>
        <w:t>, and alt</w:t>
      </w:r>
      <w:r w:rsidR="0086228C" w:rsidRPr="006902F6">
        <w:rPr>
          <w:color w:val="000000" w:themeColor="text1"/>
        </w:rPr>
        <w:t>hough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r>
        <w:rPr>
          <w:color w:val="000000" w:themeColor="text1"/>
        </w:rPr>
        <w:t>no</w:t>
      </w:r>
      <w:r w:rsidR="005F70A5" w:rsidRPr="006902F6">
        <w:rPr>
          <w:color w:val="000000" w:themeColor="text1"/>
        </w:rPr>
        <w:t xml:space="preserve"> synergism </w:t>
      </w:r>
      <w:r>
        <w:rPr>
          <w:color w:val="000000" w:themeColor="text1"/>
        </w:rPr>
        <w:t xml:space="preserve">in expression levels was observed </w:t>
      </w:r>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6FBD9FFA" w:rsidR="00733364" w:rsidRPr="006902F6" w:rsidRDefault="00222D60">
      <w:pPr>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7B55F7">
        <w:rPr>
          <w:color w:val="000000" w:themeColor="text1"/>
        </w:rPr>
        <w:t>measured</w:t>
      </w:r>
      <w:r w:rsidR="007B55F7" w:rsidRPr="006902F6">
        <w:rPr>
          <w:color w:val="000000" w:themeColor="text1"/>
        </w:rPr>
        <w:t xml:space="preserve"> </w:t>
      </w:r>
      <w:r w:rsidR="00B55664">
        <w:rPr>
          <w:color w:val="000000" w:themeColor="text1"/>
        </w:rPr>
        <w:t>fat mass</w:t>
      </w:r>
      <w:r w:rsidRPr="006902F6">
        <w:rPr>
          <w:color w:val="000000" w:themeColor="text1"/>
        </w:rPr>
        <w:t xml:space="preserve"> </w:t>
      </w:r>
      <w:r w:rsidR="00035700" w:rsidRPr="006902F6">
        <w:rPr>
          <w:color w:val="000000" w:themeColor="text1"/>
        </w:rPr>
        <w:t xml:space="preserve">via </w:t>
      </w:r>
      <w:proofErr w:type="spellStart"/>
      <w:r w:rsidR="00035700" w:rsidRPr="006902F6">
        <w:rPr>
          <w:color w:val="000000" w:themeColor="text1"/>
        </w:rPr>
        <w:t>EchoMRI</w:t>
      </w:r>
      <w:proofErr w:type="spellEnd"/>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 xml:space="preserve">(59% reduced) </w:t>
      </w:r>
      <w:r w:rsidR="003A6B88">
        <w:rPr>
          <w:color w:val="000000" w:themeColor="text1"/>
        </w:rPr>
        <w:t xml:space="preserve">at the end of the study </w:t>
      </w:r>
      <w:r w:rsidR="00C902E7">
        <w:rPr>
          <w:color w:val="000000" w:themeColor="text1"/>
        </w:rPr>
        <w:t>in</w:t>
      </w:r>
      <w:r w:rsidR="00C902E7" w:rsidRPr="006902F6">
        <w:rPr>
          <w:color w:val="000000" w:themeColor="text1"/>
        </w:rPr>
        <w:t xml:space="preserve"> </w:t>
      </w:r>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r w:rsidR="000E75DF" w:rsidRPr="006902F6">
        <w:rPr>
          <w:color w:val="000000" w:themeColor="text1"/>
        </w:rPr>
        <w:t>)</w:t>
      </w:r>
      <w:r w:rsidR="00C902E7">
        <w:rPr>
          <w:color w:val="000000" w:themeColor="text1"/>
        </w:rPr>
        <w:t>, we compared food intake between 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 animals ate slightly more food, even though they lost substantial fat mass throughout the study (11% increase, p=0.032).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75008670"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directly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641709AC"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lastRenderedPageBreak/>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A1028">
        <w:rPr>
          <w:color w:val="000000" w:themeColor="text1"/>
        </w:rPr>
        <w:t>Twelve weeks of 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A03EA99" w:rsidR="00472706" w:rsidRPr="006902F6" w:rsidRDefault="00271BB3">
      <w:pPr>
        <w:rPr>
          <w:color w:val="000000" w:themeColor="text1"/>
        </w:rPr>
      </w:pPr>
      <w:r w:rsidRPr="006902F6">
        <w:rPr>
          <w:color w:val="000000" w:themeColor="text1"/>
        </w:rPr>
        <w:t xml:space="preserve">Since the HFD-fed, dexamethasone-treated mice </w:t>
      </w:r>
      <w:r w:rsidR="007A03AD">
        <w:rPr>
          <w:color w:val="000000" w:themeColor="text1"/>
        </w:rPr>
        <w:t>have more</w:t>
      </w:r>
      <w:r w:rsidRPr="006902F6">
        <w:rPr>
          <w:color w:val="000000" w:themeColor="text1"/>
        </w:rPr>
        <w:t xml:space="preserve"> severe insulin resistance and hepatic lipid accumulation</w:t>
      </w:r>
      <w:r w:rsidR="007A03AD">
        <w:rPr>
          <w:color w:val="000000" w:themeColor="text1"/>
        </w:rPr>
        <w:t xml:space="preserve"> than the chow fed mice</w:t>
      </w:r>
      <w:r w:rsidRPr="006902F6">
        <w:rPr>
          <w:color w:val="000000" w:themeColor="text1"/>
        </w:rPr>
        <w:t xml:space="preserve">, we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6E4F40" w:rsidRPr="006902F6">
        <w:rPr>
          <w:color w:val="000000" w:themeColor="text1"/>
        </w:rPr>
        <w:t>following a 16-hour fast (Figure 5A)</w:t>
      </w:r>
      <w:r w:rsidR="007A03AD">
        <w:rPr>
          <w:color w:val="000000" w:themeColor="text1"/>
        </w:rPr>
        <w:t xml:space="preserve"> </w:t>
      </w:r>
      <w:r w:rsidR="000F63EF">
        <w:rPr>
          <w:color w:val="000000" w:themeColor="text1"/>
        </w:rPr>
        <w:t>as a surrogate measure of</w:t>
      </w:r>
      <w:r w:rsidR="007A03AD">
        <w:rPr>
          <w:color w:val="000000" w:themeColor="text1"/>
        </w:rPr>
        <w:t xml:space="preserve"> lipolysis</w:t>
      </w:r>
      <w:r w:rsidR="006E4F40" w:rsidRPr="006902F6">
        <w:rPr>
          <w:color w:val="000000" w:themeColor="text1"/>
        </w:rPr>
        <w:t>.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 xml:space="preserve">by </w:t>
      </w:r>
      <w:r w:rsidR="002B5DCB">
        <w:rPr>
          <w:color w:val="000000" w:themeColor="text1"/>
        </w:rPr>
        <w:t>6 week</w:t>
      </w:r>
      <w:r w:rsidR="00BA1028">
        <w:rPr>
          <w:color w:val="000000" w:themeColor="text1"/>
        </w:rPr>
        <w:t xml:space="preserve">s of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mice. </w:t>
      </w:r>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then asked if the increase in </w:t>
      </w:r>
      <w:proofErr w:type="spellStart"/>
      <w:r w:rsidR="000F63EF">
        <w:rPr>
          <w:color w:val="000000" w:themeColor="text1"/>
        </w:rPr>
        <w:t>lipolytic</w:t>
      </w:r>
      <w:proofErr w:type="spellEnd"/>
      <w:r w:rsidR="000F63EF">
        <w:rPr>
          <w:color w:val="000000" w:themeColor="text1"/>
        </w:rPr>
        <w:t xml:space="preserve"> metabolites 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water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 in the obese setting and</w:t>
      </w:r>
      <w:r w:rsidR="00B65C0D">
        <w:rPr>
          <w:color w:val="000000" w:themeColor="text1"/>
        </w:rPr>
        <w:t xml:space="preserve"> </w:t>
      </w:r>
      <w:r w:rsidR="00517A7B">
        <w:rPr>
          <w:color w:val="000000" w:themeColor="text1"/>
        </w:rPr>
        <w:t xml:space="preserve">likely </w:t>
      </w:r>
      <w:r w:rsidR="00B65C0D">
        <w:rPr>
          <w:color w:val="000000" w:themeColor="text1"/>
        </w:rPr>
        <w:t xml:space="preserve">attenuates </w:t>
      </w:r>
      <w:r w:rsidR="00F97B10">
        <w:rPr>
          <w:color w:val="000000" w:themeColor="text1"/>
        </w:rPr>
        <w:t>the suppressive effects of insulin.</w:t>
      </w:r>
    </w:p>
    <w:p w14:paraId="3CA18E0C" w14:textId="77777777" w:rsidR="00EA22A1" w:rsidRPr="006902F6" w:rsidRDefault="00EA22A1">
      <w:pPr>
        <w:rPr>
          <w:color w:val="000000" w:themeColor="text1"/>
        </w:rPr>
      </w:pPr>
    </w:p>
    <w:p w14:paraId="5E9492F1" w14:textId="5CE79332" w:rsidR="00210C84" w:rsidRPr="006902F6" w:rsidRDefault="00EA22A1" w:rsidP="00EA22A1">
      <w:pPr>
        <w:rPr>
          <w:color w:val="000000" w:themeColor="text1"/>
        </w:rPr>
      </w:pPr>
      <w:r w:rsidRPr="006902F6">
        <w:rPr>
          <w:color w:val="000000" w:themeColor="text1"/>
        </w:rPr>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2E544F">
        <w:rPr>
          <w:color w:val="000000" w:themeColor="text1"/>
        </w:rPr>
        <w:t xml:space="preserve"> for the interaction</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6B0BE3FD" w14:textId="1D919163"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980A1E">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"(4,5)", "plainTextFormattedCitation" : "(4,5)", "previouslyFormattedCitation" : "(4,5)"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(4,5)</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 NAFLD</w:t>
      </w:r>
      <w:r w:rsidR="007E5C4E" w:rsidRPr="006902F6">
        <w:rPr>
          <w:color w:val="000000" w:themeColor="text1"/>
        </w:rPr>
        <w:t xml:space="preserve"> </w:t>
      </w:r>
      <w:r w:rsidR="00E67369" w:rsidRPr="006902F6">
        <w:rPr>
          <w:color w:val="000000" w:themeColor="text1"/>
        </w:rPr>
        <w:fldChar w:fldCharType="begin" w:fldLock="1"/>
      </w:r>
      <w:r w:rsidR="00980A1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"(2,3)", "plainTextFormattedCitation" : "(2,3)", "previouslyFormattedCitation" : "(2,3)" }, "properties" : { "noteIndex" : 0 }, "schema" : "https://github.com/citation-style-language/schema/raw/master/csl-citation.json" }</w:instrText>
      </w:r>
      <w:r w:rsidR="00E67369" w:rsidRPr="006902F6">
        <w:rPr>
          <w:color w:val="000000" w:themeColor="text1"/>
        </w:rPr>
        <w:fldChar w:fldCharType="separate"/>
      </w:r>
      <w:r w:rsidR="00831691" w:rsidRPr="00831691">
        <w:rPr>
          <w:noProof/>
          <w:color w:val="000000" w:themeColor="text1"/>
        </w:rPr>
        <w:t>(2,3)</w:t>
      </w:r>
      <w:r w:rsidR="00E67369" w:rsidRPr="006902F6">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5D434CBE" w14:textId="77777777" w:rsidR="00DB62D5" w:rsidRPr="006902F6" w:rsidRDefault="00DB62D5" w:rsidP="00EA22A1">
      <w:pPr>
        <w:rPr>
          <w:color w:val="000000" w:themeColor="text1"/>
        </w:rPr>
      </w:pPr>
    </w:p>
    <w:p w14:paraId="6231B4BB" w14:textId="73BC376C" w:rsidR="00990237" w:rsidRDefault="00C1438E" w:rsidP="00EA22A1">
      <w:pPr>
        <w:rPr>
          <w:color w:val="000000" w:themeColor="text1"/>
        </w:rPr>
      </w:pPr>
      <w:r>
        <w:rPr>
          <w:color w:val="000000" w:themeColor="text1"/>
        </w:rPr>
        <w:t xml:space="preserve">We </w:t>
      </w:r>
      <w:r w:rsidR="00990237">
        <w:rPr>
          <w:color w:val="000000" w:themeColor="text1"/>
        </w:rPr>
        <w:t>found that</w:t>
      </w:r>
      <w:r>
        <w:rPr>
          <w:color w:val="000000" w:themeColor="text1"/>
        </w:rPr>
        <w:t xml:space="preserve"> o</w:t>
      </w:r>
      <w:r w:rsidR="00830B0C" w:rsidRPr="006902F6">
        <w:rPr>
          <w:color w:val="000000" w:themeColor="text1"/>
        </w:rPr>
        <w:t>bese patients with Cushing’s disease</w:t>
      </w:r>
      <w:r w:rsidR="000568A8">
        <w:rPr>
          <w:color w:val="000000" w:themeColor="text1"/>
        </w:rPr>
        <w:t xml:space="preserve"> have higher waist circumference</w:t>
      </w:r>
      <w:r w:rsidR="00D72260">
        <w:rPr>
          <w:color w:val="000000" w:themeColor="text1"/>
        </w:rPr>
        <w:t xml:space="preserve"> (data not shown), indicative of central adiposity, and</w:t>
      </w:r>
      <w:r w:rsidR="00830B0C" w:rsidRPr="006902F6">
        <w:rPr>
          <w:color w:val="000000" w:themeColor="text1"/>
        </w:rPr>
        <w:t xml:space="preserve"> have a </w:t>
      </w:r>
      <w:r w:rsidR="00922899" w:rsidRPr="006902F6">
        <w:rPr>
          <w:color w:val="000000" w:themeColor="text1"/>
        </w:rPr>
        <w:t>t</w:t>
      </w:r>
      <w:r w:rsidR="00922899">
        <w:rPr>
          <w:color w:val="000000" w:themeColor="text1"/>
        </w:rPr>
        <w:t xml:space="preserve">endency for </w:t>
      </w:r>
      <w:r w:rsidR="00830B0C" w:rsidRPr="006902F6">
        <w:rPr>
          <w:color w:val="000000" w:themeColor="text1"/>
        </w:rPr>
        <w:t xml:space="preserve">increases in HOMA-IR score, </w:t>
      </w:r>
      <w:r>
        <w:rPr>
          <w:color w:val="000000" w:themeColor="text1"/>
        </w:rPr>
        <w:t>suggesting</w:t>
      </w:r>
      <w:r w:rsidRPr="006902F6">
        <w:rPr>
          <w:color w:val="000000" w:themeColor="text1"/>
        </w:rPr>
        <w:t xml:space="preserve"> </w:t>
      </w:r>
      <w:r w:rsidR="00830B0C" w:rsidRPr="006902F6">
        <w:rPr>
          <w:color w:val="000000" w:themeColor="text1"/>
        </w:rPr>
        <w:t>increased insulin resistance</w:t>
      </w:r>
      <w:r w:rsidR="00AA389B">
        <w:rPr>
          <w:color w:val="000000" w:themeColor="text1"/>
        </w:rPr>
        <w:t>.</w:t>
      </w:r>
      <w:r>
        <w:rPr>
          <w:color w:val="000000" w:themeColor="text1"/>
        </w:rPr>
        <w:t xml:space="preserve"> </w:t>
      </w:r>
      <w:r w:rsidR="0060766B">
        <w:rPr>
          <w:color w:val="000000" w:themeColor="text1"/>
        </w:rPr>
        <w:t>Additionally, we</w:t>
      </w:r>
      <w:r w:rsidR="000927D9">
        <w:rPr>
          <w:color w:val="000000" w:themeColor="text1"/>
        </w:rPr>
        <w:t xml:space="preserve"> observed</w:t>
      </w:r>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r w:rsidR="00A512EC" w:rsidRPr="006902F6">
        <w:rPr>
          <w:color w:val="000000" w:themeColor="text1"/>
        </w:rPr>
        <w:t>increase</w:t>
      </w:r>
      <w:r w:rsidR="00A512EC">
        <w:rPr>
          <w:color w:val="000000" w:themeColor="text1"/>
        </w:rPr>
        <w:t>s</w:t>
      </w:r>
      <w:r w:rsidR="00A512EC" w:rsidRPr="006902F6">
        <w:rPr>
          <w:color w:val="000000" w:themeColor="text1"/>
        </w:rPr>
        <w:t xml:space="preserve"> </w:t>
      </w:r>
      <w:r w:rsidR="00990237">
        <w:rPr>
          <w:color w:val="000000" w:themeColor="text1"/>
        </w:rPr>
        <w:t xml:space="preserve">in </w:t>
      </w:r>
      <w:r w:rsidR="00010E41" w:rsidRPr="006902F6">
        <w:rPr>
          <w:color w:val="000000" w:themeColor="text1"/>
        </w:rPr>
        <w:t>central adiposity</w:t>
      </w:r>
      <w:r w:rsidR="003323CB" w:rsidRPr="006902F6">
        <w:rPr>
          <w:color w:val="000000" w:themeColor="text1"/>
        </w:rPr>
        <w:t xml:space="preserve">, </w:t>
      </w:r>
      <w:r w:rsidR="004365F5">
        <w:rPr>
          <w:color w:val="000000" w:themeColor="text1"/>
        </w:rPr>
        <w:t>as is</w:t>
      </w:r>
      <w:r w:rsidR="003323CB" w:rsidRPr="006902F6">
        <w:rPr>
          <w:color w:val="000000" w:themeColor="text1"/>
        </w:rPr>
        <w:t xml:space="preserve"> </w:t>
      </w:r>
      <w:r w:rsidR="00954EF7">
        <w:rPr>
          <w:color w:val="000000" w:themeColor="text1"/>
        </w:rPr>
        <w:lastRenderedPageBreak/>
        <w:t>frequently observed</w:t>
      </w:r>
      <w:r w:rsidR="003323CB" w:rsidRPr="006902F6">
        <w:rPr>
          <w:color w:val="000000" w:themeColor="text1"/>
        </w:rPr>
        <w:t xml:space="preserve"> in </w:t>
      </w:r>
      <w:r w:rsidR="00A06D11" w:rsidRPr="006902F6">
        <w:rPr>
          <w:color w:val="000000" w:themeColor="text1"/>
        </w:rPr>
        <w:t>people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831691">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"(46)"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831691">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"(25,47)"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p>
    <w:p w14:paraId="2412D18E" w14:textId="77777777" w:rsidR="00990237" w:rsidRDefault="00990237" w:rsidP="00EA22A1">
      <w:pPr>
        <w:rPr>
          <w:color w:val="000000" w:themeColor="text1"/>
        </w:rPr>
      </w:pPr>
    </w:p>
    <w:p w14:paraId="34AF8A1F" w14:textId="69D35B32" w:rsidR="00830B0C" w:rsidRPr="006902F6" w:rsidRDefault="00C1438E" w:rsidP="00EA22A1">
      <w:pPr>
        <w:rPr>
          <w:color w:val="000000" w:themeColor="text1"/>
        </w:rPr>
      </w:pPr>
      <w:r>
        <w:rPr>
          <w:color w:val="000000" w:themeColor="text1"/>
        </w:rPr>
        <w:t>T</w:t>
      </w:r>
      <w:r w:rsidR="00A06D11" w:rsidRPr="006902F6">
        <w:rPr>
          <w:color w:val="000000" w:themeColor="text1"/>
        </w:rPr>
        <w:t xml:space="preserve">here are two limitations to </w:t>
      </w:r>
      <w:r w:rsidRPr="006902F6">
        <w:rPr>
          <w:color w:val="000000" w:themeColor="text1"/>
        </w:rPr>
        <w:t>th</w:t>
      </w:r>
      <w:r>
        <w:rPr>
          <w:color w:val="000000" w:themeColor="text1"/>
        </w:rPr>
        <w:t>ese</w:t>
      </w:r>
      <w:r w:rsidRPr="006902F6">
        <w:rPr>
          <w:color w:val="000000" w:themeColor="text1"/>
        </w:rPr>
        <w:t xml:space="preserve"> </w:t>
      </w:r>
      <w:r>
        <w:rPr>
          <w:color w:val="000000" w:themeColor="text1"/>
        </w:rPr>
        <w:t>interpretations:</w:t>
      </w:r>
      <w:r w:rsidR="00990237">
        <w:rPr>
          <w:color w:val="000000" w:themeColor="text1"/>
        </w:rPr>
        <w:t xml:space="preserve"> </w:t>
      </w:r>
      <w:r w:rsidR="00A06D11" w:rsidRPr="006902F6">
        <w:rPr>
          <w:color w:val="000000" w:themeColor="text1"/>
        </w:rPr>
        <w:t>one is the small sample size</w:t>
      </w:r>
      <w:r>
        <w:rPr>
          <w:color w:val="000000" w:themeColor="text1"/>
        </w:rPr>
        <w:t>,</w:t>
      </w:r>
      <w:r w:rsidR="00A06D11" w:rsidRPr="006902F6">
        <w:rPr>
          <w:color w:val="000000" w:themeColor="text1"/>
        </w:rPr>
        <w:t xml:space="preserve"> and </w:t>
      </w:r>
      <w:r>
        <w:rPr>
          <w:color w:val="000000" w:themeColor="text1"/>
        </w:rPr>
        <w:t xml:space="preserve">two, </w:t>
      </w:r>
      <w:r w:rsidR="00A06D11" w:rsidRPr="006902F6">
        <w:rPr>
          <w:color w:val="000000" w:themeColor="text1"/>
        </w:rPr>
        <w:t xml:space="preserve">that </w:t>
      </w:r>
      <w:r w:rsidR="00830B0C" w:rsidRPr="006902F6">
        <w:rPr>
          <w:color w:val="000000" w:themeColor="text1"/>
        </w:rPr>
        <w:t xml:space="preserve">it </w:t>
      </w:r>
      <w:r>
        <w:rPr>
          <w:color w:val="000000" w:themeColor="text1"/>
        </w:rPr>
        <w:t>i</w:t>
      </w:r>
      <w:r w:rsidRPr="006902F6">
        <w:rPr>
          <w:color w:val="000000" w:themeColor="text1"/>
        </w:rPr>
        <w:t xml:space="preserve">s </w:t>
      </w:r>
      <w:r w:rsidR="00A06D11" w:rsidRPr="006902F6">
        <w:rPr>
          <w:color w:val="000000" w:themeColor="text1"/>
        </w:rPr>
        <w:t xml:space="preserve">not </w:t>
      </w:r>
      <w:r w:rsidR="00830B0C" w:rsidRPr="006902F6">
        <w:rPr>
          <w:color w:val="000000" w:themeColor="text1"/>
        </w:rPr>
        <w:t xml:space="preserve">possible to determine the physiological status of </w:t>
      </w:r>
      <w:r>
        <w:rPr>
          <w:color w:val="000000" w:themeColor="text1"/>
        </w:rPr>
        <w:t>Cushing’s</w:t>
      </w:r>
      <w:r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Pr>
          <w:color w:val="000000" w:themeColor="text1"/>
        </w:rPr>
        <w:t>To address the question of whether the obese state mod</w:t>
      </w:r>
      <w:r w:rsidR="009402FD">
        <w:rPr>
          <w:color w:val="000000" w:themeColor="text1"/>
        </w:rPr>
        <w:t>ulates</w:t>
      </w:r>
      <w:r>
        <w:rPr>
          <w:color w:val="000000" w:themeColor="text1"/>
        </w:rPr>
        <w:t xml:space="preserve"> the effects of glucocorticoid excess</w:t>
      </w:r>
      <w:r w:rsidR="0034365F" w:rsidRPr="006902F6">
        <w:rPr>
          <w:color w:val="000000" w:themeColor="text1"/>
        </w:rPr>
        <w:t>, we designed mouse stud</w:t>
      </w:r>
      <w:r w:rsidR="009402FD">
        <w:rPr>
          <w:color w:val="000000" w:themeColor="text1"/>
        </w:rPr>
        <w:t>ies</w:t>
      </w:r>
      <w:r w:rsidR="0034365F" w:rsidRPr="006902F6">
        <w:rPr>
          <w:color w:val="000000" w:themeColor="text1"/>
        </w:rPr>
        <w:t xml:space="preserve"> </w:t>
      </w:r>
      <w:r w:rsidR="009402FD">
        <w:rPr>
          <w:color w:val="000000" w:themeColor="text1"/>
        </w:rPr>
        <w:t>that assess the metabolic outcomes frequently associated with both obesity and exposure to elevated glucocorticoid concentrations.</w:t>
      </w:r>
    </w:p>
    <w:p w14:paraId="4D52A97E" w14:textId="77777777" w:rsidR="00830B0C" w:rsidRPr="006902F6" w:rsidRDefault="00830B0C" w:rsidP="00EA22A1">
      <w:pPr>
        <w:rPr>
          <w:color w:val="000000" w:themeColor="text1"/>
        </w:rPr>
      </w:pPr>
    </w:p>
    <w:p w14:paraId="7FCCABF5" w14:textId="1872B9EC"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4B3A2E">
        <w:rPr>
          <w:color w:val="000000" w:themeColor="text1"/>
        </w:rPr>
        <w:t>HFD and dexamethasone also led to s</w:t>
      </w:r>
      <w:r w:rsidR="007B76B7" w:rsidRPr="006902F6">
        <w:rPr>
          <w:color w:val="000000" w:themeColor="text1"/>
        </w:rPr>
        <w:t>ignificant elevations in liver fat,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831691">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"(48,49)"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9C426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"(13,14)", "plainTextFormattedCitation" : "(13,14)", "previouslyFormattedCitation" : "(13,14)" }, "properties" : { "noteIndex" : 0 }, "schema" : "https://github.com/citation-style-language/schema/raw/master/csl-citation.json" }</w:instrText>
      </w:r>
      <w:r w:rsidR="009672A8" w:rsidRPr="006902F6">
        <w:rPr>
          <w:color w:val="000000" w:themeColor="text1"/>
        </w:rPr>
        <w:fldChar w:fldCharType="separate"/>
      </w:r>
      <w:r w:rsidR="00980A1E" w:rsidRPr="00980A1E">
        <w:rPr>
          <w:noProof/>
          <w:color w:val="000000" w:themeColor="text1"/>
        </w:rPr>
        <w:t>(13,14)</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831691">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"(50)"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r w:rsidR="004B3A2E">
        <w:rPr>
          <w:color w:val="000000" w:themeColor="text1"/>
        </w:rPr>
        <w:t xml:space="preserve">the </w:t>
      </w:r>
      <w:r w:rsidR="00DD765C">
        <w:rPr>
          <w:color w:val="000000" w:themeColor="text1"/>
        </w:rPr>
        <w:t>major mechanism behind</w:t>
      </w:r>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7EDB0064"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831691">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"(51\u201354)"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831691">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"(53,54)"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831691">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"(25,31)"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r w:rsidR="004B3A2E">
        <w:rPr>
          <w:color w:val="000000" w:themeColor="text1"/>
        </w:rPr>
        <w:t>that</w:t>
      </w:r>
      <w:r w:rsidR="00FE35A0" w:rsidRPr="006902F6">
        <w:rPr>
          <w:color w:val="000000" w:themeColor="text1"/>
        </w:rPr>
        <w:t xml:space="preserve"> it is enhanced in the obese state </w:t>
      </w:r>
      <w:r w:rsidR="00FE35A0" w:rsidRPr="006902F6">
        <w:rPr>
          <w:color w:val="000000" w:themeColor="text1"/>
        </w:rPr>
        <w:fldChar w:fldCharType="begin" w:fldLock="1"/>
      </w:r>
      <w:r w:rsidR="00831691">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mice.</w:t>
      </w:r>
      <w:r w:rsidR="00521ABA">
        <w:rPr>
          <w:color w:val="000000" w:themeColor="text1"/>
        </w:rPr>
        <w:t xml:space="preserve"> </w:t>
      </w:r>
    </w:p>
    <w:p w14:paraId="29829940" w14:textId="77777777" w:rsidR="00CD6325" w:rsidRPr="006902F6" w:rsidRDefault="00CD6325" w:rsidP="00EA22A1">
      <w:pPr>
        <w:rPr>
          <w:color w:val="000000" w:themeColor="text1"/>
        </w:rPr>
      </w:pPr>
    </w:p>
    <w:p w14:paraId="1CD3293E" w14:textId="718D86C0"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831691">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"(56)"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831691">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"(57)"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831691">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"(35,58,59)"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 xml:space="preserve">The mechanisms by which obesity and </w:t>
      </w:r>
      <w:r w:rsidRPr="006902F6">
        <w:rPr>
          <w:color w:val="000000" w:themeColor="text1"/>
        </w:rPr>
        <w:lastRenderedPageBreak/>
        <w:t>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1FD1BCA3"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9C426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"(15,16,60)", "plainTextFormattedCitation" : "(15,16,60)", "previouslyFormattedCitation" : "(15,16,60)" }, "properties" : { "noteIndex" : 0 }, "schema" : "https://github.com/citation-style-language/schema/raw/master/csl-citation.json" }</w:instrText>
      </w:r>
      <w:r w:rsidR="00022845" w:rsidRPr="006902F6">
        <w:rPr>
          <w:color w:val="000000" w:themeColor="text1"/>
        </w:rPr>
        <w:fldChar w:fldCharType="separate"/>
      </w:r>
      <w:r w:rsidR="00980A1E" w:rsidRPr="00980A1E">
        <w:rPr>
          <w:noProof/>
          <w:color w:val="000000" w:themeColor="text1"/>
        </w:rPr>
        <w:t>(15,16,60)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20CE221C"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are </w:t>
      </w:r>
      <w:r w:rsidR="0015242A" w:rsidRPr="006902F6">
        <w:rPr>
          <w:color w:val="000000" w:themeColor="text1"/>
        </w:rPr>
        <w:t xml:space="preserve">a huge number of obese individuals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F45451">
        <w:rPr>
          <w:color w:val="000000" w:themeColor="text1"/>
        </w:rPr>
        <w:t>should</w:t>
      </w:r>
      <w:r w:rsidR="00F45451"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 xml:space="preserve">. </w:t>
      </w:r>
      <w:r w:rsidR="00F45451">
        <w:rPr>
          <w:color w:val="000000" w:themeColor="text1"/>
        </w:rPr>
        <w:t>Future studies will</w:t>
      </w:r>
      <w:r w:rsidR="009C5B00" w:rsidRPr="006902F6">
        <w:rPr>
          <w:color w:val="000000" w:themeColor="text1"/>
        </w:rPr>
        <w:t xml:space="preserve"> </w:t>
      </w:r>
      <w:r w:rsidR="00F45451">
        <w:rPr>
          <w:color w:val="000000" w:themeColor="text1"/>
        </w:rPr>
        <w:t>determine</w:t>
      </w:r>
      <w:r w:rsidR="00F45451" w:rsidRPr="006902F6">
        <w:rPr>
          <w:color w:val="000000" w:themeColor="text1"/>
        </w:rPr>
        <w:t xml:space="preserve"> </w:t>
      </w:r>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r w:rsidR="00F45451">
        <w:rPr>
          <w:color w:val="000000" w:themeColor="text1"/>
        </w:rPr>
        <w:t>is</w:t>
      </w:r>
      <w:r w:rsidR="009C5B00" w:rsidRPr="006902F6">
        <w:rPr>
          <w:color w:val="000000" w:themeColor="text1"/>
        </w:rPr>
        <w:t xml:space="preserve"> beneficial </w:t>
      </w:r>
      <w:r w:rsidR="00F45451">
        <w:rPr>
          <w:color w:val="000000" w:themeColor="text1"/>
        </w:rPr>
        <w:t>for</w:t>
      </w:r>
      <w:r w:rsidR="00F45451" w:rsidRPr="006902F6">
        <w:rPr>
          <w:color w:val="000000" w:themeColor="text1"/>
        </w:rPr>
        <w:t xml:space="preserve"> </w:t>
      </w:r>
      <w:r w:rsidR="009C5B00" w:rsidRPr="006902F6">
        <w:rPr>
          <w:color w:val="000000" w:themeColor="text1"/>
        </w:rPr>
        <w:t>prevent</w:t>
      </w:r>
      <w:r w:rsidR="00F45451">
        <w:rPr>
          <w:color w:val="000000" w:themeColor="text1"/>
        </w:rPr>
        <w:t>ing</w:t>
      </w:r>
      <w:r w:rsidR="009C5B00" w:rsidRPr="006902F6">
        <w:rPr>
          <w:color w:val="000000" w:themeColor="text1"/>
        </w:rPr>
        <w:t xml:space="preserve"> or enhanc</w:t>
      </w:r>
      <w:r w:rsidR="00F45451">
        <w:rPr>
          <w:color w:val="000000" w:themeColor="text1"/>
        </w:rPr>
        <w:t>ing</w:t>
      </w:r>
      <w:r w:rsidR="009C5B00" w:rsidRPr="006902F6">
        <w:rPr>
          <w:color w:val="000000" w:themeColor="text1"/>
        </w:rPr>
        <w:t xml:space="preserve"> recovery </w:t>
      </w:r>
      <w:r w:rsidR="00F45451">
        <w:rPr>
          <w:color w:val="000000" w:themeColor="text1"/>
        </w:rPr>
        <w:t>from</w:t>
      </w:r>
      <w:r w:rsidR="00F45451" w:rsidRPr="006902F6">
        <w:rPr>
          <w:color w:val="000000" w:themeColor="text1"/>
        </w:rPr>
        <w:t xml:space="preserve"> </w:t>
      </w:r>
      <w:r w:rsidR="009C5B00" w:rsidRPr="006902F6">
        <w:rPr>
          <w:color w:val="000000" w:themeColor="text1"/>
        </w:rPr>
        <w:t xml:space="preserve">glucocorticoid-induced </w:t>
      </w:r>
      <w:r w:rsidR="00F45451">
        <w:rPr>
          <w:color w:val="000000" w:themeColor="text1"/>
        </w:rPr>
        <w:t>metabolic disturbances</w:t>
      </w:r>
      <w:r w:rsidR="003A5D40">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7B1DF7EF"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r w:rsidR="000B4772" w:rsidRPr="00015EDD">
        <w:rPr>
          <w:bCs/>
          <w:color w:val="000000" w:themeColor="text1"/>
        </w:rPr>
        <w:t xml:space="preserve">Erin Stephenson is </w:t>
      </w:r>
      <w:r w:rsidR="00015EDD">
        <w:rPr>
          <w:bCs/>
          <w:color w:val="000000" w:themeColor="text1"/>
        </w:rPr>
        <w:t>partially</w:t>
      </w:r>
      <w:r w:rsidR="000B4772" w:rsidRPr="00015EDD">
        <w:rPr>
          <w:bCs/>
          <w:color w:val="000000" w:themeColor="text1"/>
        </w:rPr>
        <w:t xml:space="preserve"> supported by funding</w:t>
      </w:r>
      <w:r w:rsidR="00015EDD">
        <w:rPr>
          <w:bCs/>
          <w:color w:val="000000" w:themeColor="text1"/>
        </w:rPr>
        <w:t xml:space="preserve"> from</w:t>
      </w:r>
      <w:r w:rsidR="000B4772" w:rsidRPr="00015EDD">
        <w:rPr>
          <w:bCs/>
          <w:color w:val="000000" w:themeColor="text1"/>
        </w:rPr>
        <w:t xml:space="preserve"> </w:t>
      </w:r>
      <w:r w:rsidR="00015EDD" w:rsidRPr="004B46F2">
        <w:rPr>
          <w:rFonts w:cs="Times"/>
          <w:bCs/>
        </w:rPr>
        <w:t>Le Bonheur Children’s Hospital, the Children’s Foundation Research Institute and</w:t>
      </w:r>
      <w:r w:rsidR="009C426D">
        <w:rPr>
          <w:rFonts w:cs="Times"/>
          <w:bCs/>
        </w:rPr>
        <w:t xml:space="preserve"> the Le Bonheur Associate Board</w:t>
      </w:r>
      <w:r w:rsidR="000B4772">
        <w:rPr>
          <w:bCs/>
          <w:color w:val="000000" w:themeColor="text1"/>
        </w:rPr>
        <w:t xml:space="preserve">. </w:t>
      </w:r>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AE7586D" w14:textId="164576FA" w:rsidR="009C426D" w:rsidRPr="00FF4BE1" w:rsidRDefault="000A7B51" w:rsidP="009C426D">
      <w:pPr>
        <w:widowControl w:val="0"/>
        <w:autoSpaceDE w:val="0"/>
        <w:autoSpaceDN w:val="0"/>
        <w:adjustRightInd w:val="0"/>
        <w:spacing w:before="480"/>
        <w:ind w:left="640" w:hanging="640"/>
        <w:rPr>
          <w:color w:val="000000" w:themeColor="text1"/>
          <w:sz w:val="32"/>
        </w:rPr>
      </w:pPr>
      <w:r w:rsidRPr="00FF4BE1">
        <w:rPr>
          <w:color w:val="000000" w:themeColor="text1"/>
          <w:sz w:val="32"/>
        </w:rPr>
        <w:t>References</w:t>
      </w:r>
    </w:p>
    <w:p w14:paraId="29D3094F" w14:textId="6F395036" w:rsidR="009C426D" w:rsidRPr="009C426D" w:rsidRDefault="009C426D" w:rsidP="00FF4BE1">
      <w:pPr>
        <w:widowControl w:val="0"/>
        <w:autoSpaceDE w:val="0"/>
        <w:autoSpaceDN w:val="0"/>
        <w:adjustRightInd w:val="0"/>
        <w:spacing w:before="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Pr="009C426D">
        <w:rPr>
          <w:rFonts w:ascii="Calibri" w:eastAsia="Times New Roman" w:hAnsi="Calibri" w:cs="Times New Roman"/>
          <w:noProof/>
        </w:rPr>
        <w:t xml:space="preserve">1. </w:t>
      </w:r>
      <w:r w:rsidRPr="009C426D">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2018E402" w14:textId="079BC34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 </w:t>
      </w:r>
      <w:r w:rsidRPr="009C426D">
        <w:rPr>
          <w:rFonts w:ascii="Calibri" w:eastAsia="Times New Roman" w:hAnsi="Calibri" w:cs="Times New Roman"/>
          <w:noProof/>
        </w:rPr>
        <w:tab/>
        <w:t xml:space="preserve">Rockall A, Sohaib S, Evans D, Kaltsas G, Isidori A, Monson J, Besser G, Grossman A, Reznek </w:t>
      </w:r>
      <w:r w:rsidRPr="009C426D">
        <w:rPr>
          <w:rFonts w:ascii="Calibri" w:eastAsia="Times New Roman" w:hAnsi="Calibri" w:cs="Times New Roman"/>
          <w:noProof/>
        </w:rPr>
        <w:lastRenderedPageBreak/>
        <w:t xml:space="preserve">R. Hepatic steatosis in Cushing’s syndrome: a radiological assessment using computed tomography. Eur J Endocrinol. 2003;149:543–8. </w:t>
      </w:r>
    </w:p>
    <w:p w14:paraId="75EFDF1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 </w:t>
      </w:r>
      <w:r w:rsidRPr="009C426D">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0E4D6DD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 </w:t>
      </w:r>
      <w:r w:rsidRPr="009C426D">
        <w:rPr>
          <w:rFonts w:ascii="Calibri" w:eastAsia="Times New Roman" w:hAnsi="Calibri" w:cs="Times New Roman"/>
          <w:noProof/>
        </w:rPr>
        <w:tab/>
        <w:t xml:space="preserve">Pivonello R, Martino MC De, Leo M De, Lombardi G, Colao A. Cushing’s Syndrome. 2008;37:135–49. </w:t>
      </w:r>
    </w:p>
    <w:p w14:paraId="4B7A87E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 </w:t>
      </w:r>
      <w:r w:rsidRPr="009C426D">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36BD4DE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6. </w:t>
      </w:r>
      <w:r w:rsidRPr="009C426D">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1761DF8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7. </w:t>
      </w:r>
      <w:r w:rsidRPr="009C426D">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20C9CEC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8. </w:t>
      </w:r>
      <w:r w:rsidRPr="009C426D">
        <w:rPr>
          <w:rFonts w:ascii="Calibri" w:eastAsia="Times New Roman" w:hAnsi="Calibri" w:cs="Times New Roman"/>
          <w:noProof/>
        </w:rPr>
        <w:tab/>
        <w:t xml:space="preserve">Hsiao C, Ph D, Cherry DK, Beatty PC, Ph D, Rechtsteiner EA, Care H. National Ambulatory Medical Care Survey : 2007 Summary. 2010; </w:t>
      </w:r>
    </w:p>
    <w:p w14:paraId="790EAF16"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9. </w:t>
      </w:r>
      <w:r w:rsidRPr="009C426D">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35FD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10. </w:t>
      </w:r>
      <w:r w:rsidRPr="009C426D">
        <w:rPr>
          <w:rFonts w:ascii="Calibri" w:eastAsia="Times New Roman" w:hAnsi="Calibri" w:cs="Times New Roman"/>
          <w:noProof/>
        </w:rPr>
        <w:tab/>
        <w:t xml:space="preserve">Karam JH, Grodsky GM, Ph D, Forsham PH. Excessive Insulin Response to Glucose in Obese Subjects as Measured by Immunochemical Assay. </w:t>
      </w:r>
    </w:p>
    <w:p w14:paraId="4EB202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11. </w:t>
      </w:r>
      <w:r w:rsidRPr="009C426D">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1E080FA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12. </w:t>
      </w:r>
      <w:r w:rsidRPr="009C426D">
        <w:rPr>
          <w:rFonts w:ascii="Calibri" w:eastAsia="Times New Roman" w:hAnsi="Calibri" w:cs="Times New Roman"/>
          <w:noProof/>
        </w:rPr>
        <w:tab/>
        <w:t xml:space="preserve">Steffensen C, Pereira AM, Dekkers OM. Prevalence of hypercortisolism in type 2 diabetes patients : a systematic review and. 2016; </w:t>
      </w:r>
    </w:p>
    <w:p w14:paraId="364DD3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13. </w:t>
      </w:r>
      <w:r w:rsidRPr="009C426D">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2BCD6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14. </w:t>
      </w:r>
      <w:r w:rsidRPr="009C426D">
        <w:rPr>
          <w:rFonts w:ascii="Calibri" w:eastAsia="Times New Roman" w:hAnsi="Calibri" w:cs="Times New Roman"/>
          <w:noProof/>
        </w:rPr>
        <w:tab/>
        <w:t xml:space="preserve">Youssef WI, Mccullough AJ. Steatohepatitis in obese individuals. 2002;16:733–47. </w:t>
      </w:r>
    </w:p>
    <w:p w14:paraId="018768F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15. </w:t>
      </w:r>
      <w:r w:rsidRPr="009C426D">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42D327D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16. </w:t>
      </w:r>
      <w:r w:rsidRPr="009C426D">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39AD62D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17. </w:t>
      </w:r>
      <w:r w:rsidRPr="009C426D">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4BB4B1D5" w14:textId="7D9F21AD"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18. </w:t>
      </w:r>
      <w:r w:rsidRPr="009C426D">
        <w:rPr>
          <w:rFonts w:ascii="Calibri" w:eastAsia="Times New Roman" w:hAnsi="Calibri" w:cs="Times New Roman"/>
          <w:noProof/>
        </w:rPr>
        <w:tab/>
        <w:t xml:space="preserve">Hochberg I, Harvey I, Tran QT, Stephenson EJ, Barkan AL, Saltiel AR, Chandler WF, Bridges D. Gene expression changes in subcutaneous adipose tissue due to Cushing’s disease. J Mol Endocrinol. 2015;55:81–94. </w:t>
      </w:r>
    </w:p>
    <w:p w14:paraId="6E172446" w14:textId="5CDBF4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19. </w:t>
      </w:r>
      <w:r w:rsidRPr="009C426D">
        <w:rPr>
          <w:rFonts w:ascii="Calibri" w:eastAsia="Times New Roman" w:hAnsi="Calibri" w:cs="Times New Roman"/>
          <w:noProof/>
        </w:rPr>
        <w:tab/>
        <w:t xml:space="preserve">Schakman O, Kalista S, Barbé C, Loumaye A, Thissen JP. Glucocorticoid-induced skeletal muscle atrophy </w:t>
      </w:r>
      <w:r w:rsidRPr="009C426D">
        <w:rPr>
          <w:rFonts w:ascii="Oriya Sangam MN" w:eastAsia="Oriya Sangam MN" w:hAnsi="Oriya Sangam MN" w:cs="Oriya Sangam MN"/>
          <w:noProof/>
        </w:rPr>
        <w:t>ଝ</w:t>
      </w:r>
      <w:r w:rsidRPr="009C426D">
        <w:rPr>
          <w:rFonts w:ascii="Calibri" w:eastAsia="Times New Roman" w:hAnsi="Calibri" w:cs="Times New Roman"/>
          <w:noProof/>
        </w:rPr>
        <w:t xml:space="preserve">. Int J Biochem Cell Biol. Elsevier Ltd; 2013;45:2163–72. </w:t>
      </w:r>
    </w:p>
    <w:p w14:paraId="08D780D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20. </w:t>
      </w:r>
      <w:r w:rsidRPr="009C426D">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4E76E291"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21. </w:t>
      </w:r>
      <w:r w:rsidRPr="009C426D">
        <w:rPr>
          <w:rFonts w:ascii="Calibri" w:eastAsia="Times New Roman" w:hAnsi="Calibri" w:cs="Times New Roman"/>
          <w:noProof/>
        </w:rPr>
        <w:tab/>
        <w:t xml:space="preserve">Geer EB, Shen W, Gallagher D, Punyanitya M, Looker HC, Post KD, Freda PU. Female Patients with Cushing ’ s Disease. 2011;73:469–75. </w:t>
      </w:r>
    </w:p>
    <w:p w14:paraId="41DEB7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22. </w:t>
      </w:r>
      <w:r w:rsidRPr="009C426D">
        <w:rPr>
          <w:rFonts w:ascii="Calibri" w:eastAsia="Times New Roman" w:hAnsi="Calibri" w:cs="Times New Roman"/>
          <w:noProof/>
        </w:rPr>
        <w:tab/>
        <w:t xml:space="preserve">Djurhuus CB, Gravholt CH, Nielsen S, Pedersen SB, Møller N, Schmitz O. Additive effects of cortisol and growth hormone on regional and systemic lipolysis in humans. 2004;488–94. </w:t>
      </w:r>
    </w:p>
    <w:p w14:paraId="182FE03D"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23. </w:t>
      </w:r>
      <w:r w:rsidRPr="009C426D">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7FBA3F8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24. </w:t>
      </w:r>
      <w:r w:rsidRPr="009C426D">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27230C4F"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25. </w:t>
      </w:r>
      <w:r w:rsidRPr="009C426D">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69C0174" w14:textId="7D3E5491"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26. </w:t>
      </w:r>
      <w:r w:rsidRPr="009C426D">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Nat Publ Gr. Nature Publishing Group; 2015;1–6. </w:t>
      </w:r>
    </w:p>
    <w:p w14:paraId="29F06EF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27. </w:t>
      </w:r>
      <w:r w:rsidRPr="009C426D">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07DD0F6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28. </w:t>
      </w:r>
      <w:r w:rsidRPr="009C426D">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46A4EC49"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29. </w:t>
      </w:r>
      <w:r w:rsidRPr="009C426D">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40098EC0"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30. </w:t>
      </w:r>
      <w:r w:rsidRPr="009C426D">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49B63A9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31. </w:t>
      </w:r>
      <w:r w:rsidRPr="009C426D">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6EF34AD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32. </w:t>
      </w:r>
      <w:r w:rsidRPr="009C426D">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068BD21C" w14:textId="7F3D7B3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33. </w:t>
      </w:r>
      <w:r w:rsidRPr="009C426D">
        <w:rPr>
          <w:rFonts w:ascii="Calibri" w:eastAsia="Times New Roman" w:hAnsi="Calibri" w:cs="Times New Roman"/>
          <w:noProof/>
        </w:rPr>
        <w:tab/>
        <w:t xml:space="preserve">Schoiswohl G, Stefanovic-Racic M, Menke MN, Wills RC, Surlow B a., Basantani MK, Sitnick MT, Cai L, Yazbeck CF, Stolz DB, et al. Impact of Reduced ATGL-Mediated </w:t>
      </w:r>
      <w:r w:rsidRPr="009C426D">
        <w:rPr>
          <w:rFonts w:ascii="Calibri" w:eastAsia="Times New Roman" w:hAnsi="Calibri" w:cs="Times New Roman"/>
          <w:noProof/>
        </w:rPr>
        <w:lastRenderedPageBreak/>
        <w:t xml:space="preserve">Adipocyte Lipolysis on Obesity-Associated Insulin Resistance and Inflammation in Male Mice. Endocrinology. 2015;156:3610–24. </w:t>
      </w:r>
    </w:p>
    <w:p w14:paraId="3D083D2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34. </w:t>
      </w:r>
      <w:r w:rsidRPr="009C426D">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001E2DB4" w14:textId="36167AF8"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35. </w:t>
      </w:r>
      <w:r w:rsidRPr="009C426D">
        <w:rPr>
          <w:rFonts w:ascii="Calibri" w:eastAsia="Times New Roman" w:hAnsi="Calibri" w:cs="Times New Roman"/>
          <w:noProof/>
        </w:rPr>
        <w:tab/>
        <w:t>Shen Y, Roh HC, Kumari M, Rosen ED. Adipocyte glucocorticoid receptor is important in lipolysis and insulin resistance due to exogenous steroids , but not insulin resistance caused by high fat feeding. Mol Metab. Elsevie</w:t>
      </w:r>
      <w:r w:rsidR="00793FB9">
        <w:rPr>
          <w:rFonts w:ascii="Calibri" w:eastAsia="Times New Roman" w:hAnsi="Calibri" w:cs="Times New Roman"/>
          <w:noProof/>
        </w:rPr>
        <w:t>r GmbH; 2017.</w:t>
      </w:r>
    </w:p>
    <w:p w14:paraId="20CBF888"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36. </w:t>
      </w:r>
      <w:r w:rsidRPr="009C426D">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4C0A3E57" w14:textId="7E55A135"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37. </w:t>
      </w:r>
      <w:r w:rsidRPr="009C426D">
        <w:rPr>
          <w:rFonts w:ascii="Calibri" w:eastAsia="Times New Roman" w:hAnsi="Calibri" w:cs="Times New Roman"/>
          <w:noProof/>
        </w:rPr>
        <w:tab/>
        <w:t xml:space="preserve">Wang Y, Yan C, Liu L, Wang W, Du H, Fan W, Lutfy K, Jiang M, Friedman TC, Liu Y. 11 -Hydroxysteroid dehydrogenase type 1 shRNA ameliorates glucocorticoid-induced insulin resistance and lipolysis in mouse abdominal adipose tissue. AJP Endocrinol Metab. 2014;308:E84–95. </w:t>
      </w:r>
    </w:p>
    <w:p w14:paraId="40067C0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38. </w:t>
      </w:r>
      <w:r w:rsidRPr="009C426D">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3D0EC0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39. </w:t>
      </w:r>
      <w:r w:rsidRPr="009C426D">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10FB164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40. </w:t>
      </w:r>
      <w:r w:rsidRPr="009C426D">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0B920D1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41. </w:t>
      </w:r>
      <w:r w:rsidRPr="009C426D">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D0DE64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42. </w:t>
      </w:r>
      <w:r w:rsidRPr="009C426D">
        <w:rPr>
          <w:rFonts w:ascii="Calibri" w:eastAsia="Times New Roman" w:hAnsi="Calibri" w:cs="Times New Roman"/>
          <w:noProof/>
        </w:rPr>
        <w:tab/>
        <w:t xml:space="preserve">Chiang S-H, Chang L SA. TC10 and Insulin </w:t>
      </w:r>
      <w:r w:rsidRPr="009C426D">
        <w:rPr>
          <w:rFonts w:ascii="Calibri" w:eastAsia="Calibri" w:hAnsi="Calibri" w:cs="Calibri"/>
          <w:noProof/>
        </w:rPr>
        <w:t>‐</w:t>
      </w:r>
      <w:r w:rsidRPr="009C426D">
        <w:rPr>
          <w:rFonts w:ascii="Calibri" w:eastAsia="Times New Roman" w:hAnsi="Calibri" w:cs="Times New Roman"/>
          <w:noProof/>
        </w:rPr>
        <w:t xml:space="preserve"> Stimulated Glucose Transport. 2002;406:1257–62. </w:t>
      </w:r>
    </w:p>
    <w:p w14:paraId="19481C58" w14:textId="29BAAE52"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43. </w:t>
      </w:r>
      <w:r w:rsidRPr="009C426D">
        <w:rPr>
          <w:rFonts w:ascii="Calibri" w:eastAsia="Times New Roman" w:hAnsi="Calibri" w:cs="Times New Roman"/>
          <w:noProof/>
        </w:rPr>
        <w:tab/>
        <w:t xml:space="preserve">Lu B, Bridges D, Yang Y, Fisher K, Cheng A, Chang L, Meng Z, Lin J, Downes M, Yu RT, et al. Metabolic Crosstalk: molecular links between glycogen and lipid metabolism in obesity. Diabetes. 2014;63:1–49. </w:t>
      </w:r>
    </w:p>
    <w:p w14:paraId="7E741AD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44. </w:t>
      </w:r>
      <w:r w:rsidRPr="009C426D">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736466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45. </w:t>
      </w:r>
      <w:r w:rsidRPr="009C426D">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0838B6EB"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46. </w:t>
      </w:r>
      <w:r w:rsidRPr="009C426D">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02CDF765"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47. </w:t>
      </w:r>
      <w:r w:rsidRPr="009C426D">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32987CA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48. </w:t>
      </w:r>
      <w:r w:rsidRPr="009C426D">
        <w:rPr>
          <w:rFonts w:ascii="Calibri" w:eastAsia="Times New Roman" w:hAnsi="Calibri" w:cs="Times New Roman"/>
          <w:noProof/>
        </w:rPr>
        <w:tab/>
        <w:t xml:space="preserve">Yan Y, Hou D, Zhao X, Liu J. Childhood Adiposity and Nonalcoholic Fatty Liver Disease in Adulthood. 2017;139. </w:t>
      </w:r>
    </w:p>
    <w:p w14:paraId="1EF253BC" w14:textId="162B0B0B"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49. </w:t>
      </w:r>
      <w:r w:rsidRPr="009C426D">
        <w:rPr>
          <w:rFonts w:ascii="Calibri" w:eastAsia="Times New Roman" w:hAnsi="Calibri" w:cs="Times New Roman"/>
          <w:noProof/>
        </w:rPr>
        <w:tab/>
        <w:t xml:space="preserve">Stender S, Kozlitina J, Nordestgaard BG, Tybjærg-hansen A, Hobbs HH, Cohen JC. Adiposity amplifies the genetic risk of fatty liver disease conferred by multiple loci. Nat Publ Gr. Nature Publishing Group; 2017;49:842–7. </w:t>
      </w:r>
    </w:p>
    <w:p w14:paraId="51830799" w14:textId="75AC5DA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50. </w:t>
      </w:r>
      <w:r w:rsidRPr="009C426D">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American Society for Investigative Pathology; 2017;187:614–26. </w:t>
      </w:r>
    </w:p>
    <w:p w14:paraId="2AC74A2E"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51. </w:t>
      </w:r>
      <w:r w:rsidRPr="009C426D">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3A759922"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52. </w:t>
      </w:r>
      <w:r w:rsidRPr="009C426D">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C807FB3"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lastRenderedPageBreak/>
        <w:t xml:space="preserve">53. </w:t>
      </w:r>
      <w:r w:rsidRPr="009C426D">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78AFC167"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54. </w:t>
      </w:r>
      <w:r w:rsidRPr="009C426D">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099B8249" w14:textId="2CD953F0"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55. </w:t>
      </w:r>
      <w:r w:rsidRPr="009C426D">
        <w:rPr>
          <w:rFonts w:ascii="Calibri" w:eastAsia="Times New Roman" w:hAnsi="Calibri" w:cs="Times New Roman"/>
          <w:noProof/>
        </w:rPr>
        <w:tab/>
        <w:t xml:space="preserve">Gaidhu MP, Anthony NM, Patel P, Hawke TJ, Ceddia RB. Dysregulation of lipolysis and lipid metabolism in visceral and subcutaneous adipocytes by high-fat diet: role of ATGL, HSL, and AMPK. Am J Physiol - Cell Physiol. 2010;298:C961–71. </w:t>
      </w:r>
    </w:p>
    <w:p w14:paraId="2DE1D35B" w14:textId="50293CAE"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56. </w:t>
      </w:r>
      <w:r w:rsidRPr="009C426D">
        <w:rPr>
          <w:rFonts w:ascii="Calibri" w:eastAsia="Times New Roman" w:hAnsi="Calibri" w:cs="Times New Roman"/>
          <w:noProof/>
        </w:rPr>
        <w:tab/>
        <w:t xml:space="preserve">Xu C, He J, Jiang H, Zu L, Zhai W, Pu S, Xu G. Direct effect of glucocorticoids on lipolysis in adipocytes. Mol Endocrinol. 2009;23:1161–70. </w:t>
      </w:r>
    </w:p>
    <w:p w14:paraId="4B7623AC"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57. </w:t>
      </w:r>
      <w:r w:rsidRPr="009C426D">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0E43609E" w14:textId="671DE199"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58. </w:t>
      </w:r>
      <w:r w:rsidRPr="009C426D">
        <w:rPr>
          <w:rFonts w:ascii="Calibri" w:eastAsia="Times New Roman" w:hAnsi="Calibri" w:cs="Times New Roman"/>
          <w:noProof/>
        </w:rPr>
        <w:tab/>
        <w:t xml:space="preserve">Campbell JE, Peckett AJ, D’souza AM, Hawke TJ, Riddell MC. Adipogenic and lipolytic effects of chronic glucocorticoid exposure. Am J Physiol Cell Physiol. 2011;300:C198-209. </w:t>
      </w:r>
    </w:p>
    <w:p w14:paraId="49DE4CCA" w14:textId="77777777" w:rsidR="009C426D" w:rsidRPr="009C426D" w:rsidRDefault="009C426D" w:rsidP="009C426D">
      <w:pPr>
        <w:widowControl w:val="0"/>
        <w:autoSpaceDE w:val="0"/>
        <w:autoSpaceDN w:val="0"/>
        <w:adjustRightInd w:val="0"/>
        <w:spacing w:before="480"/>
        <w:ind w:left="640" w:hanging="640"/>
        <w:rPr>
          <w:rFonts w:ascii="Calibri" w:eastAsia="Times New Roman" w:hAnsi="Calibri" w:cs="Times New Roman"/>
          <w:noProof/>
        </w:rPr>
      </w:pPr>
      <w:r w:rsidRPr="009C426D">
        <w:rPr>
          <w:rFonts w:ascii="Calibri" w:eastAsia="Times New Roman" w:hAnsi="Calibri" w:cs="Times New Roman"/>
          <w:noProof/>
        </w:rPr>
        <w:t xml:space="preserve">59. </w:t>
      </w:r>
      <w:r w:rsidRPr="009C426D">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7034AE7B" w14:textId="77777777" w:rsidR="009C426D" w:rsidRPr="009C426D" w:rsidRDefault="009C426D" w:rsidP="009C426D">
      <w:pPr>
        <w:widowControl w:val="0"/>
        <w:autoSpaceDE w:val="0"/>
        <w:autoSpaceDN w:val="0"/>
        <w:adjustRightInd w:val="0"/>
        <w:spacing w:before="480"/>
        <w:ind w:left="640" w:hanging="640"/>
        <w:rPr>
          <w:rFonts w:ascii="Calibri" w:hAnsi="Calibri"/>
          <w:noProof/>
        </w:rPr>
      </w:pPr>
      <w:r w:rsidRPr="009C426D">
        <w:rPr>
          <w:rFonts w:ascii="Calibri" w:eastAsia="Times New Roman" w:hAnsi="Calibri" w:cs="Times New Roman"/>
          <w:noProof/>
        </w:rPr>
        <w:t xml:space="preserve">60. </w:t>
      </w:r>
      <w:r w:rsidRPr="009C426D">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1F2187C" w14:textId="5924B520" w:rsidR="009C426D" w:rsidRPr="006902F6" w:rsidRDefault="009C426D" w:rsidP="009C426D">
      <w:pPr>
        <w:widowControl w:val="0"/>
        <w:autoSpaceDE w:val="0"/>
        <w:autoSpaceDN w:val="0"/>
        <w:adjustRightInd w:val="0"/>
        <w:spacing w:before="480"/>
        <w:ind w:left="640" w:hanging="640"/>
        <w:rPr>
          <w:color w:val="000000" w:themeColor="text1"/>
        </w:rPr>
      </w:pPr>
      <w:r>
        <w:rPr>
          <w:color w:val="000000" w:themeColor="text1"/>
        </w:rPr>
        <w:fldChar w:fldCharType="end"/>
      </w:r>
    </w:p>
    <w:p w14:paraId="00AC6C9B" w14:textId="1AFDB42B" w:rsidR="000A4359" w:rsidRPr="006902F6" w:rsidRDefault="000A4359" w:rsidP="009C426D">
      <w:pPr>
        <w:widowControl w:val="0"/>
        <w:autoSpaceDE w:val="0"/>
        <w:autoSpaceDN w:val="0"/>
        <w:adjustRightInd w:val="0"/>
        <w:ind w:left="640" w:hanging="640"/>
        <w:rPr>
          <w:color w:val="000000" w:themeColor="text1"/>
        </w:rPr>
      </w:pP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6" w:author="Microsoft Office User" w:date="2017-09-05T16:38:00Z" w:initials="Office">
    <w:p w14:paraId="0A5B1F2B" w14:textId="53ABD954" w:rsidR="00B3095B" w:rsidRDefault="00B3095B">
      <w:pPr>
        <w:pStyle w:val="CommentText"/>
      </w:pPr>
      <w:r>
        <w:rPr>
          <w:rStyle w:val="CommentReference"/>
        </w:rPr>
        <w:annotationRef/>
      </w:r>
      <w:r>
        <w:t>make sure this is stated correctly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5B1F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52AC"/>
    <w:rsid w:val="00105966"/>
    <w:rsid w:val="00105F63"/>
    <w:rsid w:val="00107E28"/>
    <w:rsid w:val="00110139"/>
    <w:rsid w:val="0011098A"/>
    <w:rsid w:val="00110C67"/>
    <w:rsid w:val="0011365C"/>
    <w:rsid w:val="001143CB"/>
    <w:rsid w:val="00114910"/>
    <w:rsid w:val="001157A4"/>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1082"/>
    <w:rsid w:val="00163A9C"/>
    <w:rsid w:val="00166860"/>
    <w:rsid w:val="001669B6"/>
    <w:rsid w:val="00171C95"/>
    <w:rsid w:val="00171F73"/>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A055D"/>
    <w:rsid w:val="001A3544"/>
    <w:rsid w:val="001A4D05"/>
    <w:rsid w:val="001B175D"/>
    <w:rsid w:val="001B47E2"/>
    <w:rsid w:val="001B708C"/>
    <w:rsid w:val="001B7499"/>
    <w:rsid w:val="001C22CC"/>
    <w:rsid w:val="001C3F28"/>
    <w:rsid w:val="001C4119"/>
    <w:rsid w:val="001C4E38"/>
    <w:rsid w:val="001C4F76"/>
    <w:rsid w:val="001C7036"/>
    <w:rsid w:val="001D16EF"/>
    <w:rsid w:val="001D224D"/>
    <w:rsid w:val="001D4232"/>
    <w:rsid w:val="001D522A"/>
    <w:rsid w:val="001D5F06"/>
    <w:rsid w:val="001E3373"/>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B8"/>
    <w:rsid w:val="00301771"/>
    <w:rsid w:val="00302276"/>
    <w:rsid w:val="00305AF5"/>
    <w:rsid w:val="00305E69"/>
    <w:rsid w:val="00306B3E"/>
    <w:rsid w:val="00310724"/>
    <w:rsid w:val="0031165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39CA"/>
    <w:rsid w:val="003974C0"/>
    <w:rsid w:val="00397C20"/>
    <w:rsid w:val="003A151A"/>
    <w:rsid w:val="003A1715"/>
    <w:rsid w:val="003A1DC0"/>
    <w:rsid w:val="003A23D7"/>
    <w:rsid w:val="003A266B"/>
    <w:rsid w:val="003A2FE4"/>
    <w:rsid w:val="003A3404"/>
    <w:rsid w:val="003A3818"/>
    <w:rsid w:val="003A4693"/>
    <w:rsid w:val="003A5D40"/>
    <w:rsid w:val="003A5F27"/>
    <w:rsid w:val="003A6439"/>
    <w:rsid w:val="003A6B88"/>
    <w:rsid w:val="003B2D7B"/>
    <w:rsid w:val="003B435C"/>
    <w:rsid w:val="003B590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7F3"/>
    <w:rsid w:val="00481EB2"/>
    <w:rsid w:val="00485915"/>
    <w:rsid w:val="0048623D"/>
    <w:rsid w:val="00486FEB"/>
    <w:rsid w:val="00487B74"/>
    <w:rsid w:val="00490E90"/>
    <w:rsid w:val="00491EA8"/>
    <w:rsid w:val="004924C0"/>
    <w:rsid w:val="004953F6"/>
    <w:rsid w:val="00497500"/>
    <w:rsid w:val="00497CD5"/>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6DA6"/>
    <w:rsid w:val="005479F4"/>
    <w:rsid w:val="00553155"/>
    <w:rsid w:val="00562E5E"/>
    <w:rsid w:val="005647A8"/>
    <w:rsid w:val="00566E30"/>
    <w:rsid w:val="00567887"/>
    <w:rsid w:val="0057116C"/>
    <w:rsid w:val="005727CB"/>
    <w:rsid w:val="00575375"/>
    <w:rsid w:val="005801D2"/>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130F"/>
    <w:rsid w:val="00603402"/>
    <w:rsid w:val="00605595"/>
    <w:rsid w:val="006066A2"/>
    <w:rsid w:val="0060766B"/>
    <w:rsid w:val="0060769C"/>
    <w:rsid w:val="00612CE6"/>
    <w:rsid w:val="006139F2"/>
    <w:rsid w:val="00614256"/>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47AE"/>
    <w:rsid w:val="00637B3B"/>
    <w:rsid w:val="00637F63"/>
    <w:rsid w:val="0064019A"/>
    <w:rsid w:val="0064248A"/>
    <w:rsid w:val="00642BDD"/>
    <w:rsid w:val="0064405D"/>
    <w:rsid w:val="006526D2"/>
    <w:rsid w:val="006531C6"/>
    <w:rsid w:val="00656284"/>
    <w:rsid w:val="00656421"/>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966"/>
    <w:rsid w:val="007A2749"/>
    <w:rsid w:val="007A487B"/>
    <w:rsid w:val="007A58EB"/>
    <w:rsid w:val="007A6CC9"/>
    <w:rsid w:val="007A6CF1"/>
    <w:rsid w:val="007A789E"/>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A59"/>
    <w:rsid w:val="008070E2"/>
    <w:rsid w:val="00807CEF"/>
    <w:rsid w:val="00811966"/>
    <w:rsid w:val="00813742"/>
    <w:rsid w:val="008143F2"/>
    <w:rsid w:val="008215BB"/>
    <w:rsid w:val="00822ACC"/>
    <w:rsid w:val="0082442E"/>
    <w:rsid w:val="00824C9D"/>
    <w:rsid w:val="00824F44"/>
    <w:rsid w:val="008254B0"/>
    <w:rsid w:val="00827CC4"/>
    <w:rsid w:val="00830364"/>
    <w:rsid w:val="00830B0C"/>
    <w:rsid w:val="00831691"/>
    <w:rsid w:val="00831CC3"/>
    <w:rsid w:val="00832CF5"/>
    <w:rsid w:val="00833589"/>
    <w:rsid w:val="00833B9D"/>
    <w:rsid w:val="00834FC4"/>
    <w:rsid w:val="00836173"/>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A5431"/>
    <w:rsid w:val="008B6CAB"/>
    <w:rsid w:val="008B71EA"/>
    <w:rsid w:val="008B7F23"/>
    <w:rsid w:val="008C3E9A"/>
    <w:rsid w:val="008C41F3"/>
    <w:rsid w:val="008D3DC3"/>
    <w:rsid w:val="008D4D8A"/>
    <w:rsid w:val="008D6B15"/>
    <w:rsid w:val="008E232E"/>
    <w:rsid w:val="008E2917"/>
    <w:rsid w:val="008E3983"/>
    <w:rsid w:val="008F1032"/>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899"/>
    <w:rsid w:val="009240AB"/>
    <w:rsid w:val="00924AB8"/>
    <w:rsid w:val="0092524A"/>
    <w:rsid w:val="00925F4F"/>
    <w:rsid w:val="0093161D"/>
    <w:rsid w:val="009328A5"/>
    <w:rsid w:val="00935654"/>
    <w:rsid w:val="0094028A"/>
    <w:rsid w:val="009402FD"/>
    <w:rsid w:val="00944696"/>
    <w:rsid w:val="00945214"/>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5D4C"/>
    <w:rsid w:val="009975FB"/>
    <w:rsid w:val="009A2D69"/>
    <w:rsid w:val="009B1258"/>
    <w:rsid w:val="009B18AB"/>
    <w:rsid w:val="009B558D"/>
    <w:rsid w:val="009B5F06"/>
    <w:rsid w:val="009B6BCE"/>
    <w:rsid w:val="009C06B4"/>
    <w:rsid w:val="009C0FE5"/>
    <w:rsid w:val="009C426D"/>
    <w:rsid w:val="009C4477"/>
    <w:rsid w:val="009C4CFA"/>
    <w:rsid w:val="009C512E"/>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868"/>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D19"/>
    <w:rsid w:val="00A31A46"/>
    <w:rsid w:val="00A32378"/>
    <w:rsid w:val="00A328CA"/>
    <w:rsid w:val="00A32C48"/>
    <w:rsid w:val="00A3343F"/>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778B2"/>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095B"/>
    <w:rsid w:val="00B32428"/>
    <w:rsid w:val="00B32E07"/>
    <w:rsid w:val="00B333CF"/>
    <w:rsid w:val="00B3347B"/>
    <w:rsid w:val="00B34443"/>
    <w:rsid w:val="00B34566"/>
    <w:rsid w:val="00B3692D"/>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90019"/>
    <w:rsid w:val="00B900CB"/>
    <w:rsid w:val="00B90861"/>
    <w:rsid w:val="00B90F75"/>
    <w:rsid w:val="00B928EF"/>
    <w:rsid w:val="00B92BA0"/>
    <w:rsid w:val="00B92FF3"/>
    <w:rsid w:val="00B93D95"/>
    <w:rsid w:val="00B93FB7"/>
    <w:rsid w:val="00B95085"/>
    <w:rsid w:val="00B96AB4"/>
    <w:rsid w:val="00B96BDB"/>
    <w:rsid w:val="00B97DA4"/>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D2B9E"/>
    <w:rsid w:val="00BD3767"/>
    <w:rsid w:val="00BD529C"/>
    <w:rsid w:val="00BD550C"/>
    <w:rsid w:val="00BD56C3"/>
    <w:rsid w:val="00BD6ED7"/>
    <w:rsid w:val="00BE2B3F"/>
    <w:rsid w:val="00BE407E"/>
    <w:rsid w:val="00BE5239"/>
    <w:rsid w:val="00BF0EAB"/>
    <w:rsid w:val="00BF3286"/>
    <w:rsid w:val="00BF4435"/>
    <w:rsid w:val="00BF554F"/>
    <w:rsid w:val="00C01656"/>
    <w:rsid w:val="00C05811"/>
    <w:rsid w:val="00C06BC3"/>
    <w:rsid w:val="00C073C8"/>
    <w:rsid w:val="00C10BCE"/>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11DF"/>
    <w:rsid w:val="00CD1457"/>
    <w:rsid w:val="00CD3448"/>
    <w:rsid w:val="00CD3990"/>
    <w:rsid w:val="00CD611F"/>
    <w:rsid w:val="00CD6325"/>
    <w:rsid w:val="00CD6CE7"/>
    <w:rsid w:val="00CE2539"/>
    <w:rsid w:val="00CE26FC"/>
    <w:rsid w:val="00CE75F3"/>
    <w:rsid w:val="00CE7C8E"/>
    <w:rsid w:val="00CF053C"/>
    <w:rsid w:val="00CF17E0"/>
    <w:rsid w:val="00CF1D25"/>
    <w:rsid w:val="00CF4595"/>
    <w:rsid w:val="00CF4D79"/>
    <w:rsid w:val="00CF5691"/>
    <w:rsid w:val="00CF5A89"/>
    <w:rsid w:val="00CF7C3D"/>
    <w:rsid w:val="00D00E7A"/>
    <w:rsid w:val="00D0110F"/>
    <w:rsid w:val="00D017B8"/>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0A23"/>
    <w:rsid w:val="00D3156D"/>
    <w:rsid w:val="00D3224A"/>
    <w:rsid w:val="00D32519"/>
    <w:rsid w:val="00D35CB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6FC3"/>
    <w:rsid w:val="00DD7567"/>
    <w:rsid w:val="00DD765C"/>
    <w:rsid w:val="00DE6D0B"/>
    <w:rsid w:val="00DE6E98"/>
    <w:rsid w:val="00DF0102"/>
    <w:rsid w:val="00DF2698"/>
    <w:rsid w:val="00DF2F08"/>
    <w:rsid w:val="00DF4988"/>
    <w:rsid w:val="00DF74CC"/>
    <w:rsid w:val="00DF7C56"/>
    <w:rsid w:val="00E00031"/>
    <w:rsid w:val="00E00C8F"/>
    <w:rsid w:val="00E04266"/>
    <w:rsid w:val="00E046CC"/>
    <w:rsid w:val="00E04A5F"/>
    <w:rsid w:val="00E04DCA"/>
    <w:rsid w:val="00E0792E"/>
    <w:rsid w:val="00E108C4"/>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C71DC"/>
    <w:rsid w:val="00ED107C"/>
    <w:rsid w:val="00ED3AC5"/>
    <w:rsid w:val="00ED441B"/>
    <w:rsid w:val="00ED5214"/>
    <w:rsid w:val="00ED5C81"/>
    <w:rsid w:val="00ED6F6A"/>
    <w:rsid w:val="00EE1127"/>
    <w:rsid w:val="00EE1777"/>
    <w:rsid w:val="00EE3BB3"/>
    <w:rsid w:val="00EE4830"/>
    <w:rsid w:val="00EE515D"/>
    <w:rsid w:val="00EE73D6"/>
    <w:rsid w:val="00EF0E90"/>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803F4"/>
    <w:rsid w:val="00F80521"/>
    <w:rsid w:val="00F80BE0"/>
    <w:rsid w:val="00F829F8"/>
    <w:rsid w:val="00F83C7A"/>
    <w:rsid w:val="00F83E6F"/>
    <w:rsid w:val="00F845D0"/>
    <w:rsid w:val="00F90038"/>
    <w:rsid w:val="00F93630"/>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33C"/>
    <w:rsid w:val="00FC52B8"/>
    <w:rsid w:val="00FC6092"/>
    <w:rsid w:val="00FC60C5"/>
    <w:rsid w:val="00FD36B7"/>
    <w:rsid w:val="00FD4A44"/>
    <w:rsid w:val="00FD562C"/>
    <w:rsid w:val="00FD7752"/>
    <w:rsid w:val="00FE028B"/>
    <w:rsid w:val="00FE0E01"/>
    <w:rsid w:val="00FE35A0"/>
    <w:rsid w:val="00FE40FF"/>
    <w:rsid w:val="00FE4D5F"/>
    <w:rsid w:val="00FE61D7"/>
    <w:rsid w:val="00FF1518"/>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98FB1-780B-D647-B597-AF4C79F56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16</Pages>
  <Words>33044</Words>
  <Characters>188351</Characters>
  <Application>Microsoft Macintosh Word</Application>
  <DocSecurity>0</DocSecurity>
  <Lines>1569</Lines>
  <Paragraphs>441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156</cp:revision>
  <dcterms:created xsi:type="dcterms:W3CDTF">2017-08-21T12:00:00Z</dcterms:created>
  <dcterms:modified xsi:type="dcterms:W3CDTF">2017-09-05T21:02:00Z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