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Innocence Harvey, Erin J. Stephenson, JeAnna R. Redd, Quynh T. Tran, Irit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082CFED8" w:rsidR="006A1504" w:rsidRDefault="00EF0E90" w:rsidP="00F01E9C">
      <w:pPr>
        <w:rPr>
          <w:color w:val="000000" w:themeColor="text1"/>
        </w:rPr>
      </w:pPr>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the increased level</w:t>
      </w:r>
      <w:r w:rsidR="001A055D">
        <w:rPr>
          <w:color w:val="000000" w:themeColor="text1"/>
        </w:rPr>
        <w:t>s/amounts</w:t>
      </w:r>
      <w:r w:rsidR="00DA3E40">
        <w:rPr>
          <w:color w:val="000000" w:themeColor="text1"/>
        </w:rPr>
        <w:t xml:space="preserve"> of corticosteroid prescription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Accu-Chek glucometer (Roche, Germany). Plasma insulin was measured using the Linco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lastRenderedPageBreak/>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39092F">
        <w:rPr>
          <w:rFonts w:eastAsia="Times New Roman" w:cs="Times New Roman"/>
          <w:color w:val="000000" w:themeColor="text1"/>
          <w:shd w:val="clear" w:color="auto" w:fill="FFFFFF"/>
        </w:rPr>
        <w:t>BME-containing</w:t>
      </w:r>
      <w:r w:rsidR="008A5431">
        <w:rPr>
          <w:rFonts w:eastAsia="Times New Roman" w:cs="Times New Roman"/>
          <w:color w:val="000000" w:themeColor="text1"/>
          <w:shd w:val="clear" w:color="auto" w:fill="FFFFFF"/>
        </w:rPr>
        <w:t xml:space="preserve">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0"/>
      <w:r w:rsidR="007309A3">
        <w:rPr>
          <w:color w:val="000000" w:themeColor="text1"/>
        </w:rPr>
        <w:t>P</w:t>
      </w:r>
      <w:r w:rsidR="00737415">
        <w:rPr>
          <w:color w:val="000000" w:themeColor="text1"/>
        </w:rPr>
        <w:t xml:space="preserve">airwise </w:t>
      </w:r>
      <w:r w:rsidR="00A110DA">
        <w:rPr>
          <w:color w:val="000000" w:themeColor="text1"/>
        </w:rPr>
        <w:t>comparisons</w:t>
      </w:r>
      <w:commentRangeEnd w:id="0"/>
      <w:r w:rsidR="00204913">
        <w:rPr>
          <w:rStyle w:val="CommentReference"/>
        </w:rPr>
        <w:commentReference w:id="0"/>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w:t>
      </w:r>
      <w:commentRangeStart w:id="1"/>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
      <w:r w:rsidR="00204913">
        <w:rPr>
          <w:rStyle w:val="CommentReference"/>
        </w:rPr>
        <w:commentReference w:id="1"/>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3E8B0FE"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2150C776"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w:t>
      </w:r>
      <w:r w:rsidR="007E0200" w:rsidRPr="006902F6">
        <w:rPr>
          <w:color w:val="000000" w:themeColor="text1"/>
        </w:rPr>
        <w:lastRenderedPageBreak/>
        <w:t xml:space="preserve">obese (HFD) mice that were untreated (Control)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bookmarkStart w:id="2" w:name="_GoBack"/>
      <w:bookmarkEnd w:id="2"/>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lastRenderedPageBreak/>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A03EA99"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water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lipolytic enzyme</w:t>
      </w:r>
      <w:r w:rsidR="00250376" w:rsidRPr="006902F6">
        <w:rPr>
          <w:color w:val="000000" w:themeColor="text1"/>
        </w:rPr>
        <w:t xml:space="preserve"> 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t>
      </w:r>
      <w:r w:rsidR="0014428B" w:rsidRPr="006902F6">
        <w:rPr>
          <w:color w:val="000000" w:themeColor="text1"/>
        </w:rPr>
        <w:lastRenderedPageBreak/>
        <w:t xml:space="preserve">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 xml:space="preserve">whether blocking glucocorticoid/lipolytic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 xml:space="preserve">Le Bonheur Children’s Hospital, the Children’s Foundation Research Institute and the Le Bonheur Associate Board </w:t>
      </w:r>
      <w:r w:rsidR="000B4772">
        <w:rPr>
          <w:bCs/>
          <w:color w:val="000000" w:themeColor="text1"/>
        </w:rPr>
        <w:t xml:space="preserve">. </w:t>
      </w:r>
      <w:r w:rsidR="00302276">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w:t>
      </w:r>
      <w:r w:rsidRPr="00980A1E">
        <w:rPr>
          <w:rFonts w:ascii="Calibri" w:eastAsia="Times New Roman" w:hAnsi="Calibri" w:cs="Times New Roman"/>
          <w:noProof/>
        </w:rPr>
        <w:lastRenderedPageBreak/>
        <w:t>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w:t>
      </w:r>
      <w:r w:rsidRPr="00980A1E">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 xml:space="preserve">Stender S, Kozlitina J, Nordestgaard BG, Tybjærg-hansen A, Hobbs HH, Cohen JC. </w:t>
      </w:r>
      <w:r w:rsidRPr="00980A1E">
        <w:rPr>
          <w:rFonts w:ascii="Calibri" w:eastAsia="Times New Roman" w:hAnsi="Calibri" w:cs="Times New Roman"/>
          <w:noProof/>
        </w:rPr>
        <w:lastRenderedPageBreak/>
        <w:t>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hu Quynh Tran" w:date="2017-08-20T16:37:00Z" w:initials="NQ">
    <w:p w14:paraId="318327CF" w14:textId="3C0C33B3" w:rsidR="006E71BA" w:rsidRDefault="006E71BA">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Usually, post-hoc test for ANOVA is Tukey’s HSD test. Dunn test is a non-parametric procedure with BH control. We can use the package dunn.test in R.</w:t>
      </w:r>
    </w:p>
  </w:comment>
  <w:comment w:id="1"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22049" w15:done="0"/>
  <w15:commentEx w15:paraId="45E43B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A0E"/>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E598-0EA8-7F4B-96AD-BA08CD1D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33162</Words>
  <Characters>189027</Characters>
  <Application>Microsoft Macintosh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139</cp:revision>
  <dcterms:created xsi:type="dcterms:W3CDTF">2017-08-21T12:00:00Z</dcterms:created>
  <dcterms:modified xsi:type="dcterms:W3CDTF">2017-09-04T23:47:00Z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