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0F4E1845" w:rsidR="00BC77B6" w:rsidRPr="00BC77B6" w:rsidRDefault="00BC77B6" w:rsidP="00CC12EF">
      <w:r>
        <w:rPr>
          <w:b/>
        </w:rPr>
        <w:t>Word Count:</w:t>
      </w:r>
      <w:r>
        <w:t xml:space="preserve"> </w:t>
      </w:r>
      <w:r w:rsidR="00B25EE1">
        <w:t>4448</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E893317"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 and insulin resistance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18BF687D"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1057DF">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"http://www.mendeley.com/documents/?uuid=ad8088ff-dd61-447d-892d-581c63dbe5e6"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435AFD">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"http://www.mendeley.com/documents/?uuid=5f06f0c4-47ac-417d-aee0-4f1c3c874d9e" ] } ], "mendeley" : { "formattedCitation" : "(2, 3)", "plainTextFormattedCitation" : "(2, 3)", "previouslyFormattedCitation" : "(2,3)" }, "properties" : { "noteIndex" : 0 }, "schema" : "https://github.com/citation-style-language/schema/raw/master/csl-citation.json" }</w:instrText>
      </w:r>
      <w:r w:rsidR="00831691">
        <w:fldChar w:fldCharType="separate"/>
      </w:r>
      <w:r w:rsidR="00435AFD" w:rsidRPr="00435AFD">
        <w:rPr>
          <w:noProof/>
        </w:rPr>
        <w:t>(2, 3)</w:t>
      </w:r>
      <w:r w:rsidR="00831691">
        <w:fldChar w:fldCharType="end"/>
      </w:r>
      <w:r>
        <w:t>, impaired glucose tolerance and type 2 diabetes</w:t>
      </w:r>
      <w:r w:rsidR="00831691">
        <w:t xml:space="preserve"> </w:t>
      </w:r>
      <w:r w:rsidR="00831691">
        <w:fldChar w:fldCharType="begin" w:fldLock="1"/>
      </w:r>
      <w:r w:rsidR="00435AFD">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"http://www.mendeley.com/documents/?uuid=b616fa7d-0240-4b68-ba49-c9013f3a9224"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"http://www.mendeley.com/documents/?uuid=83ee54db-c5d8-4c3f-9375-8e327b8f9f70" ] } ], "mendeley" : { "formattedCitation" : "(4, 5)", "plainTextFormattedCitation" : "(4, 5)", "previouslyFormattedCitation" : "(4,5)" }, "properties" : { "noteIndex" : 0 }, "schema" : "https://github.com/citation-style-language/schema/raw/master/csl-citation.json" }</w:instrText>
      </w:r>
      <w:r w:rsidR="00831691">
        <w:fldChar w:fldCharType="separate"/>
      </w:r>
      <w:r w:rsidR="00435AFD" w:rsidRPr="00435AFD">
        <w:rPr>
          <w:noProof/>
        </w:rPr>
        <w:t>(4, 5)</w:t>
      </w:r>
      <w:r w:rsidR="00831691">
        <w:fldChar w:fldCharType="end"/>
      </w:r>
      <w:r>
        <w:t xml:space="preserve">. Although prevalence of Cushing’s syndrome is rare, it is estimated that at any given time 1-3% of the US, UK and </w:t>
      </w:r>
      <w:r>
        <w:lastRenderedPageBreak/>
        <w:t>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1057DF">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2DD1CB88" w14:textId="7148A9C6" w:rsidR="006A1504" w:rsidRDefault="00EF0E90" w:rsidP="00FF21CB">
      <w:pPr>
        <w:spacing w:line="480" w:lineRule="auto"/>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1057DF">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"http://www.mendeley.com/documents/?uuid=50a02759-f62b-4606-af3b-fcb9ccb5e8f3"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"http://www.mendeley.com/documents/?uuid=3f7eac66-b124-4a43-977f-863d81b17860"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"http://www.mendeley.com/documents/?uuid=95951839-dbcc-4cb7-af6f-c65c382fe3a4"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435AF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"http://www.mendeley.com/documents/?uuid=c904f032-d2c4-4ac0-9f51-fdf0569f6186" ] } ], "mendeley" : { "formattedCitation" : "(13, 14)", "plainTextFormattedCitation" : "(13, 14)", "previouslyFormattedCitation" : "(13,14)" }, "properties" : { "noteIndex" : 0 }, "schema" : "https://github.com/citation-style-language/schema/raw/master/csl-citation.json" }</w:instrText>
      </w:r>
      <w:r w:rsidRPr="006902F6">
        <w:rPr>
          <w:color w:val="000000" w:themeColor="text1"/>
        </w:rPr>
        <w:fldChar w:fldCharType="separate"/>
      </w:r>
      <w:r w:rsidR="00435AFD" w:rsidRPr="00435AFD">
        <w:rPr>
          <w:noProof/>
          <w:color w:val="000000" w:themeColor="text1"/>
        </w:rPr>
        <w:t>(13, 14)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F21CB">
      <w:pPr>
        <w:spacing w:line="480" w:lineRule="auto"/>
        <w:rPr>
          <w:color w:val="000000" w:themeColor="text1"/>
        </w:rPr>
      </w:pPr>
    </w:p>
    <w:p w14:paraId="170DB107" w14:textId="64FA37A6" w:rsidR="005E120F" w:rsidRPr="006902F6" w:rsidRDefault="00C35ED8" w:rsidP="00FF21CB">
      <w:pPr>
        <w:spacing w:line="480" w:lineRule="auto"/>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435AF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"(15, 16)", "plainTextFormattedCitation" : "(15, 16)", "previouslyFormattedCitation" : "(15,16)" }, "properties" : { "noteIndex" : 0 }, "schema" : "https://github.com/citation-style-language/schema/raw/master/csl-citation.json" }</w:instrText>
      </w:r>
      <w:r w:rsidR="00BF554F" w:rsidRPr="006902F6">
        <w:rPr>
          <w:color w:val="000000" w:themeColor="text1"/>
        </w:rPr>
        <w:fldChar w:fldCharType="separate"/>
      </w:r>
      <w:r w:rsidR="00435AFD" w:rsidRPr="00435AFD">
        <w:rPr>
          <w:noProof/>
          <w:color w:val="000000" w:themeColor="text1"/>
        </w:rPr>
        <w:t>(15, 16)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23B73506"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1057DF">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435AF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"(18, 20, 21)", "plainTextFormattedCitation" : "(18, 20, 21)", "previouslyFormattedCitation" : "(18,20,21)" }, "properties" : { "noteIndex" : 0 }, "schema" : "https://github.com/citation-style-language/schema/raw/master/csl-citation.json" }</w:instrText>
      </w:r>
      <w:r w:rsidR="000738BA" w:rsidRPr="006902F6">
        <w:rPr>
          <w:color w:val="000000" w:themeColor="text1"/>
        </w:rPr>
        <w:fldChar w:fldCharType="separate"/>
      </w:r>
      <w:r w:rsidR="00435AFD" w:rsidRPr="00435AFD">
        <w:rPr>
          <w:noProof/>
          <w:color w:val="000000" w:themeColor="text1"/>
        </w:rPr>
        <w:t>(18, 20, 21)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1057DF">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1057DF">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435AF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"http://www.mendeley.com/documents/?uuid=b3c1eb52-fead-4d1a-9f95-c6d25a6941ac"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"http://www.mendeley.com/documents/?uuid=45726ff2-c8ef-460a-9b03-df8ccbd3ee90"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"http://www.mendeley.com/documents/?uuid=f453f012-d252-40bf-a5e5-8788e8dcbfbf"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"(13, 28\u201330)", "plainTextFormattedCitation" : "(13, 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435AFD" w:rsidRPr="00435AFD">
        <w:rPr>
          <w:noProof/>
          <w:color w:val="000000" w:themeColor="text1"/>
        </w:rPr>
        <w:t>(13, 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435AF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"http://www.mendeley.com/documents/?uuid=3268dbed-88d5-4595-944d-3169b2678a9a" ] }, { "id" : "ITEM-2",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"ITEM-2", "issue" : "3", "issued" : { "date-parts" : [ [ "2017" ] ] }, "page" : "1-14", "title" : "Adipocyte JAK2 mediates growth hormone \u2013 induced hepatic insulin resistance", "type" : "article-journal", "volume" : "2" }, "uris" : [ "http://www.mendeley.com/documents/?uuid=ccedb581-7eee-4d92-b5f4-945d81a1fee9", "http://www.mendeley.com/documents/?uuid=297195d7-7f99-4a4e-ab2c-c019b9e04457" ] }, { "id" : "ITEM-3",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"ITEM-3",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"id" : "ITEM-4",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"ITEM-4",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 } ], "mendeley" : { "formattedCitation" : "(25, 31\u201333)", "plainTextFormattedCitation" : "(25, 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435AFD" w:rsidRPr="00435AFD">
        <w:rPr>
          <w:noProof/>
          <w:color w:val="000000" w:themeColor="text1"/>
        </w:rPr>
        <w:t>(25, 31–</w:t>
      </w:r>
      <w:r w:rsidR="00435AFD" w:rsidRPr="00435AFD">
        <w:rPr>
          <w:noProof/>
          <w:color w:val="000000" w:themeColor="text1"/>
        </w:rPr>
        <w:lastRenderedPageBreak/>
        <w:t>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A43B68">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1344A8C8" w:rsidR="00AE79F4" w:rsidRPr="006902F6" w:rsidRDefault="003E5E79" w:rsidP="00FF21CB">
      <w:pPr>
        <w:spacing w:line="480" w:lineRule="auto"/>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19FF0610"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lastRenderedPageBreak/>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 xml:space="preserve">Small pieces of </w:t>
      </w:r>
      <w:r w:rsidR="005E61F3" w:rsidRPr="006902F6">
        <w:rPr>
          <w:rFonts w:eastAsia="Times New Roman" w:cs="Times New Roman"/>
          <w:color w:val="000000" w:themeColor="text1"/>
          <w:shd w:val="clear" w:color="auto" w:fill="FFFFFF"/>
        </w:rPr>
        <w:lastRenderedPageBreak/>
        <w:t>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117DF0F9"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(Lifescan)</w:t>
      </w:r>
      <w:r w:rsidR="00A9523A" w:rsidRPr="006902F6">
        <w:rPr>
          <w:rFonts w:cs="Times New Roman"/>
          <w:color w:val="000000" w:themeColor="text1"/>
        </w:rPr>
        <w:t xml:space="preserve"> prior to and every 15 minutes post injection</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1057DF">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r w:rsidR="00C86E77" w:rsidRPr="006902F6">
        <w:rPr>
          <w:rFonts w:ascii="Calibri" w:hAnsi="Calibri" w:cs="Arial"/>
          <w:color w:val="000000" w:themeColor="text1"/>
        </w:rPr>
        <w:lastRenderedPageBreak/>
        <w:t>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1057DF">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 xml:space="preserve">from these </w:t>
      </w:r>
      <w:r w:rsidR="00873DCF" w:rsidRPr="006902F6">
        <w:rPr>
          <w:color w:val="000000" w:themeColor="text1"/>
        </w:rPr>
        <w:lastRenderedPageBreak/>
        <w:t>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690D8C10"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1057DF">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51B172EB"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w:t>
      </w:r>
      <w:r w:rsidR="00131C99" w:rsidRPr="006902F6">
        <w:rPr>
          <w:rFonts w:eastAsia="Times New Roman" w:cs="Times New Roman"/>
          <w:color w:val="000000" w:themeColor="text1"/>
          <w:szCs w:val="21"/>
          <w:shd w:val="clear" w:color="auto" w:fill="FFFFFF"/>
        </w:rPr>
        <w:lastRenderedPageBreak/>
        <w:t xml:space="preserve">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611F0C79"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delta delta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2828F515"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 xml:space="preserve">loading </w:t>
      </w:r>
      <w:r w:rsidR="00797D9A">
        <w:rPr>
          <w:rFonts w:eastAsia="Times New Roman" w:cs="Times New Roman"/>
          <w:color w:val="000000" w:themeColor="text1"/>
          <w:shd w:val="clear" w:color="auto" w:fill="FFFFFF"/>
        </w:rPr>
        <w:lastRenderedPageBreak/>
        <w:t>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544F9D85"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 xml:space="preserve">may vary according to </w:t>
      </w:r>
      <w:r w:rsidR="00E56A69" w:rsidRPr="006902F6">
        <w:rPr>
          <w:color w:val="000000" w:themeColor="text1"/>
        </w:rPr>
        <w:lastRenderedPageBreak/>
        <w:t>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57F3530"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2B5B4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5A4E16">
        <w:rPr>
          <w:color w:val="000000" w:themeColor="text1"/>
        </w:rPr>
        <w:t>-</w:t>
      </w:r>
      <w:r w:rsidR="00B77F49" w:rsidRPr="006902F6">
        <w:rPr>
          <w:color w:val="000000" w:themeColor="text1"/>
        </w:rPr>
        <w:t>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w:t>
      </w:r>
      <w:r w:rsidR="0003545C" w:rsidRPr="006902F6">
        <w:rPr>
          <w:color w:val="000000" w:themeColor="text1"/>
        </w:rPr>
        <w:lastRenderedPageBreak/>
        <w:t xml:space="preserve">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025F1C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435AF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"(2, 13)", "plainTextFormattedCitation" : "(2, 13)", "previouslyFormattedCitation" : "(2,13)" }, "properties" : { "noteIndex" : 0 }, "schema" : "https://github.com/citation-style-language/schema/raw/master/csl-citation.json" }</w:instrText>
      </w:r>
      <w:r w:rsidR="00C70427" w:rsidRPr="006902F6">
        <w:rPr>
          <w:color w:val="000000" w:themeColor="text1"/>
        </w:rPr>
        <w:fldChar w:fldCharType="separate"/>
      </w:r>
      <w:r w:rsidR="00435AFD" w:rsidRPr="00435AFD">
        <w:rPr>
          <w:noProof/>
          <w:color w:val="000000" w:themeColor="text1"/>
        </w:rPr>
        <w:t>(2, 13)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lastRenderedPageBreak/>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6FD9467B"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EchoMRI.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lastRenderedPageBreak/>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49448EE0" w:rsidR="00A7294B" w:rsidRPr="006902F6" w:rsidRDefault="00001E0D" w:rsidP="00E13216">
      <w:pPr>
        <w:spacing w:line="480" w:lineRule="auto"/>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435AF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"(25, 31)", "plainTextFormattedCitation" : "(25, 31)", "previouslyFormattedCitation" : "(25,31)" }, "properties" : { "noteIndex" : 0 }, "schema" : "https://github.com/citation-style-language/schema/raw/master/csl-citation.json" }</w:instrText>
      </w:r>
      <w:r w:rsidR="00EB7489" w:rsidRPr="006902F6">
        <w:rPr>
          <w:color w:val="000000" w:themeColor="text1"/>
        </w:rPr>
        <w:fldChar w:fldCharType="separate"/>
      </w:r>
      <w:r w:rsidR="00435AFD" w:rsidRPr="00435AFD">
        <w:rPr>
          <w:noProof/>
          <w:color w:val="000000" w:themeColor="text1"/>
        </w:rPr>
        <w:t>(25, 31)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1057DF">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435AF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"(18, 22\u201324)", "plainTextFormattedCitation" : "(18, 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435AFD" w:rsidRPr="00435AFD">
        <w:rPr>
          <w:noProof/>
          <w:color w:val="000000" w:themeColor="text1"/>
        </w:rPr>
        <w:t>(18, 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61B51BAB"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1057DF">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"http://www.mendeley.com/documents/?uuid=9d8964f5-502b-409c-894e-f2bb7f291e4e"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3874C035" w:rsidR="00472706" w:rsidRPr="006902F6" w:rsidRDefault="00271BB3" w:rsidP="00E13216">
      <w:pPr>
        <w:spacing w:line="480" w:lineRule="auto"/>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We then asked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w:t>
      </w:r>
      <w:r w:rsidR="00914AF8">
        <w:rPr>
          <w:color w:val="000000" w:themeColor="text1"/>
        </w:rPr>
        <w:lastRenderedPageBreak/>
        <w:t>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rsidP="00E13216">
      <w:pPr>
        <w:spacing w:line="480" w:lineRule="auto"/>
        <w:rPr>
          <w:color w:val="000000" w:themeColor="text1"/>
        </w:rPr>
      </w:pPr>
    </w:p>
    <w:p w14:paraId="5E9492F1" w14:textId="20BE3FA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52238634"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435AF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"(18, 20, 21)", "plainTextFormattedCitation" : "(18, 20, 21)", "previouslyFormattedCitation" : "(18,20,21)" }, "properties" : { "noteIndex" : 0 }, "schema" : "https://github.com/citation-style-language/schema/raw/master/csl-citation.json" }</w:instrText>
      </w:r>
      <w:r w:rsidR="00B92FF3" w:rsidRPr="006902F6">
        <w:rPr>
          <w:color w:val="000000" w:themeColor="text1"/>
        </w:rPr>
        <w:fldChar w:fldCharType="separate"/>
      </w:r>
      <w:r w:rsidR="00435AFD" w:rsidRPr="00435AFD">
        <w:rPr>
          <w:noProof/>
          <w:color w:val="000000" w:themeColor="text1"/>
        </w:rPr>
        <w:t>(18, 20, 21)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1057D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435AFD">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"http://www.mendeley.com/documents/?uuid=b616fa7d-0240-4b68-ba49-c9013f3a9224",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"http://www.mendeley.com/documents/?uuid=83ee54db-c5d8-4c3f-9375-8e327b8f9f70", "http://www.mendeley.com/documents/?uuid=9b0e6092-c893-426b-8d36-8b9206cef5db", "http://www.mendeley.com/documents/?uuid=10a97710-427f-4c59-8f33-1354d472976d" ] } ], "mendeley" : { "formattedCitation" : "(4, 5)", "plainTextFormattedCitation" : "(4, 5)", "previouslyFormattedCitation" : "(4,5)" }, "properties" : { "noteIndex" : 0 }, "schema" : "https://github.com/citation-style-language/schema/raw/master/csl-citation.json" }</w:instrText>
      </w:r>
      <w:r w:rsidR="00E67369" w:rsidRPr="006902F6">
        <w:rPr>
          <w:color w:val="000000" w:themeColor="text1"/>
        </w:rPr>
        <w:fldChar w:fldCharType="separate"/>
      </w:r>
      <w:r w:rsidR="00435AFD" w:rsidRPr="00435AFD">
        <w:rPr>
          <w:noProof/>
          <w:color w:val="000000" w:themeColor="text1"/>
        </w:rPr>
        <w:t>(4, 5)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435AF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"http://www.mendeley.com/documents/?uuid=5f06f0c4-47ac-417d-aee0-4f1c3c874d9e", "http://www.mendeley.com/documents/?uuid=fef1569c-8032-469d-a491-e058ea19d662" ] } ], "mendeley" : { "formattedCitation" : "(2, 3)", "plainTextFormattedCitation" : "(2, 3)", "previouslyFormattedCitation" : "(2,3)" }, "properties" : { "noteIndex" : 0 }, "schema" : "https://github.com/citation-style-language/schema/raw/master/csl-citation.json" }</w:instrText>
      </w:r>
      <w:r w:rsidR="00E67369" w:rsidRPr="006902F6">
        <w:rPr>
          <w:color w:val="000000" w:themeColor="text1"/>
        </w:rPr>
        <w:fldChar w:fldCharType="separate"/>
      </w:r>
      <w:r w:rsidR="00435AFD" w:rsidRPr="00435AFD">
        <w:rPr>
          <w:noProof/>
          <w:color w:val="000000" w:themeColor="text1"/>
        </w:rPr>
        <w:t>(2, 3)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13216">
      <w:pPr>
        <w:spacing w:line="480" w:lineRule="auto"/>
        <w:rPr>
          <w:color w:val="000000" w:themeColor="text1"/>
        </w:rPr>
      </w:pPr>
    </w:p>
    <w:p w14:paraId="6231B4BB" w14:textId="5BD6D781" w:rsidR="00990237" w:rsidRDefault="00C1438E" w:rsidP="00E13216">
      <w:pPr>
        <w:spacing w:line="480" w:lineRule="auto"/>
        <w:rPr>
          <w:color w:val="000000" w:themeColor="text1"/>
        </w:rPr>
      </w:pPr>
      <w:r>
        <w:rPr>
          <w:color w:val="000000" w:themeColor="text1"/>
        </w:rPr>
        <w:t xml:space="preserve">We </w:t>
      </w:r>
      <w:r w:rsidR="00990237">
        <w:rPr>
          <w:color w:val="000000" w:themeColor="text1"/>
        </w:rPr>
        <w:t>found that</w:t>
      </w:r>
      <w:r w:rsidR="00830B0C" w:rsidRPr="006902F6">
        <w:rPr>
          <w:color w:val="000000" w:themeColor="text1"/>
        </w:rPr>
        <w:t xml:space="preserve"> Cushing’s </w:t>
      </w:r>
      <w:r w:rsidR="00160087">
        <w:rPr>
          <w:color w:val="000000" w:themeColor="text1"/>
        </w:rPr>
        <w:t xml:space="preserve">patients with obesity </w:t>
      </w:r>
      <w:r w:rsidR="000568A8">
        <w:rPr>
          <w:color w:val="000000" w:themeColor="text1"/>
        </w:rPr>
        <w:t>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lastRenderedPageBreak/>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w:t>
      </w:r>
      <w:r w:rsidR="00160087">
        <w:rPr>
          <w:color w:val="000000" w:themeColor="text1"/>
        </w:rPr>
        <w:t xml:space="preserve"> in this group</w:t>
      </w:r>
      <w:r w:rsidR="00830B0C" w:rsidRPr="006902F6">
        <w:rPr>
          <w:color w:val="000000" w:themeColor="text1"/>
        </w:rPr>
        <w:t xml:space="preserv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1057DF">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"http://www.mendeley.com/documents/?uuid=4f7104c6-77cd-45a3-a31a-f4ebcfdcd31b"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435AFD">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 } ], "mendeley" : { "formattedCitation" : "(25, 47)", "plainTextFormattedCitation" : "(25, 47)", "previouslyFormattedCitation" : "(25,47)" }, "properties" : { "noteIndex" : 0 }, "schema" : "https://github.com/citation-style-language/schema/raw/master/csl-citation.json" }</w:instrText>
      </w:r>
      <w:r w:rsidR="00EC2A3E" w:rsidRPr="006902F6">
        <w:rPr>
          <w:color w:val="000000" w:themeColor="text1"/>
        </w:rPr>
        <w:fldChar w:fldCharType="separate"/>
      </w:r>
      <w:r w:rsidR="00435AFD" w:rsidRPr="00435AFD">
        <w:rPr>
          <w:noProof/>
          <w:color w:val="000000" w:themeColor="text1"/>
        </w:rPr>
        <w:t>(25, 47)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13216">
      <w:pPr>
        <w:spacing w:line="480" w:lineRule="auto"/>
        <w:rPr>
          <w:color w:val="000000" w:themeColor="text1"/>
        </w:rPr>
      </w:pPr>
    </w:p>
    <w:p w14:paraId="34AF8A1F" w14:textId="18B7D212" w:rsidR="00830B0C" w:rsidRPr="006902F6" w:rsidRDefault="00C1438E" w:rsidP="00E13216">
      <w:pPr>
        <w:spacing w:line="480" w:lineRule="auto"/>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13216">
      <w:pPr>
        <w:spacing w:line="480" w:lineRule="auto"/>
        <w:rPr>
          <w:color w:val="000000" w:themeColor="text1"/>
        </w:rPr>
      </w:pPr>
    </w:p>
    <w:p w14:paraId="7FCCABF5" w14:textId="2E80981D" w:rsidR="00FE35A0" w:rsidRPr="006902F6" w:rsidRDefault="000A7B19" w:rsidP="00E13216">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 xml:space="preserve">ed ALT levels seen in the </w:t>
      </w:r>
      <w:r w:rsidR="007B76B7" w:rsidRPr="006902F6">
        <w:rPr>
          <w:color w:val="000000" w:themeColor="text1"/>
        </w:rPr>
        <w:t>Cushing’s patients</w:t>
      </w:r>
      <w:r w:rsidR="00C06867">
        <w:rPr>
          <w:color w:val="000000" w:themeColor="text1"/>
        </w:rPr>
        <w:t xml:space="preserve"> with obesity</w:t>
      </w:r>
      <w:r w:rsidR="007B76B7" w:rsidRPr="006902F6">
        <w:rPr>
          <w:color w:val="000000" w:themeColor="text1"/>
        </w:rPr>
        <w:t xml:space="preserve">.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435AFD">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"http://www.mendeley.com/documents/?uuid=fc686488-947e-4e3b-b26d-79364989004b"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"http://www.mendeley.com/documents/?uuid=c75fe831-2d4e-4051-8cda-c6353505354a" ] } ], "mendeley" : { "formattedCitation" : "(48, 49)", "plainTextFormattedCitation" : "(48, 49)", "previouslyFormattedCitation" : "(48,49)" }, "properties" : { "noteIndex" : 0 }, "schema" : "https://github.com/citation-style-language/schema/raw/master/csl-citation.json" }</w:instrText>
      </w:r>
      <w:r w:rsidR="008A2DC1" w:rsidRPr="006902F6">
        <w:rPr>
          <w:color w:val="000000" w:themeColor="text1"/>
        </w:rPr>
        <w:fldChar w:fldCharType="separate"/>
      </w:r>
      <w:r w:rsidR="00435AFD" w:rsidRPr="00435AFD">
        <w:rPr>
          <w:noProof/>
          <w:color w:val="000000" w:themeColor="text1"/>
        </w:rPr>
        <w:t>(48, 49)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435AF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"http://www.mendeley.com/documents/?uuid=c904f032-d2c4-4ac0-9f51-fdf0569f6186", "http://www.mendeley.com/documents/?uuid=cf4da4ff-e9b5-4ab0-8d5a-6572ffb821d6", "http://www.mendeley.com/documents/?uuid=1da3e292-bfda-4026-a263-076714456681" ] } ], "mendeley" : { "formattedCitation" : "(13, 14)", "plainTextFormattedCitation" : "(13, 14)", "previouslyFormattedCitation" : "(13,14)" }, "properties" : { "noteIndex" : 0 }, "schema" : "https://github.com/citation-style-language/schema/raw/master/csl-citation.json" }</w:instrText>
      </w:r>
      <w:r w:rsidR="009672A8" w:rsidRPr="006902F6">
        <w:rPr>
          <w:color w:val="000000" w:themeColor="text1"/>
        </w:rPr>
        <w:fldChar w:fldCharType="separate"/>
      </w:r>
      <w:r w:rsidR="00435AFD" w:rsidRPr="00435AFD">
        <w:rPr>
          <w:noProof/>
          <w:color w:val="000000" w:themeColor="text1"/>
        </w:rPr>
        <w:t>(13, 14)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 xml:space="preserve">in accordance with what others </w:t>
      </w:r>
      <w:r w:rsidR="009D0623" w:rsidRPr="006902F6">
        <w:rPr>
          <w:color w:val="000000" w:themeColor="text1"/>
        </w:rPr>
        <w:lastRenderedPageBreak/>
        <w:t>have reported</w:t>
      </w:r>
      <w:r w:rsidR="00B3692D" w:rsidRPr="006902F6">
        <w:rPr>
          <w:color w:val="000000" w:themeColor="text1"/>
        </w:rPr>
        <w:t xml:space="preserve"> </w:t>
      </w:r>
      <w:r w:rsidR="00065189" w:rsidRPr="006902F6">
        <w:rPr>
          <w:color w:val="000000" w:themeColor="text1"/>
        </w:rPr>
        <w:fldChar w:fldCharType="begin" w:fldLock="1"/>
      </w:r>
      <w:r w:rsidR="001057DF">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13216">
      <w:pPr>
        <w:spacing w:line="480" w:lineRule="auto"/>
        <w:rPr>
          <w:color w:val="000000" w:themeColor="text1"/>
        </w:rPr>
      </w:pPr>
    </w:p>
    <w:p w14:paraId="59378091" w14:textId="1FA347B4"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20BEC">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"(51\u201355)", "plainTextFormattedCitation" : "(51\u201355)", "previouslyFormattedCitation" : "(51\u201355)" }, "properties" : { "noteIndex" : 0 }, "schema" : "https://github.com/citation-style-language/schema/raw/master/csl-citation.json" }</w:instrText>
      </w:r>
      <w:r w:rsidR="004B21DD" w:rsidRPr="006902F6">
        <w:rPr>
          <w:color w:val="000000" w:themeColor="text1"/>
        </w:rPr>
        <w:fldChar w:fldCharType="separate"/>
      </w:r>
      <w:r w:rsidR="00820BEC" w:rsidRPr="00820BEC">
        <w:rPr>
          <w:noProof/>
          <w:color w:val="000000" w:themeColor="text1"/>
        </w:rPr>
        <w:t>(51–55)</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435AFD">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"http://www.mendeley.com/documents/?uuid=abab1c1c-ba35-4498-a8a9-488abee4c8f0",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"http://www.mendeley.com/documents/?uuid=578103db-0dc0-4f58-8312-4f5e34646ac1", "http://www.mendeley.com/documents/?uuid=69aae210-2ae5-4c4a-bf83-a5cfaa81a046", "http://www.mendeley.com/documents/?uuid=5a481857-c52b-48f7-9d61-41c81c341e1d" ] } ], "mendeley" : { "formattedCitation" : "(53, 54)", "plainTextFormattedCitation" : "(53, 54)", "previouslyFormattedCitation" : "(53,54)" }, "properties" : { "noteIndex" : 0 }, "schema" : "https://github.com/citation-style-language/schema/raw/master/csl-citation.json" }</w:instrText>
      </w:r>
      <w:r w:rsidRPr="006902F6">
        <w:rPr>
          <w:color w:val="000000" w:themeColor="text1"/>
        </w:rPr>
        <w:fldChar w:fldCharType="separate"/>
      </w:r>
      <w:r w:rsidR="00435AFD" w:rsidRPr="00435AFD">
        <w:rPr>
          <w:noProof/>
          <w:color w:val="000000" w:themeColor="text1"/>
        </w:rPr>
        <w:t>(53, 54)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435AF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"(18, 22\u201324)", "plainTextFormattedCitation" : "(18, 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435AFD" w:rsidRPr="00435AFD">
        <w:rPr>
          <w:noProof/>
          <w:color w:val="000000" w:themeColor="text1"/>
        </w:rPr>
        <w:t>(18, 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435AF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"(25, 31)", "plainTextFormattedCitation" : "(25, 31)", "previouslyFormattedCitation" : "(25,31)" }, "properties" : { "noteIndex" : 0 }, "schema" : "https://github.com/citation-style-language/schema/raw/master/csl-citation.json" }</w:instrText>
      </w:r>
      <w:r w:rsidR="00FE35A0" w:rsidRPr="006902F6">
        <w:rPr>
          <w:color w:val="000000" w:themeColor="text1"/>
        </w:rPr>
        <w:fldChar w:fldCharType="separate"/>
      </w:r>
      <w:r w:rsidR="00435AFD" w:rsidRPr="00435AFD">
        <w:rPr>
          <w:noProof/>
          <w:color w:val="000000" w:themeColor="text1"/>
        </w:rPr>
        <w:t>(25, 31)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1057DF">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20BEC">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"(56)", "plainTextFormattedCitation" : "(56)", "previouslyFormattedCitation" : "(56)" }, "properties" : { "noteIndex" : 0 }, "schema" : "https://github.com/citation-style-language/schema/raw/master/csl-citation.json" }</w:instrText>
      </w:r>
      <w:r w:rsidR="00FE35A0" w:rsidRPr="006902F6">
        <w:rPr>
          <w:color w:val="000000" w:themeColor="text1"/>
        </w:rPr>
        <w:fldChar w:fldCharType="separate"/>
      </w:r>
      <w:r w:rsidR="00820BEC" w:rsidRPr="00820BEC">
        <w:rPr>
          <w:noProof/>
          <w:color w:val="000000" w:themeColor="text1"/>
        </w:rPr>
        <w:t>(56)</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1CD3293E" w14:textId="487BBCA3" w:rsidR="00EA22A1"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20BEC">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820BEC" w:rsidRPr="00820BEC">
        <w:rPr>
          <w:noProof/>
          <w:color w:val="000000" w:themeColor="text1"/>
        </w:rPr>
        <w:t>(57)</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20BEC">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"(58)", "plainTextFormattedCitation" : "(58)", "previouslyFormattedCitation" : "(58)" }, "properties" : { "noteIndex" : 0 }, "schema" : "https://github.com/citation-style-language/schema/raw/master/csl-citation.json" }</w:instrText>
      </w:r>
      <w:r w:rsidRPr="006902F6">
        <w:rPr>
          <w:color w:val="000000" w:themeColor="text1"/>
        </w:rPr>
        <w:fldChar w:fldCharType="separate"/>
      </w:r>
      <w:r w:rsidR="00820BEC" w:rsidRPr="00820BEC">
        <w:rPr>
          <w:noProof/>
          <w:color w:val="000000" w:themeColor="text1"/>
        </w:rPr>
        <w:t>(58)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435AF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"(35, 59, 60)", "plainTextFormattedCitation" : "(35, 59, 60)", "previouslyFormattedCitation" : "(35,59,60)" }, "properties" : { "noteIndex" : 0 }, "schema" : "https://github.com/citation-style-language/schema/raw/master/csl-citation.json" }</w:instrText>
      </w:r>
      <w:r w:rsidRPr="006902F6">
        <w:rPr>
          <w:color w:val="000000" w:themeColor="text1"/>
        </w:rPr>
        <w:fldChar w:fldCharType="separate"/>
      </w:r>
      <w:r w:rsidR="00435AFD" w:rsidRPr="00435AFD">
        <w:rPr>
          <w:noProof/>
          <w:color w:val="000000" w:themeColor="text1"/>
        </w:rPr>
        <w:t>(35, 59, 60)</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w:t>
      </w:r>
      <w:r w:rsidR="00621EDB" w:rsidRPr="006902F6">
        <w:rPr>
          <w:color w:val="000000" w:themeColor="text1"/>
        </w:rPr>
        <w:lastRenderedPageBreak/>
        <w:t>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rsidP="00E13216">
      <w:pPr>
        <w:spacing w:line="480" w:lineRule="auto"/>
        <w:rPr>
          <w:color w:val="000000" w:themeColor="text1"/>
        </w:rPr>
      </w:pPr>
    </w:p>
    <w:p w14:paraId="5FD2AFF5" w14:textId="59D53F8C" w:rsidR="00CD1457" w:rsidRPr="006902F6" w:rsidRDefault="00CD1457" w:rsidP="00E13216">
      <w:pPr>
        <w:spacing w:line="480" w:lineRule="auto"/>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435AF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"(15, 16, 61)", "plainTextFormattedCitation" : "(15, 16, 61)", "previouslyFormattedCitation" : "(15,16,61)" }, "properties" : { "noteIndex" : 0 }, "schema" : "https://github.com/citation-style-language/schema/raw/master/csl-citation.json" }</w:instrText>
      </w:r>
      <w:r w:rsidR="00022845" w:rsidRPr="006902F6">
        <w:rPr>
          <w:color w:val="000000" w:themeColor="text1"/>
        </w:rPr>
        <w:fldChar w:fldCharType="separate"/>
      </w:r>
      <w:r w:rsidR="00435AFD" w:rsidRPr="00435AFD">
        <w:rPr>
          <w:noProof/>
          <w:color w:val="000000" w:themeColor="text1"/>
        </w:rPr>
        <w:t>(15, 16, 61)</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AB658B4"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r w:rsidR="009C5B00" w:rsidRPr="006902F6">
        <w:rPr>
          <w:color w:val="000000" w:themeColor="text1"/>
        </w:rPr>
        <w:t xml:space="preserve">lipolytic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lastRenderedPageBreak/>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2D654DFF" w14:textId="4252D2CF" w:rsidR="00435AFD" w:rsidRPr="00435AFD" w:rsidRDefault="00A43B68" w:rsidP="00435AFD">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435AFD" w:rsidRPr="00435AFD">
        <w:rPr>
          <w:rFonts w:ascii="Calibri" w:eastAsia="Times New Roman" w:hAnsi="Calibri" w:cs="Times New Roman"/>
          <w:noProof/>
        </w:rPr>
        <w:t xml:space="preserve">1. </w:t>
      </w:r>
      <w:r w:rsidR="00435AFD" w:rsidRPr="00435AFD">
        <w:rPr>
          <w:rFonts w:ascii="Calibri" w:eastAsia="Times New Roman" w:hAnsi="Calibri" w:cs="Times New Roman"/>
          <w:noProof/>
        </w:rPr>
        <w:tab/>
        <w:t>Rutters F, Nieuw</w:t>
      </w:r>
      <w:bookmarkStart w:id="0" w:name="_GoBack"/>
      <w:bookmarkEnd w:id="0"/>
      <w:r w:rsidR="00435AFD" w:rsidRPr="00435AFD">
        <w:rPr>
          <w:rFonts w:ascii="Calibri" w:eastAsia="Times New Roman" w:hAnsi="Calibri" w:cs="Times New Roman"/>
          <w:noProof/>
        </w:rPr>
        <w:t>enhuizen AG, Lemmens SGT, Born JM, Westerterp-plantenga MS. Hypothalamic – Pituitary – Adrenal ( HPA ) axis functioning in relation to body fat distribution. 2010:738–743.</w:t>
      </w:r>
    </w:p>
    <w:p w14:paraId="226E0176"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 </w:t>
      </w:r>
      <w:r w:rsidRPr="00435AFD">
        <w:rPr>
          <w:rFonts w:ascii="Calibri" w:eastAsia="Times New Roman" w:hAnsi="Calibri" w:cs="Times New Roman"/>
          <w:noProof/>
        </w:rPr>
        <w:tab/>
        <w:t xml:space="preserve">Rockall A, Sohaib S, Evans D,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Hepatic steatosis in Cushing’s syndrome: a radiological assessment using computed tomography. </w:t>
      </w:r>
      <w:r w:rsidRPr="00435AFD">
        <w:rPr>
          <w:rFonts w:ascii="Calibri" w:eastAsia="Times New Roman" w:hAnsi="Calibri" w:cs="Times New Roman"/>
          <w:i/>
          <w:iCs/>
          <w:noProof/>
        </w:rPr>
        <w:t>Eur J Endocrinol</w:t>
      </w:r>
      <w:r w:rsidRPr="00435AFD">
        <w:rPr>
          <w:rFonts w:ascii="Calibri" w:eastAsia="Times New Roman" w:hAnsi="Calibri" w:cs="Times New Roman"/>
          <w:noProof/>
        </w:rPr>
        <w:t xml:space="preserve"> 2003;149:543–548.</w:t>
      </w:r>
    </w:p>
    <w:p w14:paraId="713ACCD4"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 </w:t>
      </w:r>
      <w:r w:rsidRPr="00435AFD">
        <w:rPr>
          <w:rFonts w:ascii="Calibri" w:eastAsia="Times New Roman" w:hAnsi="Calibri" w:cs="Times New Roman"/>
          <w:noProof/>
        </w:rPr>
        <w:tab/>
        <w:t>Cerda J, Fardella CE, Arrese M. Overexpression of 11 b -hydroxysteroid dehydrogenase type 1 in visceral adipose tissue and portal hypercortisolism in non-alcoholic fatty liver disease. 2012:392–399.</w:t>
      </w:r>
    </w:p>
    <w:p w14:paraId="77D0CD5C"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 </w:t>
      </w:r>
      <w:r w:rsidRPr="00435AFD">
        <w:rPr>
          <w:rFonts w:ascii="Calibri" w:eastAsia="Times New Roman" w:hAnsi="Calibri" w:cs="Times New Roman"/>
          <w:noProof/>
        </w:rPr>
        <w:tab/>
        <w:t>Pivonello R, Martino MC De, Leo M De, Lombardi G, Colao A. Cushing’s Syndrome. 2008;37:135–149.</w:t>
      </w:r>
    </w:p>
    <w:p w14:paraId="2063357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 </w:t>
      </w:r>
      <w:r w:rsidRPr="00435AFD">
        <w:rPr>
          <w:rFonts w:ascii="Calibri" w:eastAsia="Times New Roman" w:hAnsi="Calibri" w:cs="Times New Roman"/>
          <w:noProof/>
        </w:rPr>
        <w:tab/>
        <w:t>Resmini E, Minuto ÆF, Colao A, Ferone ÆD. Secondary diabetes associated with principal endocrinopathies : the impact of new treatment modalities. 2009:85–95.</w:t>
      </w:r>
    </w:p>
    <w:p w14:paraId="1905DCA3"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6. </w:t>
      </w:r>
      <w:r w:rsidRPr="00435AFD">
        <w:rPr>
          <w:rFonts w:ascii="Calibri" w:eastAsia="Times New Roman" w:hAnsi="Calibri" w:cs="Times New Roman"/>
          <w:noProof/>
        </w:rPr>
        <w:tab/>
        <w:t xml:space="preserve">Overman R a., Yeh JY, Deal CL. Prevalence of oral glucocorticoid usage in the United States: A general population perspective. </w:t>
      </w:r>
      <w:r w:rsidRPr="00435AFD">
        <w:rPr>
          <w:rFonts w:ascii="Calibri" w:eastAsia="Times New Roman" w:hAnsi="Calibri" w:cs="Times New Roman"/>
          <w:i/>
          <w:iCs/>
          <w:noProof/>
        </w:rPr>
        <w:t>Arthritis Care Res</w:t>
      </w:r>
      <w:r w:rsidRPr="00435AFD">
        <w:rPr>
          <w:rFonts w:ascii="Calibri" w:eastAsia="Times New Roman" w:hAnsi="Calibri" w:cs="Times New Roman"/>
          <w:noProof/>
        </w:rPr>
        <w:t xml:space="preserve"> 2013;65:294–298.</w:t>
      </w:r>
    </w:p>
    <w:p w14:paraId="10EE0F9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7. </w:t>
      </w:r>
      <w:r w:rsidRPr="00435AFD">
        <w:rPr>
          <w:rFonts w:ascii="Calibri" w:eastAsia="Times New Roman" w:hAnsi="Calibri" w:cs="Times New Roman"/>
          <w:noProof/>
        </w:rPr>
        <w:tab/>
        <w:t>Fardet L, Petersen I, Nazareth I. Original article Prevalence of long-term oral glucocorticoid prescriptions in the UK over the past 20 years. 2011.</w:t>
      </w:r>
    </w:p>
    <w:p w14:paraId="17D9CEEF"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8. </w:t>
      </w:r>
      <w:r w:rsidRPr="00435AFD">
        <w:rPr>
          <w:rFonts w:ascii="Calibri" w:eastAsia="Times New Roman" w:hAnsi="Calibri" w:cs="Times New Roman"/>
          <w:noProof/>
        </w:rPr>
        <w:tab/>
        <w:t xml:space="preserve">Hsiao C, Ph D, Cherry DK,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National Ambulatory Medical Care Survey : 2007 Summary. 2010.</w:t>
      </w:r>
    </w:p>
    <w:p w14:paraId="19E45296"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9. </w:t>
      </w:r>
      <w:r w:rsidRPr="00435AFD">
        <w:rPr>
          <w:rFonts w:ascii="Calibri" w:eastAsia="Times New Roman" w:hAnsi="Calibri" w:cs="Times New Roman"/>
          <w:noProof/>
        </w:rPr>
        <w:tab/>
        <w:t>Laugesen K, Otto J, Jørgensen L, Sørensen HT, Petersen I. Systemic glucocorticoid use in Denmark : a population-based prevalence study. 2017:1–6.</w:t>
      </w:r>
    </w:p>
    <w:p w14:paraId="6740FAF7"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10. </w:t>
      </w:r>
      <w:r w:rsidRPr="00435AFD">
        <w:rPr>
          <w:rFonts w:ascii="Calibri" w:eastAsia="Times New Roman" w:hAnsi="Calibri" w:cs="Times New Roman"/>
          <w:noProof/>
        </w:rPr>
        <w:tab/>
        <w:t>Karam JH, Grodsky GM, Ph D, Forsham PH. Excessive Insulin Response to Glucose in Obese Subjects as Measured by Immunochemical Assay.</w:t>
      </w:r>
    </w:p>
    <w:p w14:paraId="42E8B198"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11. </w:t>
      </w:r>
      <w:r w:rsidRPr="00435AFD">
        <w:rPr>
          <w:rFonts w:ascii="Calibri" w:eastAsia="Times New Roman" w:hAnsi="Calibri" w:cs="Times New Roman"/>
          <w:noProof/>
        </w:rPr>
        <w:tab/>
        <w:t xml:space="preserve">Bagdadea JD, Bierman EL, Porte D, Ii JR, Nih W, Presented GF-. The Significance of Basal </w:t>
      </w:r>
      <w:r w:rsidRPr="00435AFD">
        <w:rPr>
          <w:rFonts w:ascii="Calibri" w:eastAsia="Times New Roman" w:hAnsi="Calibri" w:cs="Times New Roman"/>
          <w:noProof/>
        </w:rPr>
        <w:lastRenderedPageBreak/>
        <w:t>Insulin Levels in the Evaluation of the Insulin Response to Glucose in Diabetic and Nondiabetic Subjects *. 1967;46.</w:t>
      </w:r>
    </w:p>
    <w:p w14:paraId="73F1E237"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12. </w:t>
      </w:r>
      <w:r w:rsidRPr="00435AFD">
        <w:rPr>
          <w:rFonts w:ascii="Calibri" w:eastAsia="Times New Roman" w:hAnsi="Calibri" w:cs="Times New Roman"/>
          <w:noProof/>
        </w:rPr>
        <w:tab/>
        <w:t>Steffensen C, Pereira AM, Dekkers OM. Prevalence of hypercortisolism in type 2 diabetes patients : a systematic review and. 2016.</w:t>
      </w:r>
    </w:p>
    <w:p w14:paraId="21805B8F"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13. </w:t>
      </w:r>
      <w:r w:rsidRPr="00435AFD">
        <w:rPr>
          <w:rFonts w:ascii="Calibri" w:eastAsia="Times New Roman" w:hAnsi="Calibri" w:cs="Times New Roman"/>
          <w:noProof/>
        </w:rPr>
        <w:tab/>
        <w:t xml:space="preserve">Wanless I, Lentz J. Fatty Liver Hepatitis ( Steatohepatitis ) and Obesity : An Autopsy Study with Analysis of Risk Factors. </w:t>
      </w:r>
      <w:r w:rsidRPr="00435AFD">
        <w:rPr>
          <w:rFonts w:ascii="Calibri" w:eastAsia="Times New Roman" w:hAnsi="Calibri" w:cs="Times New Roman"/>
          <w:i/>
          <w:iCs/>
          <w:noProof/>
        </w:rPr>
        <w:t>Hepatology</w:t>
      </w:r>
      <w:r w:rsidRPr="00435AFD">
        <w:rPr>
          <w:rFonts w:ascii="Calibri" w:eastAsia="Times New Roman" w:hAnsi="Calibri" w:cs="Times New Roman"/>
          <w:noProof/>
        </w:rPr>
        <w:t xml:space="preserve"> 1990;12:1106–1110.</w:t>
      </w:r>
    </w:p>
    <w:p w14:paraId="54452EE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14. </w:t>
      </w:r>
      <w:r w:rsidRPr="00435AFD">
        <w:rPr>
          <w:rFonts w:ascii="Calibri" w:eastAsia="Times New Roman" w:hAnsi="Calibri" w:cs="Times New Roman"/>
          <w:noProof/>
        </w:rPr>
        <w:tab/>
        <w:t>Youssef WI, Mccullough AJ. Steatohepatitis in obese individuals. 2002;16:733–747.</w:t>
      </w:r>
    </w:p>
    <w:p w14:paraId="7D2619DA"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15. </w:t>
      </w:r>
      <w:r w:rsidRPr="00435AFD">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39BAC5A5"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16. </w:t>
      </w:r>
      <w:r w:rsidRPr="00435AFD">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4D3D11C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17. </w:t>
      </w:r>
      <w:r w:rsidRPr="00435AF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435AFD">
        <w:rPr>
          <w:rFonts w:ascii="Calibri" w:eastAsia="Times New Roman" w:hAnsi="Calibri" w:cs="Times New Roman"/>
          <w:i/>
          <w:iCs/>
          <w:noProof/>
        </w:rPr>
        <w:t>J Clin Invest</w:t>
      </w:r>
      <w:r w:rsidRPr="00435AFD">
        <w:rPr>
          <w:rFonts w:ascii="Calibri" w:eastAsia="Times New Roman" w:hAnsi="Calibri" w:cs="Times New Roman"/>
          <w:noProof/>
        </w:rPr>
        <w:t xml:space="preserve"> 1995;96:2113–2119.</w:t>
      </w:r>
    </w:p>
    <w:p w14:paraId="3ADEBF2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18. </w:t>
      </w:r>
      <w:r w:rsidRPr="00435AFD">
        <w:rPr>
          <w:rFonts w:ascii="Calibri" w:eastAsia="Times New Roman" w:hAnsi="Calibri" w:cs="Times New Roman"/>
          <w:noProof/>
        </w:rPr>
        <w:tab/>
        <w:t xml:space="preserve">Hochberg I, Harvey I, Tran QT,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Gene expression changes in subcutaneous adipose tissue due to Cushing’s disease. </w:t>
      </w:r>
      <w:r w:rsidRPr="00435AFD">
        <w:rPr>
          <w:rFonts w:ascii="Calibri" w:eastAsia="Times New Roman" w:hAnsi="Calibri" w:cs="Times New Roman"/>
          <w:i/>
          <w:iCs/>
          <w:noProof/>
        </w:rPr>
        <w:t>J Mol Endocrinol</w:t>
      </w:r>
      <w:r w:rsidRPr="00435AFD">
        <w:rPr>
          <w:rFonts w:ascii="Calibri" w:eastAsia="Times New Roman" w:hAnsi="Calibri" w:cs="Times New Roman"/>
          <w:noProof/>
        </w:rPr>
        <w:t xml:space="preserve"> 2015;55:81–94.</w:t>
      </w:r>
    </w:p>
    <w:p w14:paraId="0E5905A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19. </w:t>
      </w:r>
      <w:r w:rsidRPr="00435AFD">
        <w:rPr>
          <w:rFonts w:ascii="Calibri" w:eastAsia="Times New Roman" w:hAnsi="Calibri" w:cs="Times New Roman"/>
          <w:noProof/>
        </w:rPr>
        <w:tab/>
        <w:t xml:space="preserve">Schakman O, Kalista S, Barbé C, Loumaye A, Thissen JP. Glucocorticoid-induced skeletal muscle atrophy </w:t>
      </w:r>
      <w:r w:rsidRPr="00435AFD">
        <w:rPr>
          <w:rFonts w:ascii="Oriya Sangam MN" w:eastAsia="Oriya Sangam MN" w:hAnsi="Oriya Sangam MN" w:cs="Oriya Sangam MN"/>
          <w:noProof/>
        </w:rPr>
        <w:t>ଝ</w:t>
      </w:r>
      <w:r w:rsidRPr="00435AFD">
        <w:rPr>
          <w:rFonts w:ascii="Calibri" w:eastAsia="Times New Roman" w:hAnsi="Calibri" w:cs="Times New Roman"/>
          <w:noProof/>
        </w:rPr>
        <w:t xml:space="preserve">. </w:t>
      </w:r>
      <w:r w:rsidRPr="00435AFD">
        <w:rPr>
          <w:rFonts w:ascii="Calibri" w:eastAsia="Times New Roman" w:hAnsi="Calibri" w:cs="Times New Roman"/>
          <w:i/>
          <w:iCs/>
          <w:noProof/>
        </w:rPr>
        <w:t>Int J Biochem Cell Biol</w:t>
      </w:r>
      <w:r w:rsidRPr="00435AFD">
        <w:rPr>
          <w:rFonts w:ascii="Calibri" w:eastAsia="Times New Roman" w:hAnsi="Calibri" w:cs="Times New Roman"/>
          <w:noProof/>
        </w:rPr>
        <w:t xml:space="preserve"> 2013;45:2163–2172.</w:t>
      </w:r>
    </w:p>
    <w:p w14:paraId="083BA002"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20. </w:t>
      </w:r>
      <w:r w:rsidRPr="00435AFD">
        <w:rPr>
          <w:rFonts w:ascii="Calibri" w:eastAsia="Times New Roman" w:hAnsi="Calibri" w:cs="Times New Roman"/>
          <w:noProof/>
        </w:rPr>
        <w:tab/>
        <w:t xml:space="preserve">Abad V, Chrousos GP, Reynolds JC,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72761E4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21. </w:t>
      </w:r>
      <w:r w:rsidRPr="00435AFD">
        <w:rPr>
          <w:rFonts w:ascii="Calibri" w:eastAsia="Times New Roman" w:hAnsi="Calibri" w:cs="Times New Roman"/>
          <w:noProof/>
        </w:rPr>
        <w:tab/>
        <w:t xml:space="preserve">Geer EB, Shen W, Gallagher D,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Female Patients with Cushing ’ s Disease. 2011;73:469–475.</w:t>
      </w:r>
    </w:p>
    <w:p w14:paraId="38737FE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22. </w:t>
      </w:r>
      <w:r w:rsidRPr="00435AFD">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41FF788B"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23. </w:t>
      </w:r>
      <w:r w:rsidRPr="00435AFD">
        <w:rPr>
          <w:rFonts w:ascii="Calibri" w:eastAsia="Times New Roman" w:hAnsi="Calibri" w:cs="Times New Roman"/>
          <w:noProof/>
        </w:rPr>
        <w:tab/>
        <w:t xml:space="preserve">Kršek M, Rosická M, Nedvídková J,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00C05759"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24. </w:t>
      </w:r>
      <w:r w:rsidRPr="00435AFD">
        <w:rPr>
          <w:rFonts w:ascii="Calibri" w:eastAsia="Times New Roman" w:hAnsi="Calibri" w:cs="Times New Roman"/>
          <w:noProof/>
        </w:rPr>
        <w:tab/>
        <w:t xml:space="preserve">Djurhuus CB, Gravholt CH, Nielsen S,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Effects of cortisol on lipolysis and regional interstitial glycerol levels in humans. </w:t>
      </w:r>
      <w:r w:rsidRPr="00435AFD">
        <w:rPr>
          <w:rFonts w:ascii="Calibri" w:eastAsia="Times New Roman" w:hAnsi="Calibri" w:cs="Times New Roman"/>
          <w:i/>
          <w:iCs/>
          <w:noProof/>
        </w:rPr>
        <w:t>Am J Physiol Endocrinol Metab</w:t>
      </w:r>
      <w:r w:rsidRPr="00435AFD">
        <w:rPr>
          <w:rFonts w:ascii="Calibri" w:eastAsia="Times New Roman" w:hAnsi="Calibri" w:cs="Times New Roman"/>
          <w:noProof/>
        </w:rPr>
        <w:t xml:space="preserve"> 2002;283:E172–E177.</w:t>
      </w:r>
    </w:p>
    <w:p w14:paraId="6DE3A58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25. </w:t>
      </w:r>
      <w:r w:rsidRPr="00435AFD">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51532994"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26. </w:t>
      </w:r>
      <w:r w:rsidRPr="00435AF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435AFD">
        <w:rPr>
          <w:rFonts w:ascii="Calibri" w:eastAsia="Times New Roman" w:hAnsi="Calibri" w:cs="Times New Roman"/>
          <w:i/>
          <w:iCs/>
          <w:noProof/>
        </w:rPr>
        <w:t>Nat Publ Gr</w:t>
      </w:r>
      <w:r w:rsidRPr="00435AFD">
        <w:rPr>
          <w:rFonts w:ascii="Calibri" w:eastAsia="Times New Roman" w:hAnsi="Calibri" w:cs="Times New Roman"/>
          <w:noProof/>
        </w:rPr>
        <w:t xml:space="preserve"> 2015:1–6.</w:t>
      </w:r>
    </w:p>
    <w:p w14:paraId="7E6EF4D8"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27. </w:t>
      </w:r>
      <w:r w:rsidRPr="00435AFD">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01B3F9C2"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28. </w:t>
      </w:r>
      <w:r w:rsidRPr="00435AFD">
        <w:rPr>
          <w:rFonts w:ascii="Calibri" w:eastAsia="Times New Roman" w:hAnsi="Calibri" w:cs="Times New Roman"/>
          <w:noProof/>
        </w:rPr>
        <w:tab/>
        <w:t xml:space="preserve">Gastaldelli A, Harrison SA, Belfort-aguilar R,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Importance of Changes in Adipose </w:t>
      </w:r>
      <w:r w:rsidRPr="00435AFD">
        <w:rPr>
          <w:rFonts w:ascii="Calibri" w:eastAsia="Times New Roman" w:hAnsi="Calibri" w:cs="Times New Roman"/>
          <w:noProof/>
        </w:rPr>
        <w:lastRenderedPageBreak/>
        <w:t>Tissue Insulin Resistance to Histological Response During Thiazolidinedione Treatment of Patients with Nonalcoholic Steatohepatitis. 2009.</w:t>
      </w:r>
    </w:p>
    <w:p w14:paraId="7081418B"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29. </w:t>
      </w:r>
      <w:r w:rsidRPr="00435AFD">
        <w:rPr>
          <w:rFonts w:ascii="Calibri" w:eastAsia="Times New Roman" w:hAnsi="Calibri" w:cs="Times New Roman"/>
          <w:noProof/>
        </w:rPr>
        <w:tab/>
        <w:t>Westerbacka J, Rvi AS, Halavaara J, Yki-ja H. Fat Accumulation in the Liver Is Associated with Defects in Insulin Suppression of Glucose Production and Serum Free Fatty Acids Independent of Obesity in Normal Men. 2002;87:3023–3028.</w:t>
      </w:r>
    </w:p>
    <w:p w14:paraId="29BC68F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30. </w:t>
      </w:r>
      <w:r w:rsidRPr="00435AFD">
        <w:rPr>
          <w:rFonts w:ascii="Calibri" w:eastAsia="Times New Roman" w:hAnsi="Calibri" w:cs="Times New Roman"/>
          <w:noProof/>
        </w:rPr>
        <w:tab/>
        <w:t xml:space="preserve">Bugianesi E, Gastadelli A, Vanni E,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Insulin resistance in non-diabetic patients with non-alcoholic fatty liver disease : sites and mechanisms. </w:t>
      </w:r>
      <w:r w:rsidRPr="00435AFD">
        <w:rPr>
          <w:rFonts w:ascii="Calibri" w:eastAsia="Times New Roman" w:hAnsi="Calibri" w:cs="Times New Roman"/>
          <w:i/>
          <w:iCs/>
          <w:noProof/>
        </w:rPr>
        <w:t>Diabetologia</w:t>
      </w:r>
      <w:r w:rsidRPr="00435AFD">
        <w:rPr>
          <w:rFonts w:ascii="Calibri" w:eastAsia="Times New Roman" w:hAnsi="Calibri" w:cs="Times New Roman"/>
          <w:noProof/>
        </w:rPr>
        <w:t xml:space="preserve"> 2005;48:634–642.</w:t>
      </w:r>
    </w:p>
    <w:p w14:paraId="3C1277E9"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31. </w:t>
      </w:r>
      <w:r w:rsidRPr="00435AFD">
        <w:rPr>
          <w:rFonts w:ascii="Calibri" w:eastAsia="Times New Roman" w:hAnsi="Calibri" w:cs="Times New Roman"/>
          <w:noProof/>
        </w:rPr>
        <w:tab/>
        <w:t xml:space="preserve">Edgerton DS, Kraft G, Smith M,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Insulin ’ s direct hepatic effect explains the inhibition of glucose production caused by insulin secretion. 2017;2:1–14.</w:t>
      </w:r>
    </w:p>
    <w:p w14:paraId="2B8EEC61"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32. </w:t>
      </w:r>
      <w:r w:rsidRPr="00435AFD">
        <w:rPr>
          <w:rFonts w:ascii="Calibri" w:eastAsia="Times New Roman" w:hAnsi="Calibri" w:cs="Times New Roman"/>
          <w:noProof/>
        </w:rPr>
        <w:tab/>
        <w:t xml:space="preserve">Corbit KC, Camporez JPG, Tran JL,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Adipocyte JAK2 mediates growth hormone – induced hepatic insulin resistance. 2017;2:1–14.</w:t>
      </w:r>
    </w:p>
    <w:p w14:paraId="250F0AB3"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33. </w:t>
      </w:r>
      <w:r w:rsidRPr="00435AFD">
        <w:rPr>
          <w:rFonts w:ascii="Calibri" w:eastAsia="Times New Roman" w:hAnsi="Calibri" w:cs="Times New Roman"/>
          <w:noProof/>
        </w:rPr>
        <w:tab/>
        <w:t xml:space="preserve">Schoiswohl G, Stefanovic-Racic M, Menke MN,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Impact of Reduced ATGL-Mediated Adipocyte Lipolysis on Obesity-Associated Insulin Resistance and Inflammation in Male Mice. </w:t>
      </w:r>
      <w:r w:rsidRPr="00435AFD">
        <w:rPr>
          <w:rFonts w:ascii="Calibri" w:eastAsia="Times New Roman" w:hAnsi="Calibri" w:cs="Times New Roman"/>
          <w:i/>
          <w:iCs/>
          <w:noProof/>
        </w:rPr>
        <w:t>Endocrinology</w:t>
      </w:r>
      <w:r w:rsidRPr="00435AFD">
        <w:rPr>
          <w:rFonts w:ascii="Calibri" w:eastAsia="Times New Roman" w:hAnsi="Calibri" w:cs="Times New Roman"/>
          <w:noProof/>
        </w:rPr>
        <w:t xml:space="preserve"> 2015;156:3610–3624.</w:t>
      </w:r>
    </w:p>
    <w:p w14:paraId="4D1A371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34. </w:t>
      </w:r>
      <w:r w:rsidRPr="00435AFD">
        <w:rPr>
          <w:rFonts w:ascii="Calibri" w:eastAsia="Times New Roman" w:hAnsi="Calibri" w:cs="Times New Roman"/>
          <w:noProof/>
        </w:rPr>
        <w:tab/>
        <w:t xml:space="preserve">Mueller KM, Hartmann K, Kaltenecker D,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01C13552"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35. </w:t>
      </w:r>
      <w:r w:rsidRPr="00435AFD">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435AFD">
        <w:rPr>
          <w:rFonts w:ascii="Calibri" w:eastAsia="Times New Roman" w:hAnsi="Calibri" w:cs="Times New Roman"/>
          <w:i/>
          <w:iCs/>
          <w:noProof/>
        </w:rPr>
        <w:t>Mol Metab</w:t>
      </w:r>
      <w:r w:rsidRPr="00435AFD">
        <w:rPr>
          <w:rFonts w:ascii="Calibri" w:eastAsia="Times New Roman" w:hAnsi="Calibri" w:cs="Times New Roman"/>
          <w:noProof/>
        </w:rPr>
        <w:t xml:space="preserve"> 2017.</w:t>
      </w:r>
    </w:p>
    <w:p w14:paraId="6C273FD6"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36. </w:t>
      </w:r>
      <w:r w:rsidRPr="00435AFD">
        <w:rPr>
          <w:rFonts w:ascii="Calibri" w:eastAsia="Times New Roman" w:hAnsi="Calibri" w:cs="Times New Roman"/>
          <w:noProof/>
        </w:rPr>
        <w:tab/>
        <w:t xml:space="preserve">Morgan SA, McCabe EL, Gathercole LL,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11β-HSD1 is the major regulator of the tissue-specific effects of circulating glucocorticoid excess. </w:t>
      </w:r>
      <w:r w:rsidRPr="00435AFD">
        <w:rPr>
          <w:rFonts w:ascii="Calibri" w:eastAsia="Times New Roman" w:hAnsi="Calibri" w:cs="Times New Roman"/>
          <w:i/>
          <w:iCs/>
          <w:noProof/>
        </w:rPr>
        <w:t>Proc Natl Acad Sci U S A</w:t>
      </w:r>
      <w:r w:rsidRPr="00435AFD">
        <w:rPr>
          <w:rFonts w:ascii="Calibri" w:eastAsia="Times New Roman" w:hAnsi="Calibri" w:cs="Times New Roman"/>
          <w:noProof/>
        </w:rPr>
        <w:t xml:space="preserve"> 2014.</w:t>
      </w:r>
    </w:p>
    <w:p w14:paraId="38C8E5AA"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37. </w:t>
      </w:r>
      <w:r w:rsidRPr="00435AFD">
        <w:rPr>
          <w:rFonts w:ascii="Calibri" w:eastAsia="Times New Roman" w:hAnsi="Calibri" w:cs="Times New Roman"/>
          <w:noProof/>
        </w:rPr>
        <w:tab/>
        <w:t xml:space="preserve">Wang Y, Yan C, Liu L,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435AFD">
        <w:rPr>
          <w:rFonts w:ascii="Calibri" w:eastAsia="Times New Roman" w:hAnsi="Calibri" w:cs="Times New Roman"/>
          <w:i/>
          <w:iCs/>
          <w:noProof/>
        </w:rPr>
        <w:t>AJP Endocrinol Metab</w:t>
      </w:r>
      <w:r w:rsidRPr="00435AFD">
        <w:rPr>
          <w:rFonts w:ascii="Calibri" w:eastAsia="Times New Roman" w:hAnsi="Calibri" w:cs="Times New Roman"/>
          <w:noProof/>
        </w:rPr>
        <w:t xml:space="preserve"> 2014;308:E84–E95.</w:t>
      </w:r>
    </w:p>
    <w:p w14:paraId="0E1F6AFA"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38. </w:t>
      </w:r>
      <w:r w:rsidRPr="00435AFD">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435AFD">
        <w:rPr>
          <w:rFonts w:ascii="Calibri" w:eastAsia="Times New Roman" w:hAnsi="Calibri" w:cs="Times New Roman"/>
          <w:i/>
          <w:iCs/>
          <w:noProof/>
        </w:rPr>
        <w:t>Am J Physiol - Endocrinol Metab</w:t>
      </w:r>
      <w:r w:rsidRPr="00435AFD">
        <w:rPr>
          <w:rFonts w:ascii="Calibri" w:eastAsia="Times New Roman" w:hAnsi="Calibri" w:cs="Times New Roman"/>
          <w:noProof/>
        </w:rPr>
        <w:t xml:space="preserve"> 2009;297.</w:t>
      </w:r>
    </w:p>
    <w:p w14:paraId="66579F7B"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39. </w:t>
      </w:r>
      <w:r w:rsidRPr="00435AFD">
        <w:rPr>
          <w:rFonts w:ascii="Calibri" w:eastAsia="Times New Roman" w:hAnsi="Calibri" w:cs="Times New Roman"/>
          <w:noProof/>
        </w:rPr>
        <w:tab/>
        <w:t>Ayala JE, Bracy DP, Mcguinness OP, Wasserman DH. Considerations in the Design of Hyperinsulinemic- Euglycemic Clamps in the Conscious Mouse. 2006.</w:t>
      </w:r>
    </w:p>
    <w:p w14:paraId="4A8E2765"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40. </w:t>
      </w:r>
      <w:r w:rsidRPr="00435AFD">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4A8A353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41. </w:t>
      </w:r>
      <w:r w:rsidRPr="00435AFD">
        <w:rPr>
          <w:rFonts w:ascii="Calibri" w:eastAsia="Times New Roman" w:hAnsi="Calibri" w:cs="Times New Roman"/>
          <w:noProof/>
        </w:rPr>
        <w:tab/>
        <w:t xml:space="preserve">Kraegen E, James D, Jenkins A, Chisholm D. Dose-response curves for in vivo insulin sensitivity in individual tissues in rats. </w:t>
      </w:r>
      <w:r w:rsidRPr="00435AFD">
        <w:rPr>
          <w:rFonts w:ascii="Calibri" w:eastAsia="Times New Roman" w:hAnsi="Calibri" w:cs="Times New Roman"/>
          <w:i/>
          <w:iCs/>
          <w:noProof/>
        </w:rPr>
        <w:t>Am Physiol Soc</w:t>
      </w:r>
      <w:r w:rsidRPr="00435AFD">
        <w:rPr>
          <w:rFonts w:ascii="Calibri" w:eastAsia="Times New Roman" w:hAnsi="Calibri" w:cs="Times New Roman"/>
          <w:noProof/>
        </w:rPr>
        <w:t xml:space="preserve"> 1985:E353–E362.</w:t>
      </w:r>
    </w:p>
    <w:p w14:paraId="3329666A"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42. </w:t>
      </w:r>
      <w:r w:rsidRPr="00435AFD">
        <w:rPr>
          <w:rFonts w:ascii="Calibri" w:eastAsia="Times New Roman" w:hAnsi="Calibri" w:cs="Times New Roman"/>
          <w:noProof/>
        </w:rPr>
        <w:tab/>
        <w:t xml:space="preserve">Chiang S-H, Chang L SA. TC10 and Insulin </w:t>
      </w:r>
      <w:r w:rsidRPr="00435AFD">
        <w:rPr>
          <w:rFonts w:ascii="Calibri" w:eastAsia="Calibri" w:hAnsi="Calibri" w:cs="Calibri"/>
          <w:noProof/>
        </w:rPr>
        <w:t>‐</w:t>
      </w:r>
      <w:r w:rsidRPr="00435AFD">
        <w:rPr>
          <w:rFonts w:ascii="Calibri" w:eastAsia="Times New Roman" w:hAnsi="Calibri" w:cs="Times New Roman"/>
          <w:noProof/>
        </w:rPr>
        <w:t xml:space="preserve"> Stimulated Glucose Transport. 2002;406:1257–1262.</w:t>
      </w:r>
    </w:p>
    <w:p w14:paraId="564AB0A5"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43. </w:t>
      </w:r>
      <w:r w:rsidRPr="00435AFD">
        <w:rPr>
          <w:rFonts w:ascii="Calibri" w:eastAsia="Times New Roman" w:hAnsi="Calibri" w:cs="Times New Roman"/>
          <w:noProof/>
        </w:rPr>
        <w:tab/>
        <w:t xml:space="preserve">Lu B, Bridges D, Yang Y,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Metabolic Crosstalk: molecular links between glycogen and lipid metabolism in obesity. </w:t>
      </w:r>
      <w:r w:rsidRPr="00435AFD">
        <w:rPr>
          <w:rFonts w:ascii="Calibri" w:eastAsia="Times New Roman" w:hAnsi="Calibri" w:cs="Times New Roman"/>
          <w:i/>
          <w:iCs/>
          <w:noProof/>
        </w:rPr>
        <w:t>Diabetes</w:t>
      </w:r>
      <w:r w:rsidRPr="00435AFD">
        <w:rPr>
          <w:rFonts w:ascii="Calibri" w:eastAsia="Times New Roman" w:hAnsi="Calibri" w:cs="Times New Roman"/>
          <w:noProof/>
        </w:rPr>
        <w:t xml:space="preserve"> 2014;63:1–49.</w:t>
      </w:r>
    </w:p>
    <w:p w14:paraId="0A67965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44. </w:t>
      </w:r>
      <w:r w:rsidRPr="00435AFD">
        <w:rPr>
          <w:rFonts w:ascii="Calibri" w:eastAsia="Times New Roman" w:hAnsi="Calibri" w:cs="Times New Roman"/>
          <w:noProof/>
        </w:rPr>
        <w:tab/>
        <w:t xml:space="preserve">Lu B, Bridges D, Yang Y,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Metabolic crosstalk: Molecular links between glycogen and lipid metabolism in obesity. </w:t>
      </w:r>
      <w:r w:rsidRPr="00435AFD">
        <w:rPr>
          <w:rFonts w:ascii="Calibri" w:eastAsia="Times New Roman" w:hAnsi="Calibri" w:cs="Times New Roman"/>
          <w:i/>
          <w:iCs/>
          <w:noProof/>
        </w:rPr>
        <w:t>Diabetes</w:t>
      </w:r>
      <w:r w:rsidRPr="00435AFD">
        <w:rPr>
          <w:rFonts w:ascii="Calibri" w:eastAsia="Times New Roman" w:hAnsi="Calibri" w:cs="Times New Roman"/>
          <w:noProof/>
        </w:rPr>
        <w:t xml:space="preserve"> 2014;63:2935–2948.</w:t>
      </w:r>
    </w:p>
    <w:p w14:paraId="43004141"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45. </w:t>
      </w:r>
      <w:r w:rsidRPr="00435AFD">
        <w:rPr>
          <w:rFonts w:ascii="Calibri" w:eastAsia="Times New Roman" w:hAnsi="Calibri" w:cs="Times New Roman"/>
          <w:noProof/>
        </w:rPr>
        <w:tab/>
        <w:t xml:space="preserve">Kuo T, Chen T, Lee RA,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Pik3r1 Is Required for Glucocorticoid-Induced Perilipin 1 Phosphorylation in Lipid Droplet for Adipocyte Lipolysis. 2017;66:1601–1610.</w:t>
      </w:r>
    </w:p>
    <w:p w14:paraId="7BD441C9"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46. </w:t>
      </w:r>
      <w:r w:rsidRPr="00435AFD">
        <w:rPr>
          <w:rFonts w:ascii="Calibri" w:eastAsia="Times New Roman" w:hAnsi="Calibri" w:cs="Times New Roman"/>
          <w:noProof/>
        </w:rPr>
        <w:tab/>
        <w:t xml:space="preserve">Manolopoulos KN, Karpe F, Frayn KN. Marked resistance of femoral adipose tissue blood </w:t>
      </w:r>
      <w:r w:rsidRPr="00435AFD">
        <w:rPr>
          <w:rFonts w:ascii="Calibri" w:eastAsia="Times New Roman" w:hAnsi="Calibri" w:cs="Times New Roman"/>
          <w:noProof/>
        </w:rPr>
        <w:lastRenderedPageBreak/>
        <w:t>flow and lipolysis to adrenaline in vivo. 2012:3029–3037.</w:t>
      </w:r>
    </w:p>
    <w:p w14:paraId="18ECC0CC"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47. </w:t>
      </w:r>
      <w:r w:rsidRPr="00435AFD">
        <w:rPr>
          <w:rFonts w:ascii="Calibri" w:eastAsia="Times New Roman" w:hAnsi="Calibri" w:cs="Times New Roman"/>
          <w:noProof/>
        </w:rPr>
        <w:tab/>
        <w:t>Donnelly KL, Smith CI, Schwarzenberg SJ, Jessurun J, Boldt MD, Parks EJ. Sources of fatty acids stored in liver and secreted via lipoproteins in patients with nonalcoholic fatty liver disease. 2005;115:1343–1351.</w:t>
      </w:r>
    </w:p>
    <w:p w14:paraId="4DAD007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48. </w:t>
      </w:r>
      <w:r w:rsidRPr="00435AFD">
        <w:rPr>
          <w:rFonts w:ascii="Calibri" w:eastAsia="Times New Roman" w:hAnsi="Calibri" w:cs="Times New Roman"/>
          <w:noProof/>
        </w:rPr>
        <w:tab/>
        <w:t>Yan Y, Hou D, Zhao X, Liu J. Childhood Adiposity and Nonalcoholic Fatty Liver Disease in Adulthood. 2017;139.</w:t>
      </w:r>
    </w:p>
    <w:p w14:paraId="00F8A5F6"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49. </w:t>
      </w:r>
      <w:r w:rsidRPr="00435AF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w:t>
      </w:r>
      <w:r w:rsidRPr="00435AFD">
        <w:rPr>
          <w:rFonts w:ascii="Calibri" w:eastAsia="Times New Roman" w:hAnsi="Calibri" w:cs="Times New Roman"/>
          <w:i/>
          <w:iCs/>
          <w:noProof/>
        </w:rPr>
        <w:t>Nat Publ Gr</w:t>
      </w:r>
      <w:r w:rsidRPr="00435AFD">
        <w:rPr>
          <w:rFonts w:ascii="Calibri" w:eastAsia="Times New Roman" w:hAnsi="Calibri" w:cs="Times New Roman"/>
          <w:noProof/>
        </w:rPr>
        <w:t xml:space="preserve"> 2017;49:842–847.</w:t>
      </w:r>
    </w:p>
    <w:p w14:paraId="5E038D15"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50. </w:t>
      </w:r>
      <w:r w:rsidRPr="00435AFD">
        <w:rPr>
          <w:rFonts w:ascii="Calibri" w:eastAsia="Times New Roman" w:hAnsi="Calibri" w:cs="Times New Roman"/>
          <w:noProof/>
        </w:rPr>
        <w:tab/>
        <w:t xml:space="preserve">Burke SJ, Batdorf HM, Eder AE,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Oral Corticosterone Administration Reduces Insulitis but Promotes Insulin Resistance and Hyperglycemia in Male Nonobese Diabetic Mice. </w:t>
      </w:r>
      <w:r w:rsidRPr="00435AFD">
        <w:rPr>
          <w:rFonts w:ascii="Calibri" w:eastAsia="Times New Roman" w:hAnsi="Calibri" w:cs="Times New Roman"/>
          <w:i/>
          <w:iCs/>
          <w:noProof/>
        </w:rPr>
        <w:t>Am J Pathol</w:t>
      </w:r>
      <w:r w:rsidRPr="00435AFD">
        <w:rPr>
          <w:rFonts w:ascii="Calibri" w:eastAsia="Times New Roman" w:hAnsi="Calibri" w:cs="Times New Roman"/>
          <w:noProof/>
        </w:rPr>
        <w:t xml:space="preserve"> 2017;187:614–626.</w:t>
      </w:r>
    </w:p>
    <w:p w14:paraId="494839B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51. </w:t>
      </w:r>
      <w:r w:rsidRPr="00435AFD">
        <w:rPr>
          <w:rFonts w:ascii="Calibri" w:eastAsia="Times New Roman" w:hAnsi="Calibri" w:cs="Times New Roman"/>
          <w:noProof/>
        </w:rPr>
        <w:tab/>
        <w:t>Nurjhan N, Consoli A, Gerich J. Increased Lipolysis and Its Consequences on Gluconeogenesis in Non-insulin-dependent Diabetes Mellitus. 1992;89:169–175.</w:t>
      </w:r>
    </w:p>
    <w:p w14:paraId="72DC0E87"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52. </w:t>
      </w:r>
      <w:r w:rsidRPr="00435AFD">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F264F72"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53. </w:t>
      </w:r>
      <w:r w:rsidRPr="00435AFD">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7BC2B2BC"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54. </w:t>
      </w:r>
      <w:r w:rsidRPr="00435AFD">
        <w:rPr>
          <w:rFonts w:ascii="Calibri" w:eastAsia="Times New Roman" w:hAnsi="Calibri" w:cs="Times New Roman"/>
          <w:noProof/>
        </w:rPr>
        <w:tab/>
        <w:t xml:space="preserve">Perry RJ, Camporez JG, Kursawe R,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Hepatic Acetyl CoA Links Adipose Tissue Inflammation to Hepatic Insulin Resistance and Type 2 Diabetes. </w:t>
      </w:r>
      <w:r w:rsidRPr="00435AFD">
        <w:rPr>
          <w:rFonts w:ascii="Calibri" w:eastAsia="Times New Roman" w:hAnsi="Calibri" w:cs="Times New Roman"/>
          <w:i/>
          <w:iCs/>
          <w:noProof/>
        </w:rPr>
        <w:t>Cell</w:t>
      </w:r>
      <w:r w:rsidRPr="00435AFD">
        <w:rPr>
          <w:rFonts w:ascii="Calibri" w:eastAsia="Times New Roman" w:hAnsi="Calibri" w:cs="Times New Roman"/>
          <w:noProof/>
        </w:rPr>
        <w:t xml:space="preserve"> 2015;160:745–758.</w:t>
      </w:r>
    </w:p>
    <w:p w14:paraId="774FCCE8"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55. </w:t>
      </w:r>
      <w:r w:rsidRPr="00435AFD">
        <w:rPr>
          <w:rFonts w:ascii="Calibri" w:eastAsia="Times New Roman" w:hAnsi="Calibri" w:cs="Times New Roman"/>
          <w:noProof/>
        </w:rPr>
        <w:tab/>
        <w:t xml:space="preserve">Williamson JR, Kreisberg RA, Felts PW. Mechanism for the stimulation of gluconeogenesis by fatty acids in perfused rat liver. </w:t>
      </w:r>
      <w:r w:rsidRPr="00435AFD">
        <w:rPr>
          <w:rFonts w:ascii="Calibri" w:eastAsia="Times New Roman" w:hAnsi="Calibri" w:cs="Times New Roman"/>
          <w:i/>
          <w:iCs/>
          <w:noProof/>
        </w:rPr>
        <w:t>Proc Natl Acad Sci U S A</w:t>
      </w:r>
      <w:r w:rsidRPr="00435AFD">
        <w:rPr>
          <w:rFonts w:ascii="Calibri" w:eastAsia="Times New Roman" w:hAnsi="Calibri" w:cs="Times New Roman"/>
          <w:noProof/>
        </w:rPr>
        <w:t xml:space="preserve"> 1966;56:247–54.</w:t>
      </w:r>
    </w:p>
    <w:p w14:paraId="4B74CECD"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56. </w:t>
      </w:r>
      <w:r w:rsidRPr="00435AF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w:t>
      </w:r>
      <w:r w:rsidRPr="00435AFD">
        <w:rPr>
          <w:rFonts w:ascii="Calibri" w:eastAsia="Times New Roman" w:hAnsi="Calibri" w:cs="Times New Roman"/>
          <w:i/>
          <w:iCs/>
          <w:noProof/>
        </w:rPr>
        <w:t>Am J Physiol - Cell Physiol</w:t>
      </w:r>
      <w:r w:rsidRPr="00435AFD">
        <w:rPr>
          <w:rFonts w:ascii="Calibri" w:eastAsia="Times New Roman" w:hAnsi="Calibri" w:cs="Times New Roman"/>
          <w:noProof/>
        </w:rPr>
        <w:t xml:space="preserve"> 2010;298:C961–C971.</w:t>
      </w:r>
    </w:p>
    <w:p w14:paraId="5B2E6550"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57. </w:t>
      </w:r>
      <w:r w:rsidRPr="00435AFD">
        <w:rPr>
          <w:rFonts w:ascii="Calibri" w:eastAsia="Times New Roman" w:hAnsi="Calibri" w:cs="Times New Roman"/>
          <w:noProof/>
        </w:rPr>
        <w:tab/>
        <w:t xml:space="preserve">Xu C, He J, Jiang H,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Direct effect of glucocorticoids on lipolysis in adipocytes. </w:t>
      </w:r>
      <w:r w:rsidRPr="00435AFD">
        <w:rPr>
          <w:rFonts w:ascii="Calibri" w:eastAsia="Times New Roman" w:hAnsi="Calibri" w:cs="Times New Roman"/>
          <w:i/>
          <w:iCs/>
          <w:noProof/>
        </w:rPr>
        <w:t>Mol Endocrinol</w:t>
      </w:r>
      <w:r w:rsidRPr="00435AFD">
        <w:rPr>
          <w:rFonts w:ascii="Calibri" w:eastAsia="Times New Roman" w:hAnsi="Calibri" w:cs="Times New Roman"/>
          <w:noProof/>
        </w:rPr>
        <w:t xml:space="preserve"> 2009;23:1161–70.</w:t>
      </w:r>
    </w:p>
    <w:p w14:paraId="1DF19BE9"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58. </w:t>
      </w:r>
      <w:r w:rsidRPr="00435AF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435AFD">
        <w:rPr>
          <w:rFonts w:ascii="Calibri" w:eastAsia="Times New Roman" w:hAnsi="Calibri" w:cs="Times New Roman"/>
          <w:i/>
          <w:iCs/>
          <w:noProof/>
        </w:rPr>
        <w:t>Biochem Biophys Res Commun</w:t>
      </w:r>
      <w:r w:rsidRPr="00435AFD">
        <w:rPr>
          <w:rFonts w:ascii="Calibri" w:eastAsia="Times New Roman" w:hAnsi="Calibri" w:cs="Times New Roman"/>
          <w:noProof/>
        </w:rPr>
        <w:t xml:space="preserve"> 1988;153:489–497.</w:t>
      </w:r>
    </w:p>
    <w:p w14:paraId="58F6F80F"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59. </w:t>
      </w:r>
      <w:r w:rsidRPr="00435AFD">
        <w:rPr>
          <w:rFonts w:ascii="Calibri" w:eastAsia="Times New Roman" w:hAnsi="Calibri" w:cs="Times New Roman"/>
          <w:noProof/>
        </w:rPr>
        <w:tab/>
        <w:t xml:space="preserve">Campbell JE, Peckett AJ, D’souza AM, Hawke TJ, Riddell MC. Adipogenic and lipolytic effects of chronic glucocorticoid exposure. </w:t>
      </w:r>
      <w:r w:rsidRPr="00435AFD">
        <w:rPr>
          <w:rFonts w:ascii="Calibri" w:eastAsia="Times New Roman" w:hAnsi="Calibri" w:cs="Times New Roman"/>
          <w:i/>
          <w:iCs/>
          <w:noProof/>
        </w:rPr>
        <w:t>Am J Physiol Cell Physiol</w:t>
      </w:r>
      <w:r w:rsidRPr="00435AFD">
        <w:rPr>
          <w:rFonts w:ascii="Calibri" w:eastAsia="Times New Roman" w:hAnsi="Calibri" w:cs="Times New Roman"/>
          <w:noProof/>
        </w:rPr>
        <w:t xml:space="preserve"> 2011;300:C198-209.</w:t>
      </w:r>
    </w:p>
    <w:p w14:paraId="15973D0E" w14:textId="77777777" w:rsidR="00435AFD" w:rsidRPr="00435AFD" w:rsidRDefault="00435AFD" w:rsidP="00435AFD">
      <w:pPr>
        <w:widowControl w:val="0"/>
        <w:autoSpaceDE w:val="0"/>
        <w:autoSpaceDN w:val="0"/>
        <w:adjustRightInd w:val="0"/>
        <w:ind w:left="640" w:hanging="640"/>
        <w:rPr>
          <w:rFonts w:ascii="Calibri" w:eastAsia="Times New Roman" w:hAnsi="Calibri" w:cs="Times New Roman"/>
          <w:noProof/>
        </w:rPr>
      </w:pPr>
      <w:r w:rsidRPr="00435AFD">
        <w:rPr>
          <w:rFonts w:ascii="Calibri" w:eastAsia="Times New Roman" w:hAnsi="Calibri" w:cs="Times New Roman"/>
          <w:noProof/>
        </w:rPr>
        <w:t xml:space="preserve">60. </w:t>
      </w:r>
      <w:r w:rsidRPr="00435AFD">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660E0140" w14:textId="77777777" w:rsidR="00435AFD" w:rsidRPr="00435AFD" w:rsidRDefault="00435AFD" w:rsidP="00435AFD">
      <w:pPr>
        <w:widowControl w:val="0"/>
        <w:autoSpaceDE w:val="0"/>
        <w:autoSpaceDN w:val="0"/>
        <w:adjustRightInd w:val="0"/>
        <w:ind w:left="640" w:hanging="640"/>
        <w:rPr>
          <w:rFonts w:ascii="Calibri" w:hAnsi="Calibri"/>
          <w:noProof/>
        </w:rPr>
      </w:pPr>
      <w:r w:rsidRPr="00435AFD">
        <w:rPr>
          <w:rFonts w:ascii="Calibri" w:eastAsia="Times New Roman" w:hAnsi="Calibri" w:cs="Times New Roman"/>
          <w:noProof/>
        </w:rPr>
        <w:t xml:space="preserve">61. </w:t>
      </w:r>
      <w:r w:rsidRPr="00435AFD">
        <w:rPr>
          <w:rFonts w:ascii="Calibri" w:eastAsia="Times New Roman" w:hAnsi="Calibri" w:cs="Times New Roman"/>
          <w:noProof/>
        </w:rPr>
        <w:tab/>
        <w:t xml:space="preserve">D’souza AM, Beaudry JL, Szigiato AA, </w:t>
      </w:r>
      <w:r w:rsidRPr="00435AFD">
        <w:rPr>
          <w:rFonts w:ascii="Calibri" w:eastAsia="Times New Roman" w:hAnsi="Calibri" w:cs="Times New Roman"/>
          <w:i/>
          <w:iCs/>
          <w:noProof/>
        </w:rPr>
        <w:t>et al.</w:t>
      </w:r>
      <w:r w:rsidRPr="00435AFD">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435AFD">
        <w:rPr>
          <w:rFonts w:ascii="Calibri" w:eastAsia="Times New Roman" w:hAnsi="Calibri" w:cs="Times New Roman"/>
          <w:i/>
          <w:iCs/>
          <w:noProof/>
        </w:rPr>
        <w:t>Am J Physiol Gastrointest Liver Physiol</w:t>
      </w:r>
      <w:r w:rsidRPr="00435AFD">
        <w:rPr>
          <w:rFonts w:ascii="Calibri" w:eastAsia="Times New Roman" w:hAnsi="Calibri" w:cs="Times New Roman"/>
          <w:noProof/>
        </w:rPr>
        <w:t xml:space="preserve"> 2012;302:850–863.</w:t>
      </w:r>
    </w:p>
    <w:p w14:paraId="00AC6C9B" w14:textId="64F3BD2B" w:rsidR="000A4359" w:rsidRPr="006902F6" w:rsidRDefault="00A43B68" w:rsidP="00435AFD">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795A9" w14:textId="77777777" w:rsidR="003E11B5" w:rsidRDefault="003E11B5" w:rsidP="001975C6">
      <w:r>
        <w:separator/>
      </w:r>
    </w:p>
  </w:endnote>
  <w:endnote w:type="continuationSeparator" w:id="0">
    <w:p w14:paraId="2908F5E1" w14:textId="77777777" w:rsidR="003E11B5" w:rsidRDefault="003E11B5"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1975C6" w:rsidRDefault="001975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16140">
      <w:rPr>
        <w:caps/>
        <w:noProof/>
        <w:color w:val="5B9BD5" w:themeColor="accent1"/>
      </w:rPr>
      <w:t>24</w:t>
    </w:r>
    <w:r>
      <w:rPr>
        <w:caps/>
        <w:noProof/>
        <w:color w:val="5B9BD5" w:themeColor="accent1"/>
      </w:rPr>
      <w:fldChar w:fldCharType="end"/>
    </w:r>
  </w:p>
  <w:p w14:paraId="35E016A9" w14:textId="77777777" w:rsidR="001975C6" w:rsidRDefault="001975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DFE9F" w14:textId="77777777" w:rsidR="003E11B5" w:rsidRDefault="003E11B5" w:rsidP="001975C6">
      <w:r>
        <w:separator/>
      </w:r>
    </w:p>
  </w:footnote>
  <w:footnote w:type="continuationSeparator" w:id="0">
    <w:p w14:paraId="73F0E617" w14:textId="77777777" w:rsidR="003E11B5" w:rsidRDefault="003E11B5"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7DF"/>
    <w:rsid w:val="00105966"/>
    <w:rsid w:val="00105F63"/>
    <w:rsid w:val="00107E28"/>
    <w:rsid w:val="00110139"/>
    <w:rsid w:val="0011098A"/>
    <w:rsid w:val="00110C67"/>
    <w:rsid w:val="0011365C"/>
    <w:rsid w:val="001143CB"/>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15CD"/>
    <w:rsid w:val="001A3544"/>
    <w:rsid w:val="001A4D05"/>
    <w:rsid w:val="001B175D"/>
    <w:rsid w:val="001B47E2"/>
    <w:rsid w:val="001B708C"/>
    <w:rsid w:val="001B7499"/>
    <w:rsid w:val="001C22CC"/>
    <w:rsid w:val="001C3F28"/>
    <w:rsid w:val="001C4119"/>
    <w:rsid w:val="001C4C9B"/>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0CA2"/>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529C"/>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47AD"/>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E90"/>
    <w:rsid w:val="00491EA8"/>
    <w:rsid w:val="004924C0"/>
    <w:rsid w:val="004953F6"/>
    <w:rsid w:val="00497500"/>
    <w:rsid w:val="00497CD5"/>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20DD"/>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1656F-350E-C74C-B4AA-EBC3A3DB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24</Pages>
  <Words>35171</Words>
  <Characters>200477</Characters>
  <Application>Microsoft Macintosh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212</cp:revision>
  <dcterms:created xsi:type="dcterms:W3CDTF">2017-08-21T12:00:00Z</dcterms:created>
  <dcterms:modified xsi:type="dcterms:W3CDTF">2017-09-18T18:22:00Z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