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r w:rsidRPr="00E046CC">
        <w:rPr>
          <w:b/>
          <w:sz w:val="44"/>
        </w:rPr>
        <w:t>Upregulated Lipolysis Correlates with Exacerbated Metabolic Outcomes in Response to Elevated Glucocorticoids in Obesity</w:t>
      </w:r>
    </w:p>
    <w:p w14:paraId="1C33E3D8" w14:textId="394D4A7D" w:rsidR="007A789E" w:rsidRDefault="00AB0CC0">
      <w:pPr>
        <w:rPr>
          <w:ins w:id="0" w:author="Dave Bridges" w:date="2017-07-31T16:52:00Z"/>
          <w:b/>
          <w:sz w:val="36"/>
          <w:u w:val="single"/>
        </w:rPr>
      </w:pPr>
      <w:commentRangeStart w:id="1"/>
      <w:commentRangeStart w:id="2"/>
      <w:ins w:id="3" w:author="Dave Bridges" w:date="2017-07-31T16:52:00Z">
        <w:r>
          <w:rPr>
            <w:b/>
            <w:sz w:val="36"/>
            <w:u w:val="single"/>
          </w:rPr>
          <w:t>Abstract</w:t>
        </w:r>
        <w:commentRangeEnd w:id="1"/>
        <w:r>
          <w:rPr>
            <w:rStyle w:val="CommentReference"/>
          </w:rPr>
          <w:commentReference w:id="1"/>
        </w:r>
      </w:ins>
      <w:commentRangeEnd w:id="2"/>
      <w:r w:rsidR="00F442D5">
        <w:rPr>
          <w:rStyle w:val="CommentReference"/>
        </w:rPr>
        <w:commentReference w:id="2"/>
      </w:r>
    </w:p>
    <w:p w14:paraId="5799BD45" w14:textId="668CD3C8" w:rsidR="0003155D" w:rsidRDefault="0017598A" w:rsidP="00AB0CC0">
      <w:pPr>
        <w:rPr>
          <w:ins w:id="4" w:author="Microsoft Office User" w:date="2017-08-07T13:09:00Z"/>
        </w:rPr>
      </w:pPr>
      <w:ins w:id="5" w:author="Microsoft Office User" w:date="2017-08-07T12:46:00Z">
        <w:r>
          <w:t>Obesity and chronically elevated glucocorticoids</w:t>
        </w:r>
      </w:ins>
      <w:ins w:id="6" w:author="Microsoft Office User" w:date="2017-08-07T12:48:00Z">
        <w:r>
          <w:t xml:space="preserve"> are common in the US and other developed countries and</w:t>
        </w:r>
      </w:ins>
      <w:ins w:id="7" w:author="Microsoft Office User" w:date="2017-08-07T12:46:00Z">
        <w:r>
          <w:t xml:space="preserve"> result in similar </w:t>
        </w:r>
      </w:ins>
      <w:ins w:id="8" w:author="Microsoft Office User" w:date="2017-08-07T12:47:00Z">
        <w:r w:rsidR="00FC52B8">
          <w:t>metabolic syndrome-</w:t>
        </w:r>
        <w:r>
          <w:t xml:space="preserve">associated </w:t>
        </w:r>
      </w:ins>
      <w:ins w:id="9" w:author="Microsoft Office User" w:date="2017-08-07T12:46:00Z">
        <w:r>
          <w:t>co-morbidities</w:t>
        </w:r>
      </w:ins>
      <w:ins w:id="10" w:author="Microsoft Office User" w:date="2017-08-07T12:48:00Z">
        <w:r>
          <w:t>,</w:t>
        </w:r>
      </w:ins>
      <w:ins w:id="11" w:author="Microsoft Office User" w:date="2017-08-07T12:46:00Z">
        <w:r>
          <w:t xml:space="preserve"> </w:t>
        </w:r>
      </w:ins>
      <w:ins w:id="12" w:author="Microsoft Office User" w:date="2017-08-07T12:47:00Z">
        <w:r>
          <w:t xml:space="preserve">but </w:t>
        </w:r>
      </w:ins>
      <w:ins w:id="13" w:author="Microsoft Office User" w:date="2017-08-07T12:48:00Z">
        <w:r>
          <w:t xml:space="preserve">the combination of these ailments on metabolic outcomes has not been studied. </w:t>
        </w:r>
      </w:ins>
      <w:ins w:id="14" w:author="Microsoft Office User" w:date="2017-08-07T12:51:00Z">
        <w:r w:rsidR="00C92899">
          <w:t xml:space="preserve">Measures of glucose homeostasis and </w:t>
        </w:r>
      </w:ins>
      <w:ins w:id="15" w:author="Microsoft Office User" w:date="2017-08-07T12:54:00Z">
        <w:r w:rsidR="006A25B6">
          <w:t>markers of hepatic lipid accumulations</w:t>
        </w:r>
      </w:ins>
      <w:ins w:id="16" w:author="Microsoft Office User" w:date="2017-08-07T12:51:00Z">
        <w:r w:rsidR="00C92899">
          <w:t xml:space="preserve"> were</w:t>
        </w:r>
      </w:ins>
      <w:ins w:id="17" w:author="Microsoft Office User" w:date="2017-08-07T12:49:00Z">
        <w:r>
          <w:t xml:space="preserve"> assessed</w:t>
        </w:r>
        <w:r w:rsidR="00C92899">
          <w:t xml:space="preserve"> </w:t>
        </w:r>
      </w:ins>
      <w:ins w:id="18" w:author="Microsoft Office User" w:date="2017-08-07T12:52:00Z">
        <w:r w:rsidR="00C92899">
          <w:t xml:space="preserve">to determine whether </w:t>
        </w:r>
      </w:ins>
      <w:ins w:id="19" w:author="Microsoft Office User" w:date="2017-08-07T12:55:00Z">
        <w:r w:rsidR="006A25B6">
          <w:t xml:space="preserve">obesity exaggerated the effects of </w:t>
        </w:r>
      </w:ins>
      <w:ins w:id="20" w:author="Microsoft Office User" w:date="2017-08-07T12:56:00Z">
        <w:r w:rsidR="006A25B6">
          <w:t>glucocorticoid-induced metabolic disturbances</w:t>
        </w:r>
      </w:ins>
      <w:ins w:id="21" w:author="Microsoft Office User" w:date="2017-08-07T12:55:00Z">
        <w:r w:rsidR="006A25B6">
          <w:t xml:space="preserve">. </w:t>
        </w:r>
      </w:ins>
      <w:ins w:id="22" w:author="Microsoft Office User" w:date="2017-08-07T12:57:00Z">
        <w:r w:rsidR="00383057">
          <w:t xml:space="preserve">The combination of obesity and glucocorticoids resulted </w:t>
        </w:r>
      </w:ins>
      <w:ins w:id="23" w:author="Microsoft Office User" w:date="2017-08-07T12:58:00Z">
        <w:r w:rsidR="00383057">
          <w:t>synergistic elevations in hepatic steatosis and insulin resistance and this was matched with synergistic elevations in</w:t>
        </w:r>
      </w:ins>
      <w:ins w:id="24" w:author="Microsoft Office User" w:date="2017-08-07T13:00:00Z">
        <w:r w:rsidR="00383057">
          <w:t xml:space="preserve"> markers of</w:t>
        </w:r>
      </w:ins>
      <w:ins w:id="25" w:author="Microsoft Office User" w:date="2017-08-07T12:58:00Z">
        <w:r w:rsidR="00383057">
          <w:t xml:space="preserve"> lipolysis.</w:t>
        </w:r>
      </w:ins>
      <w:ins w:id="26" w:author="Microsoft Office User" w:date="2017-08-07T13:00:00Z">
        <w:r w:rsidR="00F442D5">
          <w:t xml:space="preserve"> </w:t>
        </w:r>
      </w:ins>
      <w:ins w:id="27" w:author="Microsoft Office User" w:date="2017-08-08T13:34:00Z">
        <w:r w:rsidR="007838C8">
          <w:t xml:space="preserve">Lipolysis may be a key player in glucocorticoid-induced insulin resistance and fatty liver. </w:t>
        </w:r>
      </w:ins>
    </w:p>
    <w:p w14:paraId="1D1FC1AB" w14:textId="11D51FAF" w:rsidR="00AB0CC0" w:rsidDel="0003155D" w:rsidRDefault="00AB0CC0" w:rsidP="00AB0CC0">
      <w:pPr>
        <w:rPr>
          <w:ins w:id="28" w:author="Dave Bridges" w:date="2017-07-31T16:52:00Z"/>
          <w:del w:id="29" w:author="Microsoft Office User" w:date="2017-08-07T13:09:00Z"/>
        </w:rPr>
      </w:pPr>
    </w:p>
    <w:p w14:paraId="6AD813DC" w14:textId="77777777" w:rsidR="00AB0CC0" w:rsidRDefault="00AB0CC0">
      <w:pPr>
        <w:rPr>
          <w:ins w:id="30"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1"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32"/>
      <w:r w:rsidR="00A82500">
        <w:t>instances</w:t>
      </w:r>
      <w:commentRangeEnd w:id="32"/>
      <w:r w:rsidR="00281A98">
        <w:rPr>
          <w:rStyle w:val="CommentReference"/>
        </w:rPr>
        <w:commentReference w:id="32"/>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33"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34"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35" w:author="Microsoft Office User" w:date="2017-08-04T11:17:00Z"/>
        </w:rPr>
      </w:pPr>
      <w:ins w:id="36"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37" w:author="Microsoft Office User" w:date="2017-08-04T11:17:00Z">
        <w:r>
          <w:fldChar w:fldCharType="separate"/>
        </w:r>
      </w:ins>
      <w:r w:rsidR="00BF554F" w:rsidRPr="00BF554F">
        <w:rPr>
          <w:noProof/>
        </w:rPr>
        <w:t>(7–9)</w:t>
      </w:r>
      <w:ins w:id="38"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39" w:author="Microsoft Office User" w:date="2017-08-04T11:17:00Z">
        <w:r>
          <w:fldChar w:fldCharType="separate"/>
        </w:r>
      </w:ins>
      <w:r w:rsidR="00BF554F" w:rsidRPr="00BF554F">
        <w:rPr>
          <w:noProof/>
        </w:rPr>
        <w:t>(10,11)</w:t>
      </w:r>
      <w:ins w:id="40"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41" w:author="Microsoft Office User" w:date="2017-08-04T11:17:00Z">
        <w:r>
          <w:fldChar w:fldCharType="separate"/>
        </w:r>
      </w:ins>
      <w:r w:rsidR="00BF554F" w:rsidRPr="00BF554F">
        <w:rPr>
          <w:noProof/>
        </w:rPr>
        <w:t>(12,13)</w:t>
      </w:r>
      <w:ins w:id="42"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43" w:author="Microsoft Office User" w:date="2017-08-04T11:17:00Z">
        <w:r>
          <w:fldChar w:fldCharType="separate"/>
        </w:r>
      </w:ins>
      <w:r w:rsidR="00BF554F" w:rsidRPr="00BF554F">
        <w:rPr>
          <w:noProof/>
        </w:rPr>
        <w:t>(14,15)</w:t>
      </w:r>
      <w:ins w:id="44"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45" w:author="Microsoft Office User" w:date="2017-08-04T11:17:00Z">
        <w:r>
          <w:fldChar w:fldCharType="separate"/>
        </w:r>
      </w:ins>
      <w:r w:rsidR="00BF554F" w:rsidRPr="00BF554F">
        <w:rPr>
          <w:noProof/>
        </w:rPr>
        <w:t>(16)</w:t>
      </w:r>
      <w:ins w:id="46"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47" w:author="Microsoft Office User" w:date="2017-08-04T11:17:00Z"/>
        </w:rPr>
      </w:pPr>
    </w:p>
    <w:p w14:paraId="449F1257" w14:textId="77777777" w:rsidR="00A82500" w:rsidRDefault="00A82500" w:rsidP="0048623D"/>
    <w:p w14:paraId="3DBAAC4B" w14:textId="1DD5F33D" w:rsidR="00C30018" w:rsidRDefault="00A139E3" w:rsidP="0048623D">
      <w:ins w:id="48" w:author="Dave Bridges" w:date="2017-07-31T17:18:00Z">
        <w:del w:id="49" w:author="Microsoft Office User" w:date="2017-08-04T11:23:00Z">
          <w:r w:rsidDel="006A09C3">
            <w:delText>Elevations in</w:delText>
          </w:r>
        </w:del>
      </w:ins>
      <w:del w:id="50"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51" w:author="Microsoft Office User" w:date="2017-08-04T11:24:00Z">
        <w:r w:rsidR="006A09C3">
          <w:t xml:space="preserve"> </w:t>
        </w:r>
      </w:ins>
      <w:r w:rsidR="00F04050">
        <w:lastRenderedPageBreak/>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and </w:t>
      </w:r>
      <w:commentRangeStart w:id="52"/>
      <w:commentRangeStart w:id="53"/>
      <w:r w:rsidR="00C15F0C">
        <w:t>NAFLD</w:t>
      </w:r>
      <w:commentRangeEnd w:id="52"/>
      <w:r w:rsidR="00322670">
        <w:rPr>
          <w:rStyle w:val="CommentReference"/>
        </w:rPr>
        <w:commentReference w:id="52"/>
      </w:r>
      <w:commentRangeEnd w:id="53"/>
      <w:r w:rsidR="000B433F">
        <w:rPr>
          <w:rStyle w:val="CommentReference"/>
        </w:rPr>
        <w:commentReference w:id="53"/>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54"/>
      <w:commentRangeStart w:id="55"/>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54"/>
      <w:r w:rsidR="007937AB">
        <w:rPr>
          <w:rStyle w:val="CommentReference"/>
        </w:rPr>
        <w:commentReference w:id="54"/>
      </w:r>
      <w:commentRangeEnd w:id="55"/>
      <w:r w:rsidR="00DB12BD">
        <w:rPr>
          <w:rStyle w:val="CommentReference"/>
        </w:rPr>
        <w:commentReference w:id="55"/>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56" w:author="Microsoft Office User" w:date="2017-08-04T11:29:00Z">
        <w:r w:rsidR="009E5B00" w:rsidDel="00F064C8">
          <w:delText xml:space="preserve"> with no apparent change in </w:delText>
        </w:r>
        <w:commentRangeStart w:id="57"/>
        <w:commentRangeStart w:id="58"/>
        <w:r w:rsidR="009E5B00" w:rsidDel="00F064C8">
          <w:delText>muscle insulin signaling</w:delText>
        </w:r>
        <w:commentRangeEnd w:id="57"/>
        <w:r w:rsidR="009E5B00" w:rsidDel="00F064C8">
          <w:rPr>
            <w:rStyle w:val="CommentReference"/>
          </w:rPr>
          <w:commentReference w:id="57"/>
        </w:r>
        <w:commentRangeEnd w:id="58"/>
        <w:r w:rsidR="00277EDC" w:rsidDel="00F064C8">
          <w:rPr>
            <w:rStyle w:val="CommentReference"/>
          </w:rPr>
          <w:commentReference w:id="58"/>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59"/>
      <w:commentRangeStart w:id="60"/>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59"/>
      <w:r w:rsidR="00240C1C" w:rsidRPr="00F7444B">
        <w:rPr>
          <w:rStyle w:val="CommentReference"/>
          <w:sz w:val="24"/>
          <w:szCs w:val="24"/>
        </w:rPr>
        <w:commentReference w:id="59"/>
      </w:r>
      <w:commentRangeEnd w:id="60"/>
      <w:r>
        <w:rPr>
          <w:rStyle w:val="CommentReference"/>
        </w:rPr>
        <w:commentReference w:id="60"/>
      </w:r>
      <w:r w:rsidR="00EB0A54" w:rsidRPr="009C4CFA">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Euglycemic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i.p. injections of insulin (Humulin R, Lilly, Indianapolis, </w:t>
      </w:r>
      <w:r w:rsidR="00067455" w:rsidRPr="005354F7">
        <w:rPr>
          <w:rFonts w:cs="Times New Roman"/>
        </w:rPr>
        <w:t>IN, USA) at a concentration of 2.5</w:t>
      </w:r>
      <w:r w:rsidR="00067455" w:rsidRPr="004B1467">
        <w:rPr>
          <w:rFonts w:cs="Times New Roman"/>
        </w:rPr>
        <w:t> mU/g</w:t>
      </w:r>
      <w:r w:rsidR="00A9523A" w:rsidRPr="004B1467">
        <w:rPr>
          <w:rFonts w:cs="Times New Roman"/>
        </w:rPr>
        <w:t xml:space="preserve"> following a six hour fast</w:t>
      </w:r>
      <w:r w:rsidR="00067455" w:rsidRPr="004B1467">
        <w:rPr>
          <w:rFonts w:cs="Times New Roman"/>
        </w:rPr>
        <w:t xml:space="preserve">. </w:t>
      </w:r>
      <w:r w:rsidR="00067455" w:rsidRPr="004B1467">
        <w:rPr>
          <w:rFonts w:cs="Times New Roman"/>
        </w:rPr>
        <w:lastRenderedPageBreak/>
        <w:t>Blood glucose was determined using a One Touch Ultra Glucometer (Lifescan)</w:t>
      </w:r>
      <w:r w:rsidR="00A9523A" w:rsidRPr="004B1467">
        <w:rPr>
          <w:rFonts w:cs="Times New Roman"/>
        </w:rPr>
        <w:t xml:space="preserve"> prior to and every 15 minutes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61" w:author="Dave Bridges" w:date="2017-07-31T17:31:00Z">
        <w:r>
          <w:t xml:space="preserve">  Conscious glucose clamps were performed as described </w:t>
        </w:r>
        <w:commentRangeStart w:id="62"/>
        <w:r>
          <w:t>in</w:t>
        </w:r>
        <w:commentRangeEnd w:id="62"/>
        <w:r>
          <w:rPr>
            <w:rStyle w:val="CommentReference"/>
          </w:rPr>
          <w:commentReference w:id="62"/>
        </w:r>
        <w:r>
          <w:t xml:space="preserve"> </w:t>
        </w:r>
      </w:ins>
    </w:p>
    <w:p w14:paraId="5EE9F481" w14:textId="77777777" w:rsidR="004B1467" w:rsidRDefault="004B1467" w:rsidP="009C4CFA">
      <w:pPr>
        <w:rPr>
          <w:ins w:id="63" w:author="Dave Bridges" w:date="2017-07-31T17:32:00Z"/>
        </w:rPr>
      </w:pPr>
    </w:p>
    <w:p w14:paraId="659E5B2F" w14:textId="3EBE457B"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r w:rsidR="00B90861" w:rsidRPr="009C4CFA">
        <w:rPr>
          <w:color w:val="000000" w:themeColor="text1"/>
        </w:rPr>
        <w:t>pen</w:t>
      </w:r>
      <w:r w:rsidR="004B1467">
        <w:rPr>
          <w:color w:val="000000" w:themeColor="text1"/>
        </w:rPr>
        <w:t>i</w:t>
      </w:r>
      <w:r w:rsidR="00B90861" w:rsidRPr="009C4CFA">
        <w:rPr>
          <w:color w:val="000000" w:themeColor="text1"/>
        </w:rPr>
        <w:t>cilin, streptomycin and glutamine</w:t>
      </w:r>
      <w:r w:rsidR="00E36D9E" w:rsidRPr="009C4CFA">
        <w:rPr>
          <w:color w:val="000000" w:themeColor="text1"/>
        </w:rPr>
        <w:t xml:space="preserve"> until </w:t>
      </w:r>
      <w:r w:rsidR="00B90861" w:rsidRPr="009C4CFA">
        <w:rPr>
          <w:color w:val="000000" w:themeColor="text1"/>
        </w:rPr>
        <w:t xml:space="preserve">confluence. A differentiation cocktail including </w:t>
      </w:r>
      <w:r w:rsidR="003A266B" w:rsidRPr="009C4CFA">
        <w:rPr>
          <w:color w:val="000000" w:themeColor="text1"/>
        </w:rPr>
        <w:t xml:space="preserve">250nM </w:t>
      </w:r>
      <w:commentRangeStart w:id="64"/>
      <w:r w:rsidR="00B90861" w:rsidRPr="009C4CFA">
        <w:rPr>
          <w:color w:val="000000" w:themeColor="text1"/>
        </w:rPr>
        <w:t>dexamethasone</w:t>
      </w:r>
      <w:commentRangeEnd w:id="64"/>
      <w:r w:rsidR="00B90861">
        <w:rPr>
          <w:rStyle w:val="CommentReference"/>
        </w:rPr>
        <w:commentReference w:id="64"/>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 high glucose DMEM with 1% PSG at two days post confluence</w:t>
      </w:r>
      <w:r w:rsidR="00366FA3" w:rsidRPr="004B1467">
        <w:rPr>
          <w:rFonts w:cs="Helvetica"/>
          <w:color w:val="1C1C1C"/>
        </w:rPr>
        <w:t xml:space="preserve"> 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 xml:space="preserve">To assess lipolysis, cells </w:t>
      </w:r>
      <w:del w:id="65" w:author="Microsoft Office User" w:date="2017-08-08T13:37:00Z">
        <w:r w:rsidR="005B3B55" w:rsidRPr="004B1467" w:rsidDel="0011365C">
          <w:rPr>
            <w:rFonts w:cs="Helvetica"/>
            <w:color w:val="1C1C1C"/>
          </w:rPr>
          <w:delText xml:space="preserve">either </w:delText>
        </w:r>
      </w:del>
      <w:r w:rsidR="005B3B55" w:rsidRPr="004B1467">
        <w:rPr>
          <w:rFonts w:cs="Helvetica"/>
          <w:color w:val="1C1C1C"/>
        </w:rPr>
        <w:t>remained in FBS media</w:t>
      </w:r>
      <w:ins w:id="66" w:author="Microsoft Office User" w:date="2017-08-08T13:37:00Z">
        <w:r w:rsidR="0011365C">
          <w:rPr>
            <w:rFonts w:cs="Helvetica"/>
            <w:color w:val="1C1C1C"/>
          </w:rPr>
          <w:t xml:space="preserve"> and </w:t>
        </w:r>
      </w:ins>
      <w:del w:id="67" w:author="Microsoft Office User" w:date="2017-08-08T13:37:00Z">
        <w:r w:rsidR="005B3B55" w:rsidRPr="004B1467" w:rsidDel="0011365C">
          <w:rPr>
            <w:rFonts w:cs="Helvetica"/>
            <w:color w:val="1C1C1C"/>
          </w:rPr>
          <w:delText xml:space="preserve"> or </w:delText>
        </w:r>
      </w:del>
      <w:r w:rsidR="005B3B55" w:rsidRPr="004B1467">
        <w:rPr>
          <w:rFonts w:cs="Helvetica"/>
          <w:color w:val="1C1C1C"/>
        </w:rPr>
        <w:t>were treated with</w:t>
      </w:r>
      <w:ins w:id="68" w:author="Microsoft Office User" w:date="2017-08-08T13:37:00Z">
        <w:r w:rsidR="0011365C">
          <w:rPr>
            <w:rFonts w:cs="Helvetica"/>
            <w:color w:val="1C1C1C"/>
          </w:rPr>
          <w:t xml:space="preserve"> ethanol</w:t>
        </w:r>
      </w:ins>
      <w:ins w:id="69" w:author="Microsoft Office User" w:date="2017-08-08T13:38:00Z">
        <w:r w:rsidR="0011365C">
          <w:rPr>
            <w:rFonts w:cs="Helvetica"/>
            <w:color w:val="1C1C1C"/>
          </w:rPr>
          <w:t xml:space="preserve"> (vehicle)</w:t>
        </w:r>
      </w:ins>
      <w:ins w:id="70" w:author="Microsoft Office User" w:date="2017-08-08T13:37:00Z">
        <w:r w:rsidR="0011365C">
          <w:rPr>
            <w:rFonts w:cs="Helvetica"/>
            <w:color w:val="1C1C1C"/>
          </w:rPr>
          <w:t xml:space="preserve"> or</w:t>
        </w:r>
      </w:ins>
      <w:r w:rsidR="005B3B55" w:rsidRPr="004B1467">
        <w:rPr>
          <w:rFonts w:cs="Helvetica"/>
          <w:color w:val="1C1C1C"/>
        </w:rPr>
        <w:t xml:space="preserve"> </w:t>
      </w:r>
      <w:del w:id="71" w:author="Microsoft Office User" w:date="2017-08-08T13:38:00Z">
        <w:r w:rsidR="005B3B55" w:rsidRPr="004B1467" w:rsidDel="0011365C">
          <w:rPr>
            <w:rFonts w:cs="Helvetica"/>
            <w:color w:val="1C1C1C"/>
          </w:rPr>
          <w:delText xml:space="preserve">an additional dose of </w:delText>
        </w:r>
      </w:del>
      <w:r w:rsidR="005B3B55" w:rsidRPr="004B1467">
        <w:rPr>
          <w:rFonts w:cs="Helvetica"/>
          <w:color w:val="1C1C1C"/>
        </w:rPr>
        <w:t>250nM dexamethasone for five days before lysing.</w:t>
      </w:r>
    </w:p>
    <w:p w14:paraId="67DC8E02" w14:textId="77777777" w:rsidR="004B1467" w:rsidRDefault="004B1467" w:rsidP="009C4CFA"/>
    <w:p w14:paraId="15A202AF" w14:textId="6980C057" w:rsidR="002633D8" w:rsidRDefault="002633D8" w:rsidP="009C4CFA">
      <w:pPr>
        <w:rPr>
          <w:ins w:id="72"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ins w:id="73" w:author="Microsoft Office User" w:date="2017-08-08T13:38:00Z">
        <w:r w:rsidR="00051E91">
          <w:rPr>
            <w:rFonts w:eastAsia="Times New Roman" w:cs="Times New Roman"/>
            <w:color w:val="252525"/>
            <w:szCs w:val="21"/>
            <w:shd w:val="clear" w:color="auto" w:fill="FFFFFF"/>
          </w:rPr>
          <w:t xml:space="preserve"> a TissueLyser II (Qiagen)</w:t>
        </w:r>
      </w:ins>
      <w:r w:rsidR="000C3B57">
        <w:rPr>
          <w:rFonts w:eastAsia="Times New Roman" w:cs="Times New Roman"/>
          <w:color w:val="252525"/>
          <w:szCs w:val="21"/>
          <w:shd w:val="clear" w:color="auto" w:fill="FFFFFF"/>
        </w:rPr>
        <w:t xml:space="preserve"> </w:t>
      </w:r>
      <w:ins w:id="74" w:author="Microsoft Office User" w:date="2017-08-08T13:39:00Z">
        <w:r w:rsidR="00051E91">
          <w:rPr>
            <w:rFonts w:eastAsia="Times New Roman" w:cs="Times New Roman"/>
            <w:color w:val="252525"/>
            <w:szCs w:val="21"/>
            <w:shd w:val="clear" w:color="auto" w:fill="FFFFFF"/>
          </w:rPr>
          <w:t xml:space="preserve">set to </w:t>
        </w:r>
      </w:ins>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ins w:id="75" w:author="Microsoft Office User" w:date="2017-08-08T13:40:00Z">
        <w:r w:rsidR="00051E91">
          <w:rPr>
            <w:rFonts w:eastAsia="Times New Roman" w:cs="Times New Roman"/>
            <w:color w:val="252525"/>
            <w:szCs w:val="21"/>
            <w:shd w:val="clear" w:color="auto" w:fill="FFFFFF"/>
          </w:rPr>
          <w:t xml:space="preserve"> a duration of</w:t>
        </w:r>
      </w:ins>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76"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ins w:id="77" w:author="Microsoft Office User" w:date="2017-08-08T13:40:00Z">
        <w:r w:rsidR="00051E91">
          <w:rPr>
            <w:rFonts w:eastAsia="Times New Roman" w:cs="Times New Roman"/>
            <w:color w:val="252525"/>
            <w:szCs w:val="21"/>
            <w:shd w:val="clear" w:color="auto" w:fill="FFFFFF"/>
          </w:rPr>
          <w:t>utes</w:t>
        </w:r>
      </w:ins>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Triglyceride Assay Kit </w:t>
      </w:r>
      <w:commentRangeStart w:id="78"/>
      <w:r w:rsidR="00131C99">
        <w:rPr>
          <w:rFonts w:eastAsia="Times New Roman" w:cs="Times New Roman"/>
          <w:color w:val="252525"/>
          <w:szCs w:val="21"/>
          <w:shd w:val="clear" w:color="auto" w:fill="FFFFFF"/>
        </w:rPr>
        <w:t>(</w:t>
      </w:r>
      <w:ins w:id="79"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78"/>
      <w:r w:rsidR="00131C99">
        <w:rPr>
          <w:rStyle w:val="CommentReference"/>
        </w:rPr>
        <w:commentReference w:id="78"/>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80"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81"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r w:rsidR="005354F7">
        <w:t>Tisssues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82"/>
      <w:commentRangeStart w:id="83"/>
      <w:r>
        <w:t>t</w:t>
      </w:r>
      <w:del w:id="84" w:author="Microsoft Office User" w:date="2017-08-08T13:41:00Z">
        <w:r w:rsidDel="005C636B">
          <w:delText>richrome</w:delText>
        </w:r>
        <w:commentRangeEnd w:id="82"/>
        <w:r w:rsidR="005354F7" w:rsidDel="005C636B">
          <w:rPr>
            <w:rStyle w:val="CommentReference"/>
          </w:rPr>
          <w:commentReference w:id="82"/>
        </w:r>
        <w:commentRangeEnd w:id="83"/>
        <w:r w:rsidR="007D5D9F" w:rsidDel="005C636B">
          <w:rPr>
            <w:rStyle w:val="CommentReference"/>
          </w:rPr>
          <w:commentReference w:id="83"/>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85" w:author="Dave Bridges" w:date="2017-07-31T17:35:00Z"/>
        </w:rPr>
      </w:pPr>
    </w:p>
    <w:p w14:paraId="48658E05" w14:textId="22DE3A51" w:rsidR="00833B9D" w:rsidRDefault="00642BDD" w:rsidP="009C4CFA">
      <w:pPr>
        <w:rPr>
          <w:ins w:id="86"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TRIzol</w:t>
      </w:r>
      <w:r w:rsidR="00833B9D">
        <w:t xml:space="preserve"> </w:t>
      </w:r>
      <w:r w:rsidR="009E06A7">
        <w:t xml:space="preserve">using </w:t>
      </w:r>
      <w:ins w:id="87" w:author="Microsoft Office User" w:date="2017-08-08T13:43:00Z">
        <w:r w:rsidR="005C636B">
          <w:t xml:space="preserve">the </w:t>
        </w:r>
        <w:r w:rsidR="005C636B">
          <w:rPr>
            <w:rFonts w:eastAsia="Times New Roman" w:cs="Times New Roman"/>
            <w:color w:val="252525"/>
            <w:szCs w:val="21"/>
            <w:shd w:val="clear" w:color="auto" w:fill="FFFFFF"/>
          </w:rPr>
          <w:t>Tissue</w:t>
        </w:r>
        <w:r w:rsidR="005C636B">
          <w:rPr>
            <w:rFonts w:eastAsia="Times New Roman" w:cs="Times New Roman"/>
            <w:color w:val="252525"/>
            <w:szCs w:val="21"/>
            <w:shd w:val="clear" w:color="auto" w:fill="FFFFFF"/>
          </w:rPr>
          <w:t>Lyser II, as decribed above,</w:t>
        </w:r>
      </w:ins>
      <w:del w:id="88" w:author="Microsoft Office User" w:date="2017-08-08T13:43:00Z">
        <w:r w:rsidR="009E06A7" w:rsidDel="005C636B">
          <w:delText>machine</w:delText>
        </w:r>
      </w:del>
      <w:r w:rsidR="009E06A7">
        <w:t xml:space="preserve"> </w:t>
      </w:r>
      <w:r>
        <w:t xml:space="preserve">and </w:t>
      </w:r>
      <w:r w:rsidR="00D6308A">
        <w:t xml:space="preserve">RNA was extracted using </w:t>
      </w:r>
      <w:r w:rsidR="00877762">
        <w:t xml:space="preserve">the </w:t>
      </w:r>
      <w:r w:rsidR="00877762" w:rsidRPr="005354F7">
        <w:rPr>
          <w:rFonts w:cs="Times New Roman"/>
        </w:rPr>
        <w:t>PureLink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89"/>
      <w:r w:rsidR="00D6022E" w:rsidRPr="009C4CFA">
        <w:rPr>
          <w:rFonts w:cs="Times New Roman"/>
          <w:i/>
        </w:rPr>
        <w:t>Actb</w:t>
      </w:r>
      <w:commentRangeEnd w:id="89"/>
      <w:r w:rsidR="00D6022E">
        <w:rPr>
          <w:rStyle w:val="CommentReference"/>
        </w:rPr>
        <w:commentReference w:id="89"/>
      </w:r>
      <w:r w:rsidR="00D6022E" w:rsidRPr="005354F7">
        <w:rPr>
          <w:rFonts w:cs="Times New Roman"/>
        </w:rPr>
        <w:t xml:space="preserve"> </w:t>
      </w:r>
      <w:r w:rsidR="005354F7">
        <w:rPr>
          <w:rFonts w:cs="Times New Roman"/>
        </w:rPr>
        <w:t>after evaluation of several reference genes</w:t>
      </w:r>
      <w:ins w:id="90" w:author="Microsoft Office User" w:date="2017-08-04T11:35:00Z">
        <w:r w:rsidR="009C4CFA">
          <w:rPr>
            <w:rFonts w:cs="Times New Roman"/>
          </w:rPr>
          <w:t xml:space="preserve"> </w:t>
        </w:r>
      </w:ins>
      <w:r w:rsidR="00D6022E" w:rsidRPr="005354F7">
        <w:rPr>
          <w:rFonts w:cs="Times New Roman"/>
        </w:rPr>
        <w:t>(</w:t>
      </w:r>
      <w:commentRangeStart w:id="91"/>
      <w:r w:rsidR="00D6022E" w:rsidRPr="005354F7">
        <w:rPr>
          <w:rFonts w:cs="Times New Roman"/>
        </w:rPr>
        <w:t>Table</w:t>
      </w:r>
      <w:commentRangeEnd w:id="91"/>
      <w:r w:rsidR="00D6022E">
        <w:rPr>
          <w:rStyle w:val="CommentReference"/>
        </w:rPr>
        <w:commentReference w:id="91"/>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92"/>
      <w:commentRangeStart w:id="93"/>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pHSL, CGI-58, </w:t>
      </w:r>
      <w:r>
        <w:rPr>
          <w:rFonts w:eastAsia="Times New Roman" w:cs="Times New Roman"/>
          <w:color w:val="000000"/>
          <w:shd w:val="clear" w:color="auto" w:fill="FFFFFF"/>
        </w:rPr>
        <w:lastRenderedPageBreak/>
        <w:t xml:space="preserve">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92"/>
      <w:r>
        <w:rPr>
          <w:rStyle w:val="CommentReference"/>
        </w:rPr>
        <w:commentReference w:id="92"/>
      </w:r>
      <w:commentRangeEnd w:id="93"/>
      <w:r w:rsidR="005354F7">
        <w:rPr>
          <w:rStyle w:val="CommentReference"/>
        </w:rPr>
        <w:commentReference w:id="93"/>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94"/>
      <w:r w:rsidRPr="00DE6E98">
        <w:rPr>
          <w:rFonts w:eastAsia="Times New Roman" w:cs="Times New Roman"/>
          <w:color w:val="000000"/>
          <w:shd w:val="clear" w:color="auto" w:fill="FFFFFF"/>
        </w:rPr>
        <w:t>(LiCOR).</w:t>
      </w:r>
      <w:commentRangeEnd w:id="94"/>
      <w:r w:rsidR="00E23AC2">
        <w:rPr>
          <w:rStyle w:val="CommentReference"/>
        </w:rPr>
        <w:commentReference w:id="94"/>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weeks post dexamethasone treatment</w:t>
      </w:r>
      <w:r w:rsidR="00D97041">
        <w:t xml:space="preserve"> and blood</w:t>
      </w:r>
      <w:r w:rsidR="00485915">
        <w:t xml:space="preserve"> was take</w:t>
      </w:r>
      <w:r w:rsidR="00A8754F">
        <w:t>n via retro orbital bleed</w:t>
      </w:r>
      <w:r w:rsidR="00485915">
        <w:t xml:space="preserve"> at baseline and 15 minutes following an i.p.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weeks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95"/>
      <w:commentRangeStart w:id="96"/>
      <w:r w:rsidR="00D97041" w:rsidRPr="00AA0FBC">
        <w:rPr>
          <w:rFonts w:eastAsia="Times New Roman" w:cs="Arial"/>
          <w:color w:val="ED145A"/>
          <w:shd w:val="clear" w:color="auto" w:fill="FFFFFF"/>
        </w:rPr>
        <w:t>HR Series NEFA-HR(2)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95"/>
      <w:r>
        <w:rPr>
          <w:rStyle w:val="CommentReference"/>
        </w:rPr>
        <w:commentReference w:id="95"/>
      </w:r>
      <w:commentRangeEnd w:id="96"/>
      <w:r w:rsidR="007D5D9F">
        <w:rPr>
          <w:rStyle w:val="CommentReference"/>
        </w:rPr>
        <w:commentReference w:id="96"/>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3B207B6D" w:rsidR="00F0261F" w:rsidRDefault="009B18AB">
      <w:r>
        <w:t xml:space="preserve">Our group </w:t>
      </w:r>
      <w:r w:rsidR="00DD413F">
        <w:t>has previously</w:t>
      </w:r>
      <w:r>
        <w:t xml:space="preserve"> </w:t>
      </w:r>
      <w:r w:rsidR="00DD413F">
        <w:t>published data</w:t>
      </w:r>
      <w:del w:id="97"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98" w:author="Dave Bridges" w:date="2017-07-31T17:40:00Z">
        <w:r w:rsidR="00E72723">
          <w:t xml:space="preserve">; </w:t>
        </w:r>
      </w:ins>
      <w:ins w:id="99" w:author="Dave Bridges" w:date="2017-07-31T20:17:00Z">
        <w:r w:rsidR="00F55C38">
          <w:t>(</w:t>
        </w:r>
      </w:ins>
      <w:ins w:id="100" w:author="Dave Bridges" w:date="2017-07-31T17:40:00Z">
        <w:r w:rsidR="00E72723" w:rsidRPr="00102275">
          <w:rPr>
            <w:noProof/>
          </w:rPr>
          <w:t>22)</w:t>
        </w:r>
      </w:ins>
      <w:ins w:id="101" w:author="Dave Bridges" w:date="2017-07-31T20:17:00Z">
        <w:r w:rsidR="00F55C38">
          <w:rPr>
            <w:noProof/>
          </w:rPr>
          <w:t>)</w:t>
        </w:r>
      </w:ins>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Cushingoid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 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w:t>
      </w:r>
      <w:r w:rsidR="003145E7" w:rsidRPr="00830364">
        <w:rPr>
          <w:rFonts w:eastAsia="Times New Roman" w:cs="Times New Roman"/>
          <w:color w:val="333333"/>
          <w:shd w:val="clear" w:color="auto" w:fill="FFFFFF"/>
        </w:rPr>
        <w:lastRenderedPageBreak/>
        <w:t xml:space="preserve">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7F6D164B"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r w:rsidR="00D9267D">
        <w:t>hyper</w:t>
      </w:r>
      <w:r w:rsidR="0060769C">
        <w:t>insulin</w:t>
      </w:r>
      <w:r w:rsidR="00D9267D">
        <w:t>emic</w:t>
      </w:r>
      <w:r w:rsidR="0060769C">
        <w:t xml:space="preserve"> phase, the</w:t>
      </w:r>
      <w:r w:rsidR="00DA2A9C">
        <w:t xml:space="preserve"> </w:t>
      </w:r>
      <w:ins w:id="102" w:author="Dave Bridges" w:date="2017-08-08T08:24:00Z">
        <w:r w:rsidR="00F83E6F">
          <w:t xml:space="preserve">glucose </w:t>
        </w:r>
      </w:ins>
      <w:r w:rsidR="00DA2A9C">
        <w:t>infusion rate was</w:t>
      </w:r>
      <w:r w:rsidR="003F1693">
        <w:t xml:space="preserve"> </w:t>
      </w:r>
      <w:commentRangeStart w:id="103"/>
      <w:del w:id="104" w:author="Dave Bridges" w:date="2017-08-08T08:24:00Z">
        <w:r w:rsidR="00D1071D" w:rsidDel="00F83E6F">
          <w:delText>xx</w:delText>
        </w:r>
        <w:commentRangeStart w:id="105"/>
        <w:commentRangeStart w:id="106"/>
        <w:r w:rsidR="00DA2A9C" w:rsidDel="00F83E6F">
          <w:delText xml:space="preserve"> </w:delText>
        </w:r>
      </w:del>
      <w:commentRangeEnd w:id="105"/>
      <w:ins w:id="107" w:author="Dave Bridges" w:date="2017-08-08T08:24:00Z">
        <w:r w:rsidR="00F83E6F">
          <w:t xml:space="preserve">39%  </w:t>
        </w:r>
      </w:ins>
      <w:r w:rsidR="004E0CEB">
        <w:rPr>
          <w:rStyle w:val="CommentReference"/>
        </w:rPr>
        <w:commentReference w:id="105"/>
      </w:r>
      <w:commentRangeEnd w:id="106"/>
      <w:r w:rsidR="00A7582B">
        <w:rPr>
          <w:rStyle w:val="CommentReference"/>
        </w:rPr>
        <w:commentReference w:id="106"/>
      </w:r>
      <w:commentRangeEnd w:id="103"/>
      <w:r w:rsidR="00D9267D">
        <w:rPr>
          <w:rStyle w:val="CommentReference"/>
        </w:rPr>
        <w:commentReference w:id="103"/>
      </w:r>
      <w:del w:id="108" w:author="Dave Bridges" w:date="2017-08-08T08:24:00Z">
        <w:r w:rsidR="00DA2A9C" w:rsidDel="00F83E6F">
          <w:delText>times</w:delText>
        </w:r>
        <w:r w:rsidR="00B77F49" w:rsidDel="00F83E6F">
          <w:delText xml:space="preserve"> </w:delText>
        </w:r>
      </w:del>
      <w:r w:rsidR="00DA2A9C">
        <w:t xml:space="preserve">lower </w:t>
      </w:r>
      <w:r w:rsidR="00B77F49">
        <w:t xml:space="preserve">in obese dexamethasone-treated mice when compared to obese controls </w:t>
      </w:r>
      <w:r w:rsidR="00D9267D">
        <w:t xml:space="preserve">indicating insulin resistance </w:t>
      </w:r>
      <w:ins w:id="109" w:author="Dave Bridges" w:date="2017-08-08T08:25:00Z">
        <w:r w:rsidR="00F83E6F">
          <w:t xml:space="preserve">at euglycemia </w:t>
        </w:r>
      </w:ins>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del w:id="110" w:author="Dave Bridges" w:date="2017-08-08T08:33:00Z">
        <w:r w:rsidR="00C543E4" w:rsidDel="000553E0">
          <w:delText>xx</w:delText>
        </w:r>
      </w:del>
      <w:ins w:id="111" w:author="Dave Bridges" w:date="2017-08-08T08:33:00Z">
        <w:r w:rsidR="000553E0">
          <w:t>37</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del w:id="112" w:author="Dave Bridges" w:date="2017-08-08T08:33:00Z">
        <w:r w:rsidR="00D1071D" w:rsidDel="000553E0">
          <w:delText xml:space="preserve"> XX</w:delText>
        </w:r>
      </w:del>
      <w:ins w:id="113" w:author="Dave Bridges" w:date="2017-08-08T08:33:00Z">
        <w:r w:rsidR="000553E0">
          <w:t xml:space="preserve"> to near zero</w:t>
        </w:r>
      </w:ins>
      <w:del w:id="114" w:author="Dave Bridges" w:date="2017-08-08T08:33:00Z">
        <w:r w:rsidR="00D1071D" w:rsidDel="000553E0">
          <w:delText>%</w:delText>
        </w:r>
      </w:del>
      <w:r w:rsidR="00D1071D">
        <w:t xml:space="preserve"> </w:t>
      </w:r>
      <w:r w:rsidR="00D9267D">
        <w:t xml:space="preserve">by insulin </w:t>
      </w:r>
      <w:r w:rsidR="00D1071D">
        <w:t xml:space="preserve">but only </w:t>
      </w:r>
      <w:del w:id="115" w:author="Dave Bridges" w:date="2017-08-08T08:33:00Z">
        <w:r w:rsidR="00D1071D" w:rsidDel="000553E0">
          <w:delText>XX</w:delText>
        </w:r>
      </w:del>
      <w:ins w:id="116" w:author="Dave Bridges" w:date="2017-08-08T08:33:00Z">
        <w:r w:rsidR="000553E0">
          <w:t>70s</w:t>
        </w:r>
      </w:ins>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17"/>
      <w:r w:rsidR="00E25306">
        <w:t>5</w:t>
      </w:r>
      <w:r w:rsidR="00B34443">
        <w:t xml:space="preserve">-fold </w:t>
      </w:r>
      <w:commentRangeEnd w:id="117"/>
      <w:r w:rsidR="00146EBC">
        <w:rPr>
          <w:rStyle w:val="CommentReference"/>
        </w:rPr>
        <w:commentReference w:id="117"/>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Figure 1G</w:t>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18"/>
      <w:r w:rsidR="00976FAB">
        <w:t>Figure</w:t>
      </w:r>
      <w:commentRangeEnd w:id="118"/>
      <w:r w:rsidR="000B0A44">
        <w:rPr>
          <w:rStyle w:val="CommentReference"/>
        </w:rPr>
        <w:commentReference w:id="118"/>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33597DAC"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2.8 fold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r w:rsidR="00B63F75" w:rsidRPr="00B63F75">
        <w:rPr>
          <w:i/>
        </w:rPr>
        <w:t>Fasn</w:t>
      </w:r>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r w:rsidR="0086228C" w:rsidRPr="00687875">
        <w:rPr>
          <w:i/>
        </w:rPr>
        <w:t>Fasn</w:t>
      </w:r>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0AFA2700" w:rsidR="00733364" w:rsidRDefault="00035700">
      <w:r>
        <w:t xml:space="preserve">We </w:t>
      </w:r>
      <w:commentRangeStart w:id="119"/>
      <w:r>
        <w:t xml:space="preserve">evaluated body mass </w:t>
      </w:r>
      <w:commentRangeEnd w:id="119"/>
      <w:r w:rsidR="00255829">
        <w:rPr>
          <w:rStyle w:val="CommentReference"/>
        </w:rPr>
        <w:commentReference w:id="119"/>
      </w:r>
      <w:r>
        <w:t>in mice via EchoMRI. Contrary to expectations, we observed reductions in fat mass in the HFD-fed dexamethasone treated group (</w:t>
      </w:r>
      <w:commentRangeStart w:id="120"/>
      <w:r>
        <w:t>Figure</w:t>
      </w:r>
      <w:commentRangeEnd w:id="120"/>
      <w:r w:rsidR="00E2033A">
        <w:rPr>
          <w:rStyle w:val="CommentReference"/>
        </w:rPr>
        <w:commentReference w:id="120"/>
      </w:r>
      <w:r>
        <w:t xml:space="preserve"> 3A,B). It is </w:t>
      </w:r>
      <w:r w:rsidR="005A7212">
        <w:t>These reductions were</w:t>
      </w:r>
      <w:r>
        <w:t xml:space="preserve"> not depot specific</w:t>
      </w:r>
      <w:r w:rsidR="005A7212">
        <w:t>, as they were observed in both inguinal and epididymal adipose tissue</w:t>
      </w:r>
      <w:r w:rsidR="00E2033A">
        <w:t xml:space="preserve"> (</w:t>
      </w:r>
      <w:commentRangeStart w:id="121"/>
      <w:r w:rsidR="00E2033A">
        <w:t>F</w:t>
      </w:r>
      <w:r>
        <w:t>igure</w:t>
      </w:r>
      <w:commentRangeEnd w:id="121"/>
      <w:r w:rsidR="00E2033A">
        <w:rPr>
          <w:rStyle w:val="CommentReference"/>
        </w:rPr>
        <w:commentReference w:id="121"/>
      </w:r>
      <w:r>
        <w:t xml:space="preserve"> 3C). There was no change in </w:t>
      </w:r>
      <w:commentRangeStart w:id="122"/>
      <w:r>
        <w:t xml:space="preserve">fat mass </w:t>
      </w:r>
      <w:commentRangeEnd w:id="122"/>
      <w:r w:rsidR="005A7212">
        <w:rPr>
          <w:rStyle w:val="CommentReference"/>
        </w:rPr>
        <w:commentReference w:id="122"/>
      </w:r>
      <w:r>
        <w:t xml:space="preserve">in response to dexamethasone treatment in the chow-fed group (Figure 3B). </w:t>
      </w:r>
      <w:r w:rsidR="005A7212">
        <w:t>We observed</w:t>
      </w:r>
      <w:r w:rsidR="00567887">
        <w:t xml:space="preserve"> no significant differences in food </w:t>
      </w:r>
      <w:commentRangeStart w:id="123"/>
      <w:r w:rsidR="00567887">
        <w:t>consumption</w:t>
      </w:r>
      <w:commentRangeEnd w:id="123"/>
      <w:r w:rsidR="005A7212">
        <w:t xml:space="preserve"> throughout this study</w:t>
      </w:r>
      <w:r w:rsidR="00567887">
        <w:rPr>
          <w:rStyle w:val="CommentReference"/>
        </w:rPr>
        <w:commentReference w:id="123"/>
      </w:r>
      <w:r>
        <w:t xml:space="preserve"> (</w:t>
      </w:r>
      <w:commentRangeStart w:id="124"/>
      <w:r>
        <w:t>Figure</w:t>
      </w:r>
      <w:commentRangeEnd w:id="124"/>
      <w:r w:rsidR="00E2033A">
        <w:rPr>
          <w:rStyle w:val="CommentReference"/>
        </w:rPr>
        <w:commentReference w:id="124"/>
      </w:r>
      <w:r>
        <w:t xml:space="preserve"> 3D</w:t>
      </w:r>
      <w:r w:rsidR="000E75DF">
        <w:t>)</w:t>
      </w:r>
      <w:r w:rsidR="00567887">
        <w:t>.</w:t>
      </w:r>
      <w:r w:rsidR="001C22CC">
        <w:t xml:space="preserve"> </w:t>
      </w:r>
      <w:r w:rsidR="00BD2B9E">
        <w:t>These data suggested that glucocorticoids may promote a lipodystrophy-like phenotype in obese animals.</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25"/>
      <w:r w:rsidRPr="00481EB2">
        <w:rPr>
          <w:color w:val="2E74B5" w:themeColor="accent1" w:themeShade="BF"/>
          <w:sz w:val="32"/>
          <w:szCs w:val="32"/>
        </w:rPr>
        <w:t>Increased</w:t>
      </w:r>
      <w:commentRangeEnd w:id="125"/>
      <w:r w:rsidR="00A979ED">
        <w:rPr>
          <w:rStyle w:val="CommentReference"/>
        </w:rPr>
        <w:commentReference w:id="125"/>
      </w:r>
      <w:r w:rsidRPr="00481EB2">
        <w:rPr>
          <w:color w:val="2E74B5" w:themeColor="accent1" w:themeShade="BF"/>
          <w:sz w:val="32"/>
          <w:szCs w:val="32"/>
        </w:rPr>
        <w:t xml:space="preserve"> Lipolysis</w:t>
      </w:r>
    </w:p>
    <w:p w14:paraId="2CEB1620" w14:textId="74DD026F"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26"/>
      <w:r w:rsidR="008C3E9A">
        <w:rPr>
          <w:color w:val="000000" w:themeColor="text1"/>
        </w:rPr>
        <w:t>NAFLD</w:t>
      </w:r>
      <w:commentRangeEnd w:id="126"/>
      <w:r w:rsidR="00DD4CD8">
        <w:rPr>
          <w:rStyle w:val="CommentReference"/>
        </w:rPr>
        <w:commentReference w:id="126"/>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127"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28"/>
      <w:r w:rsidR="00A14D1A">
        <w:rPr>
          <w:color w:val="000000" w:themeColor="text1"/>
        </w:rPr>
        <w:t>p</w:t>
      </w:r>
      <w:commentRangeEnd w:id="128"/>
      <w:r w:rsidR="00A14D1A">
        <w:rPr>
          <w:rStyle w:val="CommentReference"/>
        </w:rPr>
        <w:commentReference w:id="128"/>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129"/>
      <w:r w:rsidR="00A14D1A">
        <w:rPr>
          <w:color w:val="000000" w:themeColor="text1"/>
        </w:rPr>
        <w:t>p</w:t>
      </w:r>
      <w:commentRangeEnd w:id="129"/>
      <w:r w:rsidR="00A14D1A">
        <w:rPr>
          <w:rStyle w:val="CommentReference"/>
        </w:rPr>
        <w:commentReference w:id="129"/>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130"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To assess this further, we measured lipolytic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r w:rsidR="00B06214">
        <w:rPr>
          <w:color w:val="000000" w:themeColor="text1"/>
        </w:rPr>
        <w:t>C,D</w:t>
      </w:r>
      <w:r w:rsidR="00E759C3">
        <w:rPr>
          <w:color w:val="000000" w:themeColor="text1"/>
        </w:rPr>
        <w:t>)</w:t>
      </w:r>
      <w:r w:rsidR="00EA22A1">
        <w:rPr>
          <w:color w:val="000000" w:themeColor="text1"/>
        </w:rPr>
        <w:t xml:space="preserve">. Expression of </w:t>
      </w:r>
      <w:commentRangeStart w:id="131"/>
      <w:r w:rsidR="00EA22A1">
        <w:rPr>
          <w:color w:val="000000" w:themeColor="text1"/>
        </w:rPr>
        <w:t>ATGL</w:t>
      </w:r>
      <w:commentRangeEnd w:id="131"/>
      <w:r w:rsidR="00834FC4">
        <w:rPr>
          <w:rStyle w:val="CommentReference"/>
        </w:rPr>
        <w:commentReference w:id="131"/>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32"/>
      <w:r w:rsidR="00D76442">
        <w:rPr>
          <w:color w:val="000000" w:themeColor="text1"/>
        </w:rPr>
        <w:t>treatment</w:t>
      </w:r>
      <w:commentRangeEnd w:id="132"/>
      <w:r w:rsidR="00372F30">
        <w:rPr>
          <w:rStyle w:val="CommentReference"/>
        </w:rPr>
        <w:commentReference w:id="132"/>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33"/>
      <w:r w:rsidR="003A5F27">
        <w:rPr>
          <w:color w:val="000000" w:themeColor="text1"/>
        </w:rPr>
        <w:t>p</w:t>
      </w:r>
      <w:commentRangeEnd w:id="133"/>
      <w:r w:rsidR="003A5F27">
        <w:rPr>
          <w:rStyle w:val="CommentReference"/>
        </w:rPr>
        <w:commentReference w:id="133"/>
      </w:r>
      <w:r w:rsidR="003A5F27">
        <w:rPr>
          <w:color w:val="000000" w:themeColor="text1"/>
        </w:rPr>
        <w:t>=</w:t>
      </w:r>
      <w:r>
        <w:rPr>
          <w:color w:val="000000" w:themeColor="text1"/>
        </w:rPr>
        <w:t xml:space="preserve">; </w:t>
      </w:r>
      <w:commentRangeStart w:id="134"/>
      <w:r>
        <w:rPr>
          <w:color w:val="000000" w:themeColor="text1"/>
        </w:rPr>
        <w:t xml:space="preserve">XX </w:t>
      </w:r>
      <w:commentRangeEnd w:id="134"/>
      <w:r>
        <w:rPr>
          <w:rStyle w:val="CommentReference"/>
        </w:rPr>
        <w:commentReference w:id="134"/>
      </w:r>
      <w:r>
        <w:rPr>
          <w:color w:val="000000" w:themeColor="text1"/>
        </w:rPr>
        <w:t>fold</w:t>
      </w:r>
      <w:r w:rsidR="003A5F27">
        <w:rPr>
          <w:color w:val="000000" w:themeColor="text1"/>
        </w:rPr>
        <w:t>) and protein (</w:t>
      </w:r>
      <w:commentRangeStart w:id="135"/>
      <w:r w:rsidR="003A5F27">
        <w:rPr>
          <w:color w:val="000000" w:themeColor="text1"/>
        </w:rPr>
        <w:t>p</w:t>
      </w:r>
      <w:commentRangeEnd w:id="135"/>
      <w:r w:rsidR="003A5F27">
        <w:rPr>
          <w:rStyle w:val="CommentReference"/>
        </w:rPr>
        <w:commentReference w:id="135"/>
      </w:r>
      <w:r w:rsidR="003A5F27">
        <w:rPr>
          <w:color w:val="000000" w:themeColor="text1"/>
        </w:rPr>
        <w:t>=</w:t>
      </w:r>
      <w:r>
        <w:rPr>
          <w:color w:val="000000" w:themeColor="text1"/>
        </w:rPr>
        <w:t xml:space="preserve">; </w:t>
      </w:r>
      <w:commentRangeStart w:id="136"/>
      <w:r>
        <w:rPr>
          <w:color w:val="000000" w:themeColor="text1"/>
        </w:rPr>
        <w:t xml:space="preserve">XX </w:t>
      </w:r>
      <w:commentRangeEnd w:id="136"/>
      <w:r>
        <w:rPr>
          <w:rStyle w:val="CommentReference"/>
        </w:rPr>
        <w:commentReference w:id="136"/>
      </w:r>
      <w:r>
        <w:rPr>
          <w:color w:val="000000" w:themeColor="text1"/>
        </w:rPr>
        <w:t>fold</w:t>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137"/>
      <w:r w:rsidR="00001E0D">
        <w:rPr>
          <w:color w:val="000000" w:themeColor="text1"/>
        </w:rPr>
        <w:t xml:space="preserve">XX </w:t>
      </w:r>
      <w:commentRangeEnd w:id="137"/>
      <w:r w:rsidR="00001E0D">
        <w:rPr>
          <w:rStyle w:val="CommentReference"/>
        </w:rPr>
        <w:commentReference w:id="137"/>
      </w:r>
      <w:r w:rsidR="00001E0D">
        <w:rPr>
          <w:color w:val="000000" w:themeColor="text1"/>
        </w:rPr>
        <w:t>fold</w:t>
      </w:r>
      <w:r w:rsidR="00A2566C">
        <w:rPr>
          <w:color w:val="000000" w:themeColor="text1"/>
        </w:rPr>
        <w:t>), fasted (p=0.01</w:t>
      </w:r>
      <w:r w:rsidR="00001E0D">
        <w:rPr>
          <w:color w:val="000000" w:themeColor="text1"/>
        </w:rPr>
        <w:t xml:space="preserve">; </w:t>
      </w:r>
      <w:commentRangeStart w:id="138"/>
      <w:r w:rsidR="00001E0D">
        <w:rPr>
          <w:color w:val="000000" w:themeColor="text1"/>
        </w:rPr>
        <w:t xml:space="preserve">XX </w:t>
      </w:r>
      <w:commentRangeEnd w:id="138"/>
      <w:r w:rsidR="00001E0D">
        <w:rPr>
          <w:rStyle w:val="CommentReference"/>
        </w:rPr>
        <w:commentReference w:id="138"/>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139"/>
      <w:r w:rsidR="00001E0D">
        <w:rPr>
          <w:color w:val="000000" w:themeColor="text1"/>
        </w:rPr>
        <w:t xml:space="preserve">XX </w:t>
      </w:r>
      <w:commentRangeEnd w:id="139"/>
      <w:r w:rsidR="00001E0D">
        <w:rPr>
          <w:rStyle w:val="CommentReference"/>
        </w:rPr>
        <w:commentReference w:id="139"/>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140"/>
      <w:r w:rsidR="00001E0D">
        <w:rPr>
          <w:color w:val="000000" w:themeColor="text1"/>
        </w:rPr>
        <w:t xml:space="preserve">XX </w:t>
      </w:r>
      <w:commentRangeEnd w:id="140"/>
      <w:r w:rsidR="00001E0D">
        <w:rPr>
          <w:rStyle w:val="CommentReference"/>
        </w:rPr>
        <w:commentReference w:id="140"/>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141"/>
      <w:r w:rsidR="00001E0D">
        <w:rPr>
          <w:color w:val="000000" w:themeColor="text1"/>
        </w:rPr>
        <w:t xml:space="preserve">XX </w:t>
      </w:r>
      <w:commentRangeEnd w:id="141"/>
      <w:r w:rsidR="00001E0D">
        <w:rPr>
          <w:rStyle w:val="CommentReference"/>
        </w:rPr>
        <w:commentReference w:id="141"/>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 xml:space="preserve">analysis in the inguinal white adipose tissue (iWAT)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42"/>
      <w:r w:rsidR="006066A2">
        <w:rPr>
          <w:color w:val="000000" w:themeColor="text1"/>
        </w:rPr>
        <w:t>p</w:t>
      </w:r>
      <w:commentRangeEnd w:id="142"/>
      <w:r w:rsidR="006066A2">
        <w:rPr>
          <w:rStyle w:val="CommentReference"/>
        </w:rPr>
        <w:commentReference w:id="142"/>
      </w:r>
      <w:r w:rsidR="006066A2">
        <w:rPr>
          <w:color w:val="000000" w:themeColor="text1"/>
        </w:rPr>
        <w:t xml:space="preserve">=; </w:t>
      </w:r>
      <w:commentRangeStart w:id="143"/>
      <w:r w:rsidR="00001E0D">
        <w:rPr>
          <w:color w:val="000000" w:themeColor="text1"/>
        </w:rPr>
        <w:t xml:space="preserve">XX </w:t>
      </w:r>
      <w:commentRangeEnd w:id="143"/>
      <w:r w:rsidR="00001E0D">
        <w:rPr>
          <w:rStyle w:val="CommentReference"/>
        </w:rPr>
        <w:commentReference w:id="143"/>
      </w:r>
      <w:r w:rsidR="00001E0D">
        <w:rPr>
          <w:color w:val="000000" w:themeColor="text1"/>
        </w:rPr>
        <w:t xml:space="preserve">fold ; </w:t>
      </w:r>
      <w:commentRangeStart w:id="144"/>
      <w:r w:rsidR="006066A2">
        <w:rPr>
          <w:color w:val="000000" w:themeColor="text1"/>
        </w:rPr>
        <w:t>Figure 4F</w:t>
      </w:r>
      <w:commentRangeEnd w:id="144"/>
      <w:r w:rsidR="00001E0D">
        <w:rPr>
          <w:rStyle w:val="CommentReference"/>
        </w:rPr>
        <w:commentReference w:id="144"/>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45"/>
      <w:r w:rsidR="00656421">
        <w:rPr>
          <w:color w:val="000000" w:themeColor="text1"/>
        </w:rPr>
        <w:t>017</w:t>
      </w:r>
      <w:commentRangeEnd w:id="145"/>
      <w:r w:rsidR="00001E0D">
        <w:rPr>
          <w:rStyle w:val="CommentReference"/>
        </w:rPr>
        <w:commentReference w:id="145"/>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lastRenderedPageBreak/>
        <w:t>We quantified mRNA and protein expression of</w:t>
      </w:r>
      <w:r w:rsidR="00001E0D">
        <w:rPr>
          <w:color w:val="000000" w:themeColor="text1"/>
        </w:rPr>
        <w:t xml:space="preserve"> the</w:t>
      </w:r>
      <w:r>
        <w:rPr>
          <w:color w:val="000000" w:themeColor="text1"/>
        </w:rPr>
        <w:t xml:space="preserve"> lipolytic enzymes</w:t>
      </w:r>
      <w:r w:rsidR="00250376">
        <w:rPr>
          <w:color w:val="000000" w:themeColor="text1"/>
        </w:rPr>
        <w:t xml:space="preserve">, </w:t>
      </w:r>
      <w:commentRangeStart w:id="146"/>
      <w:r w:rsidR="00250376">
        <w:rPr>
          <w:color w:val="000000" w:themeColor="text1"/>
        </w:rPr>
        <w:t xml:space="preserve">ATGL </w:t>
      </w:r>
      <w:commentRangeStart w:id="147"/>
      <w:r w:rsidR="00250376">
        <w:rPr>
          <w:color w:val="000000" w:themeColor="text1"/>
        </w:rPr>
        <w:t>and</w:t>
      </w:r>
      <w:commentRangeEnd w:id="147"/>
      <w:r w:rsidR="00CB723C">
        <w:rPr>
          <w:rStyle w:val="CommentReference"/>
        </w:rPr>
        <w:commentReference w:id="147"/>
      </w:r>
      <w:r w:rsidR="00250376">
        <w:rPr>
          <w:color w:val="000000" w:themeColor="text1"/>
        </w:rPr>
        <w:t xml:space="preserve"> HSL</w:t>
      </w:r>
      <w:commentRangeEnd w:id="146"/>
      <w:r w:rsidR="00354C68">
        <w:rPr>
          <w:rStyle w:val="CommentReference"/>
        </w:rPr>
        <w:commentReference w:id="146"/>
      </w:r>
      <w:r w:rsidR="00250376">
        <w:rPr>
          <w:color w:val="000000" w:themeColor="text1"/>
        </w:rPr>
        <w:t>,</w:t>
      </w:r>
      <w:r>
        <w:rPr>
          <w:color w:val="000000" w:themeColor="text1"/>
        </w:rPr>
        <w:t xml:space="preserve"> in the iWAT of these </w:t>
      </w:r>
      <w:commentRangeStart w:id="148"/>
      <w:r>
        <w:rPr>
          <w:color w:val="000000" w:themeColor="text1"/>
        </w:rPr>
        <w:t>mice</w:t>
      </w:r>
      <w:commentRangeEnd w:id="148"/>
      <w:r w:rsidR="00D555D6">
        <w:rPr>
          <w:rStyle w:val="CommentReference"/>
        </w:rPr>
        <w:commentReference w:id="148"/>
      </w:r>
      <w:r w:rsidR="006E4062">
        <w:rPr>
          <w:color w:val="000000" w:themeColor="text1"/>
        </w:rPr>
        <w:t xml:space="preserve"> (5B,C)</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49"/>
      <w:commentRangeStart w:id="150"/>
      <w:commentRangeStart w:id="151"/>
      <w:r>
        <w:rPr>
          <w:color w:val="000000" w:themeColor="text1"/>
        </w:rPr>
        <w:t>These</w:t>
      </w:r>
      <w:commentRangeEnd w:id="149"/>
      <w:r w:rsidR="006139F2">
        <w:rPr>
          <w:rStyle w:val="CommentReference"/>
        </w:rPr>
        <w:commentReference w:id="149"/>
      </w:r>
      <w:commentRangeEnd w:id="150"/>
      <w:r w:rsidR="00001E0D">
        <w:rPr>
          <w:rStyle w:val="CommentReference"/>
        </w:rPr>
        <w:commentReference w:id="150"/>
      </w:r>
      <w:commentRangeEnd w:id="151"/>
      <w:r w:rsidR="00D770B9">
        <w:rPr>
          <w:rStyle w:val="CommentReference"/>
        </w:rPr>
        <w:commentReference w:id="151"/>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ins w:id="152" w:author="Microsoft Office User" w:date="2017-08-08T13:55:00Z">
        <w:r w:rsidR="00182A3A">
          <w:rPr>
            <w:color w:val="000000" w:themeColor="text1"/>
          </w:rPr>
          <w:t>,</w:t>
        </w:r>
      </w:ins>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9378091" w14:textId="6EB36521" w:rsidR="00CD6325" w:rsidRDefault="000A7B19" w:rsidP="00EA22A1">
      <w:pPr>
        <w:rPr>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ins w:id="153" w:author="Microsoft Office User" w:date="2017-08-08T13:56:00Z">
        <w:r w:rsidR="00182A3A">
          <w:rPr>
            <w:color w:val="000000" w:themeColor="text1"/>
          </w:rPr>
          <w:t>ere</w:t>
        </w:r>
      </w:ins>
      <w:del w:id="154" w:author="Microsoft Office User" w:date="2017-08-08T13:56:00Z">
        <w:r w:rsidR="009E2596" w:rsidDel="00182A3A">
          <w:rPr>
            <w:color w:val="000000" w:themeColor="text1"/>
          </w:rPr>
          <w:delText>as</w:delText>
        </w:r>
      </w:del>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specifically in the iWAT,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155"/>
      <w:r w:rsidR="00B32E07">
        <w:rPr>
          <w:color w:val="000000" w:themeColor="text1"/>
        </w:rPr>
        <w:t>glucocorticoids</w:t>
      </w:r>
      <w:commentRangeEnd w:id="155"/>
      <w:r w:rsidR="00B32E07">
        <w:rPr>
          <w:rStyle w:val="CommentReference"/>
        </w:rPr>
        <w:commentReference w:id="155"/>
      </w:r>
      <w:r w:rsidR="00B32E07">
        <w:rPr>
          <w:color w:val="000000" w:themeColor="text1"/>
        </w:rPr>
        <w:t xml:space="preserve">. </w:t>
      </w:r>
      <w:r w:rsidR="007637C8">
        <w:rPr>
          <w:color w:val="000000" w:themeColor="text1"/>
        </w:rPr>
        <w:t>However, to our surprise, the glucocorticoid treatment in obese mice led to an overall reduction in adiposity</w:t>
      </w:r>
      <w:commentRangeStart w:id="156"/>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r w:rsidR="0015242A">
        <w:rPr>
          <w:color w:val="000000" w:themeColor="text1"/>
        </w:rPr>
        <w:t xml:space="preserve">Lipolysis has been linked to increased gluconeogenesis by several studies.  One potential mechanism is that the increased flux of fatty acids, oxidized in the liver to acetyl-CoA, activate pyruvate carboxylase and gluconeogenesis </w:t>
      </w:r>
      <w:r w:rsidR="0015242A">
        <w:rPr>
          <w:color w:val="000000" w:themeColor="text1"/>
        </w:rPr>
        <w:fldChar w:fldCharType="begin" w:fldLock="1"/>
      </w:r>
      <w:r w:rsidR="00E21658">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"(49,50)", "plainTextFormattedCitation" : "(49,50)", "previouslyFormattedCitation" : "(49)"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(49,50)</w:t>
      </w:r>
      <w:r w:rsidR="0015242A">
        <w:rPr>
          <w:color w:val="000000" w:themeColor="text1"/>
        </w:rPr>
        <w:fldChar w:fldCharType="end"/>
      </w:r>
      <w:r w:rsidR="0015242A">
        <w:rPr>
          <w:color w:val="000000" w:themeColor="text1"/>
        </w:rPr>
        <w:t xml:space="preserve">.   </w:t>
      </w:r>
      <w:commentRangeEnd w:id="156"/>
      <w:r w:rsidR="00182A3A">
        <w:rPr>
          <w:rStyle w:val="CommentReference"/>
        </w:rPr>
        <w:commentReference w:id="156"/>
      </w:r>
    </w:p>
    <w:p w14:paraId="29829940" w14:textId="77777777" w:rsidR="00CD6325" w:rsidRDefault="00CD6325" w:rsidP="00EA22A1">
      <w:pPr>
        <w:rPr>
          <w:color w:val="000000" w:themeColor="text1"/>
        </w:rPr>
      </w:pPr>
    </w:p>
    <w:p w14:paraId="0AB3D433" w14:textId="73F273A5" w:rsidR="000C6027" w:rsidDel="004255D4" w:rsidRDefault="00372758" w:rsidP="0015242A">
      <w:pPr>
        <w:rPr>
          <w:del w:id="158" w:author="Microsoft Office User" w:date="2017-08-08T13:53:00Z"/>
          <w:color w:val="000000" w:themeColor="text1"/>
        </w:rPr>
      </w:pPr>
      <w:r>
        <w:rPr>
          <w:color w:val="000000" w:themeColor="text1"/>
        </w:rPr>
        <w:t>Lipolysis has been</w:t>
      </w:r>
      <w:r w:rsidR="00F80BE0">
        <w:rPr>
          <w:color w:val="000000" w:themeColor="text1"/>
        </w:rPr>
        <w:t xml:space="preserve"> implicated</w:t>
      </w:r>
      <w:r w:rsidR="00D03BDE">
        <w:rPr>
          <w:color w:val="000000" w:themeColor="text1"/>
        </w:rPr>
        <w:t xml:space="preserve"> in insulin resistance </w:t>
      </w:r>
      <w:r w:rsidR="006B4227">
        <w:rPr>
          <w:color w:val="000000" w:themeColor="text1"/>
        </w:rPr>
        <w:fldChar w:fldCharType="begin" w:fldLock="1"/>
      </w:r>
      <w:r w:rsidR="007B3667">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6B4227">
        <w:rPr>
          <w:color w:val="000000" w:themeColor="text1"/>
        </w:rPr>
        <w:fldChar w:fldCharType="separate"/>
      </w:r>
      <w:r w:rsidR="00993BF0" w:rsidRPr="00993BF0">
        <w:rPr>
          <w:noProof/>
          <w:color w:val="000000" w:themeColor="text1"/>
        </w:rPr>
        <w:t>(25,35)</w:t>
      </w:r>
      <w:r w:rsidR="006B4227">
        <w:rPr>
          <w:color w:val="000000" w:themeColor="text1"/>
        </w:rPr>
        <w:fldChar w:fldCharType="end"/>
      </w:r>
      <w:r w:rsidR="006B4227">
        <w:rPr>
          <w:color w:val="000000" w:themeColor="text1"/>
        </w:rPr>
        <w:t xml:space="preserve"> </w:t>
      </w:r>
      <w:r w:rsidR="00D03BDE">
        <w:rPr>
          <w:color w:val="000000" w:themeColor="text1"/>
        </w:rPr>
        <w:t>and NAFLD</w:t>
      </w:r>
      <w:r w:rsidR="00D26519">
        <w:rPr>
          <w:color w:val="000000" w:themeColor="text1"/>
        </w:rPr>
        <w:t xml:space="preserve"> </w:t>
      </w:r>
      <w:r w:rsidR="00182E66">
        <w:rPr>
          <w:color w:val="000000" w:themeColor="text1"/>
        </w:rPr>
        <w:fldChar w:fldCharType="begin" w:fldLock="1"/>
      </w:r>
      <w:r w:rsidR="00A0592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182E66">
        <w:rPr>
          <w:color w:val="000000" w:themeColor="text1"/>
        </w:rPr>
        <w:fldChar w:fldCharType="separate"/>
      </w:r>
      <w:r w:rsidR="00BF554F" w:rsidRPr="00BF554F">
        <w:rPr>
          <w:noProof/>
          <w:color w:val="000000" w:themeColor="text1"/>
        </w:rPr>
        <w:t>(28)</w:t>
      </w:r>
      <w:r w:rsidR="00182E66">
        <w:rPr>
          <w:color w:val="000000" w:themeColor="text1"/>
        </w:rPr>
        <w:fldChar w:fldCharType="end"/>
      </w:r>
      <w:r w:rsidR="00182E66">
        <w:rPr>
          <w:color w:val="000000" w:themeColor="text1"/>
        </w:rPr>
        <w:t xml:space="preserve"> </w:t>
      </w:r>
      <w:r w:rsidR="00D26519">
        <w:rPr>
          <w:color w:val="000000" w:themeColor="text1"/>
        </w:rPr>
        <w:t>and there is evidence to support it is enhanced in the obese state</w:t>
      </w:r>
      <w:r w:rsidR="003C6D82">
        <w:rPr>
          <w:color w:val="000000" w:themeColor="text1"/>
        </w:rPr>
        <w:t xml:space="preserve"> </w:t>
      </w:r>
      <w:r w:rsidR="003C6D82">
        <w:rPr>
          <w:color w:val="000000" w:themeColor="text1"/>
        </w:rPr>
        <w:fldChar w:fldCharType="begin" w:fldLock="1"/>
      </w:r>
      <w:r w:rsidR="00E21658">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"(50)" }, "properties" : { "noteIndex" : 0 }, "schema" : "https://github.com/citation-style-language/schema/raw/master/csl-citation.json" }</w:instrText>
      </w:r>
      <w:r w:rsidR="003C6D82">
        <w:rPr>
          <w:color w:val="000000" w:themeColor="text1"/>
        </w:rPr>
        <w:fldChar w:fldCharType="separate"/>
      </w:r>
      <w:r w:rsidR="00E21658" w:rsidRPr="00E21658">
        <w:rPr>
          <w:noProof/>
          <w:color w:val="000000" w:themeColor="text1"/>
        </w:rPr>
        <w:t>(51)</w:t>
      </w:r>
      <w:r w:rsidR="003C6D82">
        <w:rPr>
          <w:color w:val="000000" w:themeColor="text1"/>
        </w:rPr>
        <w:fldChar w:fldCharType="end"/>
      </w:r>
      <w:r w:rsidR="0015242A">
        <w:rPr>
          <w:color w:val="000000" w:themeColor="text1"/>
        </w:rPr>
        <w:t>.  G</w:t>
      </w:r>
      <w:r w:rsidR="00D26519">
        <w:rPr>
          <w:color w:val="000000" w:themeColor="text1"/>
        </w:rPr>
        <w:t>lucoco</w:t>
      </w:r>
      <w:r w:rsidR="000F1903">
        <w:rPr>
          <w:color w:val="000000" w:themeColor="text1"/>
        </w:rPr>
        <w:t>rticoids are known to stimulate</w:t>
      </w:r>
      <w:r w:rsidR="00D26519">
        <w:rPr>
          <w:color w:val="000000" w:themeColor="text1"/>
        </w:rPr>
        <w:t xml:space="preserve"> lipolysis</w:t>
      </w:r>
      <w:r w:rsidR="003C6D82">
        <w:rPr>
          <w:color w:val="000000" w:themeColor="text1"/>
        </w:rPr>
        <w:t xml:space="preserve"> </w:t>
      </w:r>
      <w:r w:rsidR="003C6D82">
        <w:rPr>
          <w:color w:val="000000" w:themeColor="text1"/>
        </w:rPr>
        <w:fldChar w:fldCharType="begin" w:fldLock="1"/>
      </w:r>
      <w:r w:rsidR="00637B3B">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3C6D82">
        <w:rPr>
          <w:color w:val="000000" w:themeColor="text1"/>
        </w:rPr>
        <w:fldChar w:fldCharType="separate"/>
      </w:r>
      <w:r w:rsidR="00D770B9" w:rsidRPr="00D770B9">
        <w:rPr>
          <w:noProof/>
          <w:color w:val="000000" w:themeColor="text1"/>
        </w:rPr>
        <w:t>(18,22–24)</w:t>
      </w:r>
      <w:r w:rsidR="003C6D82">
        <w:rPr>
          <w:color w:val="000000" w:themeColor="text1"/>
        </w:rPr>
        <w:fldChar w:fldCharType="end"/>
      </w:r>
      <w:r w:rsidR="00D26519">
        <w:rPr>
          <w:color w:val="000000" w:themeColor="text1"/>
        </w:rPr>
        <w:t xml:space="preserve">. </w:t>
      </w:r>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159"/>
      <w:r w:rsidR="0015242A">
        <w:rPr>
          <w:color w:val="000000" w:themeColor="text1"/>
        </w:rPr>
        <w:fldChar w:fldCharType="begin" w:fldLock="1"/>
      </w:r>
      <w:r w:rsidR="00E21658">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"(52)", "plainTextFormattedCitation" : "(52)", "previouslyFormattedCitation" : "(51)"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(52)</w:t>
      </w:r>
      <w:r w:rsidR="0015242A">
        <w:rPr>
          <w:color w:val="000000" w:themeColor="text1"/>
        </w:rPr>
        <w:fldChar w:fldCharType="end"/>
      </w:r>
      <w:commentRangeEnd w:id="159"/>
      <w:r w:rsidR="0015242A">
        <w:rPr>
          <w:rStyle w:val="CommentReference"/>
        </w:rPr>
        <w:commentReference w:id="159"/>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160"/>
      <w:r w:rsidR="0015242A">
        <w:rPr>
          <w:color w:val="000000" w:themeColor="text1"/>
        </w:rPr>
        <w:t>receptors</w:t>
      </w:r>
      <w:commentRangeEnd w:id="160"/>
      <w:r w:rsidR="0015242A">
        <w:rPr>
          <w:rStyle w:val="CommentReference"/>
        </w:rPr>
        <w:commentReference w:id="160"/>
      </w:r>
      <w:r w:rsidR="0015242A">
        <w:rPr>
          <w:color w:val="000000" w:themeColor="text1"/>
        </w:rPr>
        <w:t xml:space="preserve"> </w:t>
      </w:r>
      <w:r w:rsidR="0015242A">
        <w:rPr>
          <w:color w:val="000000" w:themeColor="text1"/>
        </w:rPr>
        <w:fldChar w:fldCharType="begin" w:fldLock="1"/>
      </w:r>
      <w:r w:rsidR="00E21658">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"(53)", "plainTextFormattedCitation" : "(53)", "previouslyFormattedCitation" : "(52)"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(53)</w:t>
      </w:r>
      <w:r w:rsidR="0015242A">
        <w:rPr>
          <w:color w:val="000000" w:themeColor="text1"/>
        </w:rPr>
        <w:fldChar w:fldCharType="end"/>
      </w:r>
      <w:r w:rsidR="0015242A">
        <w:rPr>
          <w:color w:val="000000" w:themeColor="text1"/>
        </w:rPr>
        <w:t xml:space="preserve"> and lipase </w:t>
      </w:r>
      <w:commentRangeStart w:id="161"/>
      <w:r w:rsidR="0015242A">
        <w:rPr>
          <w:color w:val="000000" w:themeColor="text1"/>
        </w:rPr>
        <w:t>transcripts</w:t>
      </w:r>
      <w:commentRangeEnd w:id="161"/>
      <w:r w:rsidR="0015242A">
        <w:rPr>
          <w:rStyle w:val="CommentReference"/>
        </w:rPr>
        <w:commentReference w:id="161"/>
      </w:r>
      <w:r w:rsidR="0015242A">
        <w:rPr>
          <w:color w:val="000000" w:themeColor="text1"/>
        </w:rPr>
        <w:t xml:space="preserve"> </w:t>
      </w:r>
      <w:r w:rsidR="0015242A">
        <w:rPr>
          <w:color w:val="000000" w:themeColor="text1"/>
        </w:rPr>
        <w:fldChar w:fldCharType="begin" w:fldLock="1"/>
      </w:r>
      <w:r w:rsidR="00E21658">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"(54)", "plainTextFormattedCitation" : "(54)", "previouslyFormattedCitation" : "(53)"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(54)</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Consistent with this,</w:t>
      </w:r>
      <w:r w:rsidR="00621EDB">
        <w:rPr>
          <w:color w:val="000000" w:themeColor="text1"/>
        </w:rPr>
        <w:t xml:space="preserve"> </w:t>
      </w:r>
      <w:r w:rsidR="0015242A">
        <w:rPr>
          <w:color w:val="000000" w:themeColor="text1"/>
        </w:rPr>
        <w:t xml:space="preserve">the products </w:t>
      </w:r>
      <w:r w:rsidR="00621EDB">
        <w:rPr>
          <w:color w:val="000000" w:themeColor="text1"/>
        </w:rPr>
        <w:t>of lipol</w:t>
      </w:r>
      <w:r w:rsidR="00ED441B">
        <w:rPr>
          <w:color w:val="000000" w:themeColor="text1"/>
        </w:rPr>
        <w:t>ysis were greater in</w:t>
      </w:r>
      <w:r w:rsidR="00621EDB">
        <w:rPr>
          <w:color w:val="000000" w:themeColor="text1"/>
        </w:rPr>
        <w:t xml:space="preserve"> obese, dexamethasone-treated mice</w:t>
      </w:r>
      <w:r w:rsidR="0015242A">
        <w:rPr>
          <w:color w:val="000000" w:themeColor="text1"/>
        </w:rPr>
        <w:t xml:space="preserve"> than 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Del="004255D4" w:rsidRDefault="000C6027" w:rsidP="00EA22A1">
      <w:pPr>
        <w:rPr>
          <w:del w:id="162" w:author="Microsoft Office User" w:date="2017-08-08T13:53:00Z"/>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5562B849"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E21658">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"(5,6,55)", "plainTextFormattedCitation" : "(5,6,55)", "previouslyFormattedCitation" : "(5,6,54)" }, "properties" : { "noteIndex" : 0 }, "schema" : "https://github.com/citation-style-language/schema/raw/master/csl-citation.json" }</w:instrText>
      </w:r>
      <w:r w:rsidR="00022845">
        <w:rPr>
          <w:color w:val="000000" w:themeColor="text1"/>
        </w:rPr>
        <w:fldChar w:fldCharType="separate"/>
      </w:r>
      <w:r w:rsidR="00E21658" w:rsidRPr="00E21658">
        <w:rPr>
          <w:noProof/>
          <w:color w:val="000000" w:themeColor="text1"/>
        </w:rPr>
        <w:t>(5,6,55)</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592C7E90" w:rsidR="009C5B00" w:rsidRDefault="00794B8D" w:rsidP="009C5B00">
      <w:pPr>
        <w:rPr>
          <w:color w:val="000000" w:themeColor="text1"/>
        </w:rPr>
      </w:pPr>
      <w:r>
        <w:rPr>
          <w:color w:val="000000" w:themeColor="text1"/>
        </w:rPr>
        <w:t>In summary, g</w:t>
      </w:r>
      <w:r w:rsidR="009C5B00">
        <w:rPr>
          <w:color w:val="000000" w:themeColor="text1"/>
        </w:rPr>
        <w:t>lucocorticoids are</w:t>
      </w:r>
      <w:del w:id="163" w:author="Microsoft Office User" w:date="2017-08-08T13:52:00Z">
        <w:r w:rsidR="009C5B00" w:rsidDel="000112F1">
          <w:rPr>
            <w:color w:val="000000" w:themeColor="text1"/>
          </w:rPr>
          <w:delText xml:space="preserve"> a</w:delText>
        </w:r>
      </w:del>
      <w:r w:rsidR="009C5B00">
        <w:rPr>
          <w:color w:val="000000" w:themeColor="text1"/>
        </w:rPr>
        <w:t xml:space="preserve"> commonly prescribed drug</w:t>
      </w:r>
      <w:ins w:id="164" w:author="Microsoft Office User" w:date="2017-08-08T13:52:00Z">
        <w:r w:rsidR="000112F1">
          <w:rPr>
            <w:color w:val="000000" w:themeColor="text1"/>
          </w:rPr>
          <w:t>s</w:t>
        </w:r>
      </w:ins>
      <w:r w:rsidR="009C5B00">
        <w:rPr>
          <w:color w:val="000000" w:themeColor="text1"/>
        </w:rPr>
        <w:t xml:space="preserve"> used to treat a multitude of health issues</w:t>
      </w:r>
      <w:ins w:id="165"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166"/>
      <w:r w:rsidR="004B1467">
        <w:rPr>
          <w:bCs/>
          <w:iCs/>
        </w:rPr>
        <w:t>Core</w:t>
      </w:r>
      <w:commentRangeEnd w:id="166"/>
      <w:r w:rsidR="004B1467">
        <w:rPr>
          <w:rStyle w:val="CommentReference"/>
        </w:rPr>
        <w:commentReference w:id="166"/>
      </w:r>
      <w:r>
        <w:rPr>
          <w:bCs/>
        </w:rPr>
        <w:t>.</w:t>
      </w:r>
      <w:r w:rsidR="00A23F57">
        <w:rPr>
          <w:bCs/>
        </w:rPr>
        <w:t xml:space="preserve">  We would like to thank the other members of the Bridges laboratory, Thurl Harris (University of Virginia) and Edwards Park (UTHSC) for insights on this work.</w:t>
      </w:r>
    </w:p>
    <w:p w14:paraId="407418F5" w14:textId="5704105D" w:rsidR="000A4359" w:rsidRPr="000A4359" w:rsidRDefault="000A4359" w:rsidP="000A4359"/>
    <w:p w14:paraId="26AF950D" w14:textId="7499531C" w:rsidR="00E21658" w:rsidRPr="00E21658" w:rsidRDefault="00FA2417" w:rsidP="00E21658">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E21658" w:rsidRPr="00E21658">
        <w:rPr>
          <w:rFonts w:ascii="Calibri" w:eastAsia="Times New Roman" w:hAnsi="Calibri" w:cs="Times New Roman"/>
          <w:noProof/>
        </w:rPr>
        <w:t xml:space="preserve">1. </w:t>
      </w:r>
      <w:r w:rsidR="00E21658" w:rsidRPr="00E21658">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38F5CF97"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 </w:t>
      </w:r>
      <w:r w:rsidRPr="00E21658">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4929B2B7"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 </w:t>
      </w:r>
      <w:r w:rsidRPr="00E21658">
        <w:rPr>
          <w:rFonts w:ascii="Calibri" w:eastAsia="Times New Roman" w:hAnsi="Calibri" w:cs="Times New Roman"/>
          <w:noProof/>
        </w:rPr>
        <w:tab/>
        <w:t xml:space="preserve">Hsiao C, Ph D, Cherry DK, Beatty PC, Ph D, Rechtsteiner EA, Care H. National Ambulatory </w:t>
      </w:r>
      <w:r w:rsidRPr="00E21658">
        <w:rPr>
          <w:rFonts w:ascii="Calibri" w:eastAsia="Times New Roman" w:hAnsi="Calibri" w:cs="Times New Roman"/>
          <w:noProof/>
        </w:rPr>
        <w:lastRenderedPageBreak/>
        <w:t xml:space="preserve">Medical Care Survey : 2007 Summary. 2010; </w:t>
      </w:r>
    </w:p>
    <w:p w14:paraId="5FB9EEA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 </w:t>
      </w:r>
      <w:r w:rsidRPr="00E21658">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7B060E4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 </w:t>
      </w:r>
      <w:r w:rsidRPr="00E21658">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325FADAA"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6. </w:t>
      </w:r>
      <w:r w:rsidRPr="00E21658">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1B9618D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7. </w:t>
      </w:r>
      <w:r w:rsidRPr="00E21658">
        <w:rPr>
          <w:rFonts w:ascii="Calibri" w:eastAsia="Times New Roman" w:hAnsi="Calibri" w:cs="Times New Roman"/>
          <w:noProof/>
        </w:rPr>
        <w:tab/>
        <w:t xml:space="preserve">Karam JH, Grodsky GM, Ph D, Forsham PH. Excessive Insulin Response to Glucose in Obese Subjects as Measured by Immunochemical Assay. </w:t>
      </w:r>
    </w:p>
    <w:p w14:paraId="6842DD6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8. </w:t>
      </w:r>
      <w:r w:rsidRPr="00E21658">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83452D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9. </w:t>
      </w:r>
      <w:r w:rsidRPr="00E21658">
        <w:rPr>
          <w:rFonts w:ascii="Calibri" w:eastAsia="Times New Roman" w:hAnsi="Calibri" w:cs="Times New Roman"/>
          <w:noProof/>
        </w:rPr>
        <w:tab/>
        <w:t xml:space="preserve">Steffensen C, Pereira AM, Dekkers OM. Prevalence of hypercortisolism in type 2 diabetes patients : a systematic review and. 2016; </w:t>
      </w:r>
    </w:p>
    <w:p w14:paraId="3A5BED0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10. </w:t>
      </w:r>
      <w:r w:rsidRPr="00E21658">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73A22D3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11. </w:t>
      </w:r>
      <w:r w:rsidRPr="00E21658">
        <w:rPr>
          <w:rFonts w:ascii="Calibri" w:eastAsia="Times New Roman" w:hAnsi="Calibri" w:cs="Times New Roman"/>
          <w:noProof/>
        </w:rPr>
        <w:tab/>
        <w:t xml:space="preserve">Youssef WI, Mccullough AJ. Steatohepatitis in obese individuals. 2002;16:733–47. </w:t>
      </w:r>
    </w:p>
    <w:p w14:paraId="2FAC9B5A"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12. </w:t>
      </w:r>
      <w:r w:rsidRPr="00E21658">
        <w:rPr>
          <w:rFonts w:ascii="Calibri" w:eastAsia="Times New Roman" w:hAnsi="Calibri" w:cs="Times New Roman"/>
          <w:noProof/>
        </w:rPr>
        <w:tab/>
        <w:t xml:space="preserve">Pivonello R, Martino MC De, Leo M De, Lombardi G, Colao A. Cushing’s Syndrome. 2008;37:135–49. </w:t>
      </w:r>
    </w:p>
    <w:p w14:paraId="0BD08A90"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13. </w:t>
      </w:r>
      <w:r w:rsidRPr="00E21658">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5A6078F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14. </w:t>
      </w:r>
      <w:r w:rsidRPr="00E21658">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420EC1C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15. </w:t>
      </w:r>
      <w:r w:rsidRPr="00E21658">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4B2DB648"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16. </w:t>
      </w:r>
      <w:r w:rsidRPr="00E21658">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33B6B5B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17. </w:t>
      </w:r>
      <w:r w:rsidRPr="00E21658">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0365BA86"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18. </w:t>
      </w:r>
      <w:r w:rsidRPr="00E21658">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70B14B04"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19. </w:t>
      </w:r>
      <w:r w:rsidRPr="00E21658">
        <w:rPr>
          <w:rFonts w:ascii="Calibri" w:eastAsia="Times New Roman" w:hAnsi="Calibri" w:cs="Times New Roman"/>
          <w:noProof/>
        </w:rPr>
        <w:tab/>
        <w:t xml:space="preserve">Schakman O, Kalista S, Barbé C, Loumaye A, Thissen JP. Glucocorticoid-induced skeletal muscle atrophy </w:t>
      </w:r>
      <w:r w:rsidRPr="00E21658">
        <w:rPr>
          <w:rFonts w:ascii="Oriya Sangam MN" w:eastAsia="Oriya Sangam MN" w:hAnsi="Oriya Sangam MN" w:cs="Oriya Sangam MN"/>
          <w:noProof/>
        </w:rPr>
        <w:t>ଝ</w:t>
      </w:r>
      <w:r w:rsidRPr="00E21658">
        <w:rPr>
          <w:rFonts w:ascii="Calibri" w:eastAsia="Times New Roman" w:hAnsi="Calibri" w:cs="Times New Roman"/>
          <w:noProof/>
        </w:rPr>
        <w:t>. Int J Biochem Cell Biol [Internet]. Elsevier Ltd; 2013;45:2163–72. Available from: http://dx.doi.org/10.1016/j.biocel.2013.05.036</w:t>
      </w:r>
    </w:p>
    <w:p w14:paraId="5C97DC5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20. </w:t>
      </w:r>
      <w:r w:rsidRPr="00E21658">
        <w:rPr>
          <w:rFonts w:ascii="Calibri" w:eastAsia="Times New Roman" w:hAnsi="Calibri" w:cs="Times New Roman"/>
          <w:noProof/>
        </w:rPr>
        <w:tab/>
        <w:t xml:space="preserve">Abad V, Chrousos GP, Reynolds JC, Nieman LK, Hill SC, Weinstein RS, Leong GM. </w:t>
      </w:r>
      <w:r w:rsidRPr="00E21658">
        <w:rPr>
          <w:rFonts w:ascii="Calibri" w:eastAsia="Times New Roman" w:hAnsi="Calibri" w:cs="Times New Roman"/>
          <w:noProof/>
        </w:rPr>
        <w:lastRenderedPageBreak/>
        <w:t xml:space="preserve">Glucocorticoid Excess During Adolescence Leads to a Major Persistent Deficit in Bone Mass and an Increase in Central Body Fat. 2001;16:1879–85. </w:t>
      </w:r>
    </w:p>
    <w:p w14:paraId="48EC505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21. </w:t>
      </w:r>
      <w:r w:rsidRPr="00E21658">
        <w:rPr>
          <w:rFonts w:ascii="Calibri" w:eastAsia="Times New Roman" w:hAnsi="Calibri" w:cs="Times New Roman"/>
          <w:noProof/>
        </w:rPr>
        <w:tab/>
        <w:t xml:space="preserve">Geer EB, Shen W, Gallagher D, Punyanitya M, Looker HC, Post KD, Freda PU. Female Patients with Cushing ’ s Disease. 2011;73:469–75. </w:t>
      </w:r>
    </w:p>
    <w:p w14:paraId="2CD3F56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22. </w:t>
      </w:r>
      <w:r w:rsidRPr="00E21658">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5A7B10D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23. </w:t>
      </w:r>
      <w:r w:rsidRPr="00E21658">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3E4100E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24. </w:t>
      </w:r>
      <w:r w:rsidRPr="00E21658">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5ECDB6F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25. </w:t>
      </w:r>
      <w:r w:rsidRPr="00E21658">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14F07839"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26. </w:t>
      </w:r>
      <w:r w:rsidRPr="00E21658">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6840E46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27. </w:t>
      </w:r>
      <w:r w:rsidRPr="00E21658">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1C87C22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28. </w:t>
      </w:r>
      <w:r w:rsidRPr="00E21658">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1F31020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29. </w:t>
      </w:r>
      <w:r w:rsidRPr="00E21658">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3626A90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30. </w:t>
      </w:r>
      <w:r w:rsidRPr="00E21658">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042FEC2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31. </w:t>
      </w:r>
      <w:r w:rsidRPr="00E21658">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3D846AB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32. </w:t>
      </w:r>
      <w:r w:rsidRPr="00E21658">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1BFFC02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33. </w:t>
      </w:r>
      <w:r w:rsidRPr="00E21658">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3D7C97A7"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34. </w:t>
      </w:r>
      <w:r w:rsidRPr="00E21658">
        <w:rPr>
          <w:rFonts w:ascii="Calibri" w:eastAsia="Times New Roman" w:hAnsi="Calibri" w:cs="Times New Roman"/>
          <w:noProof/>
        </w:rPr>
        <w:tab/>
        <w:t>Wang Y, Yan C, Liu L, Wang W, Du H, Fan W, Lutfy K, Jiang M, Friedman TC, Liu Y. 11 -</w:t>
      </w:r>
      <w:r w:rsidRPr="00E21658">
        <w:rPr>
          <w:rFonts w:ascii="Calibri" w:eastAsia="Times New Roman" w:hAnsi="Calibri" w:cs="Times New Roman"/>
          <w:noProof/>
        </w:rPr>
        <w:lastRenderedPageBreak/>
        <w:t>Hydroxysteroid dehydrogenase type 1 shRNA ameliorates glucocorticoid-induced insulin resistance and lipolysis in mouse abdominal adipose tissue. AJP Endocrinol Metab [Internet]. 2014;308:E84–95. Available from: http://ajpendo.physiology.org/cgi/doi/10.1152/ajpendo.00205.2014</w:t>
      </w:r>
    </w:p>
    <w:p w14:paraId="6FD2AD9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35. </w:t>
      </w:r>
      <w:r w:rsidRPr="00E21658">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005993F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36. </w:t>
      </w:r>
      <w:r w:rsidRPr="00E21658">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078DD049"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37. </w:t>
      </w:r>
      <w:r w:rsidRPr="00E21658">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667C2F6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38. </w:t>
      </w:r>
      <w:r w:rsidRPr="00E21658">
        <w:rPr>
          <w:rFonts w:ascii="Calibri" w:eastAsia="Times New Roman" w:hAnsi="Calibri" w:cs="Times New Roman"/>
          <w:noProof/>
        </w:rPr>
        <w:tab/>
        <w:t xml:space="preserve">Chiang S-H, Chang L SA. TC10 and Insulin </w:t>
      </w:r>
      <w:r w:rsidRPr="00E21658">
        <w:rPr>
          <w:rFonts w:ascii="Calibri" w:eastAsia="Calibri" w:hAnsi="Calibri" w:cs="Calibri"/>
          <w:noProof/>
        </w:rPr>
        <w:t>‐</w:t>
      </w:r>
      <w:r w:rsidRPr="00E21658">
        <w:rPr>
          <w:rFonts w:ascii="Calibri" w:eastAsia="Times New Roman" w:hAnsi="Calibri" w:cs="Times New Roman"/>
          <w:noProof/>
        </w:rPr>
        <w:t xml:space="preserve"> Stimulated Glucose Transport. 2002;406:1257–62. </w:t>
      </w:r>
    </w:p>
    <w:p w14:paraId="4534459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39. </w:t>
      </w:r>
      <w:r w:rsidRPr="00E21658">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015DF2E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40. </w:t>
      </w:r>
      <w:r w:rsidRPr="00E21658">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0C3CE509"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41. </w:t>
      </w:r>
      <w:r w:rsidRPr="00E21658">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72B3E9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42. </w:t>
      </w:r>
      <w:r w:rsidRPr="00E21658">
        <w:rPr>
          <w:rFonts w:ascii="Calibri" w:eastAsia="Times New Roman" w:hAnsi="Calibri" w:cs="Times New Roman"/>
          <w:noProof/>
        </w:rPr>
        <w:tab/>
        <w:t xml:space="preserve">Kramer C, Zinman B, Retnakaran R. Are Metabolically Healthy Overweight and Obesity Benign Conditions ? Ann Intern Med. 2013;159:758–69. </w:t>
      </w:r>
    </w:p>
    <w:p w14:paraId="710C442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43. </w:t>
      </w:r>
      <w:r w:rsidRPr="00E21658">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7E9ED3C8"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44. </w:t>
      </w:r>
      <w:r w:rsidRPr="00E21658">
        <w:rPr>
          <w:rFonts w:ascii="Calibri" w:eastAsia="Times New Roman" w:hAnsi="Calibri" w:cs="Times New Roman"/>
          <w:noProof/>
        </w:rPr>
        <w:tab/>
        <w:t xml:space="preserve">Roper N, Bilous R, Kelly W, Unwin N, Connolly V. Cause-Specific Mortality in a Population. Diabetes Care. 2002;25. </w:t>
      </w:r>
    </w:p>
    <w:p w14:paraId="2E2F98D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45. </w:t>
      </w:r>
      <w:r w:rsidRPr="00E21658">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730658D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46. </w:t>
      </w:r>
      <w:r w:rsidRPr="00E21658">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558A7AC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47. </w:t>
      </w:r>
      <w:r w:rsidRPr="00E21658">
        <w:rPr>
          <w:rFonts w:ascii="Calibri" w:eastAsia="Times New Roman" w:hAnsi="Calibri" w:cs="Times New Roman"/>
          <w:noProof/>
        </w:rPr>
        <w:tab/>
        <w:t xml:space="preserve">Yan Y, Hou D, Zhao X, Liu J. Childhood Adiposity and Nonalcoholic Fatty Liver Disease in Adulthood. 2017;139. </w:t>
      </w:r>
    </w:p>
    <w:p w14:paraId="3C9431BA"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48. </w:t>
      </w:r>
      <w:r w:rsidRPr="00E21658">
        <w:rPr>
          <w:rFonts w:ascii="Calibri" w:eastAsia="Times New Roman" w:hAnsi="Calibri" w:cs="Times New Roman"/>
          <w:noProof/>
        </w:rPr>
        <w:tab/>
        <w:t xml:space="preserve">Stender S, Kozlitina J, Nordestgaard BG, Tybjærg-hansen A, Hobbs HH, Cohen JC. Adiposity amplifies the genetic risk of fatty liver disease conferred by multiple loci. Nat </w:t>
      </w:r>
      <w:r w:rsidRPr="00E21658">
        <w:rPr>
          <w:rFonts w:ascii="Calibri" w:eastAsia="Times New Roman" w:hAnsi="Calibri" w:cs="Times New Roman"/>
          <w:noProof/>
        </w:rPr>
        <w:lastRenderedPageBreak/>
        <w:t>Publ Gr [Internet]. Nature Publishing Group; 2017;49:842–7. Available from: http://dx.doi.org/10.1038/ng.3855</w:t>
      </w:r>
    </w:p>
    <w:p w14:paraId="1C4490D4"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49. </w:t>
      </w:r>
      <w:r w:rsidRPr="00E21658">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D74C9D8"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50. </w:t>
      </w:r>
      <w:r w:rsidRPr="00E21658">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5470191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51. </w:t>
      </w:r>
      <w:r w:rsidRPr="00E21658">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6B806FD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52. </w:t>
      </w:r>
      <w:r w:rsidRPr="00E21658">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394F39B6"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53. </w:t>
      </w:r>
      <w:r w:rsidRPr="00E21658">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2F65D45C"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54. </w:t>
      </w:r>
      <w:r w:rsidRPr="00E21658">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70908DB5" w14:textId="77777777" w:rsidR="00E21658" w:rsidRPr="00E21658" w:rsidRDefault="00E21658" w:rsidP="00E21658">
      <w:pPr>
        <w:widowControl w:val="0"/>
        <w:autoSpaceDE w:val="0"/>
        <w:autoSpaceDN w:val="0"/>
        <w:adjustRightInd w:val="0"/>
        <w:ind w:left="640" w:hanging="640"/>
        <w:rPr>
          <w:rFonts w:ascii="Calibri" w:hAnsi="Calibri"/>
          <w:noProof/>
        </w:rPr>
      </w:pPr>
      <w:r w:rsidRPr="00E21658">
        <w:rPr>
          <w:rFonts w:ascii="Calibri" w:eastAsia="Times New Roman" w:hAnsi="Calibri" w:cs="Times New Roman"/>
          <w:noProof/>
        </w:rPr>
        <w:t xml:space="preserve">55. </w:t>
      </w:r>
      <w:r w:rsidRPr="00E21658">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4744A6C8" w:rsidR="000A4359" w:rsidRPr="000A4359" w:rsidRDefault="00FA2417" w:rsidP="00E21658">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32"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0324EB"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r w:rsidR="00CC09E6">
          <w:rPr>
            <w:rStyle w:val="Hyperlink"/>
            <w:rFonts w:ascii="Helvetica" w:eastAsia="Times New Roman" w:hAnsi="Helvetica"/>
            <w:color w:val="202020"/>
          </w:rPr>
          <w:t>Aart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r>
        <w:t>bev hong faaty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52"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53"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54"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55"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Gabriele Schoiswohl, Maja Stefanovic-Racic, Marie N. Menke, Rachel C. Wills, Beth A. Surlow, Mahesh K. Basantani, Mitch T. Sitnick, Lingzhi Cai, Cynthia F. Yazbeck, Donna B. Stolz, Thomas Pulinilkunnil, Robert M. O'Doherty, Erin E. Kershaw</w:t>
      </w:r>
    </w:p>
    <w:p w14:paraId="1BD12E96" w14:textId="42F4EC96" w:rsidR="00DB12BD" w:rsidRDefault="00DB12BD">
      <w:pPr>
        <w:pStyle w:val="CommentText"/>
      </w:pPr>
    </w:p>
  </w:comment>
  <w:comment w:id="57"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58"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59"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60"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62" w:author="Dave Bridges" w:date="2017-07-31T17:31:00Z" w:initials="DB">
    <w:p w14:paraId="769061EE" w14:textId="4353F324" w:rsidR="00CC09E6" w:rsidRDefault="00CC09E6">
      <w:pPr>
        <w:pStyle w:val="CommentText"/>
      </w:pPr>
      <w:r>
        <w:rPr>
          <w:rStyle w:val="CommentReference"/>
        </w:rPr>
        <w:annotationRef/>
      </w:r>
      <w:r>
        <w:t>Ask Nathan what he would like to do here, write a section or  reference a paper.</w:t>
      </w:r>
    </w:p>
  </w:comment>
  <w:comment w:id="64"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78"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82"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83" w:author="Microsoft Office User" w:date="2017-08-07T13:40:00Z" w:initials="Office">
    <w:p w14:paraId="74D7E7C9" w14:textId="614361E1" w:rsidR="007D5D9F" w:rsidRDefault="007D5D9F">
      <w:pPr>
        <w:pStyle w:val="CommentText"/>
      </w:pPr>
      <w:r>
        <w:rPr>
          <w:rStyle w:val="CommentReference"/>
        </w:rPr>
        <w:annotationRef/>
      </w:r>
      <w:r>
        <w:t>We will not be including the trichrome, I am unsure as to whether we need to include the HandE stains or not.</w:t>
      </w:r>
    </w:p>
  </w:comment>
  <w:comment w:id="89"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91"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92"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93"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94" w:author="Microsoft Office User" w:date="2017-02-02T16:22:00Z" w:initials="Office">
    <w:p w14:paraId="5A197858" w14:textId="5D871020" w:rsidR="00CC09E6" w:rsidRDefault="00CC09E6">
      <w:pPr>
        <w:pStyle w:val="CommentText"/>
      </w:pPr>
      <w:r>
        <w:rPr>
          <w:rStyle w:val="CommentReference"/>
        </w:rPr>
        <w:annotationRef/>
      </w:r>
      <w:r>
        <w:t>Taken partially from hatfield paper</w:t>
      </w:r>
    </w:p>
  </w:comment>
  <w:comment w:id="95"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96"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105"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106"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103"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17"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18"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19" w:author="Microsoft Office User" w:date="2017-07-17T17:01:00Z" w:initials="Office">
    <w:p w14:paraId="4C37C0D4" w14:textId="1E5C5B42" w:rsidR="00CC09E6" w:rsidRDefault="00CC09E6">
      <w:pPr>
        <w:pStyle w:val="CommentText"/>
      </w:pPr>
      <w:r>
        <w:rPr>
          <w:rStyle w:val="CommentReference"/>
        </w:rPr>
        <w:annotationRef/>
      </w:r>
      <w:r>
        <w:t xml:space="preserve">There  are no stats associated with this script. </w:t>
      </w:r>
    </w:p>
  </w:comment>
  <w:comment w:id="120" w:author="Microsoft Office User" w:date="2017-07-17T16:59:00Z" w:initials="Office">
    <w:p w14:paraId="7B578398" w14:textId="67231E1B" w:rsidR="00CC09E6" w:rsidRDefault="00CC09E6">
      <w:pPr>
        <w:pStyle w:val="CommentText"/>
      </w:pPr>
      <w:r>
        <w:rPr>
          <w:rStyle w:val="CommentReference"/>
        </w:rPr>
        <w:annotationRef/>
      </w:r>
      <w:r>
        <w:t>pval</w:t>
      </w:r>
    </w:p>
  </w:comment>
  <w:comment w:id="121" w:author="Microsoft Office User" w:date="2017-07-17T16:59:00Z" w:initials="Office">
    <w:p w14:paraId="7598685D" w14:textId="4A736CF7" w:rsidR="00CC09E6" w:rsidRDefault="00CC09E6">
      <w:pPr>
        <w:pStyle w:val="CommentText"/>
      </w:pPr>
      <w:r>
        <w:rPr>
          <w:rStyle w:val="CommentReference"/>
        </w:rPr>
        <w:annotationRef/>
      </w:r>
      <w:r>
        <w:t>pval</w:t>
      </w:r>
    </w:p>
  </w:comment>
  <w:comment w:id="122" w:author="Dave Bridges" w:date="2017-07-31T18:05:00Z" w:initials="DB">
    <w:p w14:paraId="716627B6" w14:textId="7F3832E1" w:rsidR="00CC09E6" w:rsidRDefault="00CC09E6">
      <w:pPr>
        <w:pStyle w:val="CommentText"/>
      </w:pPr>
      <w:r>
        <w:rPr>
          <w:rStyle w:val="CommentReference"/>
        </w:rPr>
        <w:annotationRef/>
      </w:r>
      <w:r>
        <w:t>Unclear if you are talking about MRI or tissue weights here.</w:t>
      </w:r>
    </w:p>
  </w:comment>
  <w:comment w:id="123"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24" w:author="Microsoft Office User" w:date="2017-07-17T16:59:00Z" w:initials="Office">
    <w:p w14:paraId="78AA55A0" w14:textId="20EDC575" w:rsidR="00CC09E6" w:rsidRDefault="00CC09E6">
      <w:pPr>
        <w:pStyle w:val="CommentText"/>
      </w:pPr>
      <w:r>
        <w:rPr>
          <w:rStyle w:val="CommentReference"/>
        </w:rPr>
        <w:annotationRef/>
      </w:r>
      <w:r>
        <w:t>Pval—need a script for this one</w:t>
      </w:r>
    </w:p>
  </w:comment>
  <w:comment w:id="125" w:author="Microsoft Office User" w:date="2017-07-18T12:12:00Z" w:initials="Office">
    <w:p w14:paraId="3997967C" w14:textId="77D9BC06" w:rsidR="00CC09E6" w:rsidRDefault="00CC09E6">
      <w:pPr>
        <w:pStyle w:val="CommentText"/>
      </w:pPr>
      <w:r>
        <w:rPr>
          <w:rStyle w:val="CommentReference"/>
        </w:rPr>
        <w:annotationRef/>
      </w:r>
      <w:r>
        <w:t>I am going back and forth about whether to include information here on Lipe, Lpl, and Pde3b/adrb3 since they are either not changing at all in any case or are inconsistent across different mouse/cell experiments. I am leaning towards putting them in supplementary data and then mentioning in the discussion. What do you think?</w:t>
      </w:r>
    </w:p>
  </w:comment>
  <w:comment w:id="126" w:author="Microsoft Office User" w:date="2017-07-13T16:00:00Z" w:initials="Office">
    <w:p w14:paraId="5C99A5C3" w14:textId="78CB0225" w:rsidR="00CC09E6" w:rsidRDefault="00CC09E6">
      <w:pPr>
        <w:pStyle w:val="CommentText"/>
      </w:pPr>
      <w:r>
        <w:rPr>
          <w:rStyle w:val="CommentReference"/>
        </w:rPr>
        <w:annotationRef/>
      </w:r>
      <w:r>
        <w:t>cite</w:t>
      </w:r>
    </w:p>
  </w:comment>
  <w:comment w:id="128" w:author="Microsoft Office User" w:date="2017-07-18T11:18:00Z" w:initials="Office">
    <w:p w14:paraId="67984F1A" w14:textId="6823C125" w:rsidR="00CC09E6" w:rsidRDefault="00CC09E6">
      <w:pPr>
        <w:pStyle w:val="CommentText"/>
      </w:pPr>
      <w:r>
        <w:rPr>
          <w:rStyle w:val="CommentReference"/>
        </w:rPr>
        <w:annotationRef/>
      </w:r>
      <w:r>
        <w:t>insert pval</w:t>
      </w:r>
    </w:p>
  </w:comment>
  <w:comment w:id="129" w:author="Microsoft Office User" w:date="2017-07-18T11:18:00Z" w:initials="Office">
    <w:p w14:paraId="23749535" w14:textId="3EB59AA2" w:rsidR="00CC09E6" w:rsidRDefault="00CC09E6">
      <w:pPr>
        <w:pStyle w:val="CommentText"/>
      </w:pPr>
      <w:r>
        <w:rPr>
          <w:rStyle w:val="CommentReference"/>
        </w:rPr>
        <w:annotationRef/>
      </w:r>
      <w:r>
        <w:t>insert pval</w:t>
      </w:r>
    </w:p>
  </w:comment>
  <w:comment w:id="131" w:author="Microsoft Office User" w:date="2017-07-18T11:19:00Z" w:initials="Office">
    <w:p w14:paraId="59EA88D0" w14:textId="3D9AF51A" w:rsidR="00CC09E6" w:rsidRDefault="00CC09E6">
      <w:pPr>
        <w:pStyle w:val="CommentText"/>
      </w:pPr>
      <w:r>
        <w:rPr>
          <w:rStyle w:val="CommentReference"/>
        </w:rPr>
        <w:annotationRef/>
      </w:r>
      <w:r>
        <w:t>insert pval</w:t>
      </w:r>
    </w:p>
  </w:comment>
  <w:comment w:id="132"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33" w:author="Microsoft Office User" w:date="2017-07-18T12:06:00Z" w:initials="Office">
    <w:p w14:paraId="529555AD" w14:textId="00A59B21" w:rsidR="00CC09E6" w:rsidRDefault="00CC09E6">
      <w:pPr>
        <w:pStyle w:val="CommentText"/>
      </w:pPr>
      <w:r>
        <w:rPr>
          <w:rStyle w:val="CommentReference"/>
        </w:rPr>
        <w:annotationRef/>
      </w:r>
      <w:r>
        <w:t>Insert pval</w:t>
      </w:r>
    </w:p>
  </w:comment>
  <w:comment w:id="134" w:author="Dave Bridges" w:date="2017-07-31T18:08:00Z" w:initials="DB">
    <w:p w14:paraId="34E9432C" w14:textId="0E4C6A1E" w:rsidR="00CC09E6" w:rsidRDefault="00CC09E6">
      <w:pPr>
        <w:pStyle w:val="CommentText"/>
      </w:pPr>
      <w:r>
        <w:rPr>
          <w:rStyle w:val="CommentReference"/>
        </w:rPr>
        <w:annotationRef/>
      </w:r>
      <w:r>
        <w:t>add</w:t>
      </w:r>
    </w:p>
  </w:comment>
  <w:comment w:id="135" w:author="Microsoft Office User" w:date="2017-07-18T12:06:00Z" w:initials="Office">
    <w:p w14:paraId="7298D3C5" w14:textId="02DF7B99" w:rsidR="00CC09E6" w:rsidRDefault="00CC09E6">
      <w:pPr>
        <w:pStyle w:val="CommentText"/>
      </w:pPr>
      <w:r>
        <w:rPr>
          <w:rStyle w:val="CommentReference"/>
        </w:rPr>
        <w:annotationRef/>
      </w:r>
      <w:r>
        <w:t>Insert pval</w:t>
      </w:r>
    </w:p>
  </w:comment>
  <w:comment w:id="136" w:author="Dave Bridges" w:date="2017-07-31T18:08:00Z" w:initials="DB">
    <w:p w14:paraId="4E3089B1" w14:textId="405C6DB3" w:rsidR="00CC09E6" w:rsidRDefault="00CC09E6">
      <w:pPr>
        <w:pStyle w:val="CommentText"/>
      </w:pPr>
      <w:r>
        <w:rPr>
          <w:rStyle w:val="CommentReference"/>
        </w:rPr>
        <w:annotationRef/>
      </w:r>
      <w:r>
        <w:t>add</w:t>
      </w:r>
    </w:p>
  </w:comment>
  <w:comment w:id="137" w:author="Dave Bridges" w:date="2017-07-31T18:08:00Z" w:initials="DB">
    <w:p w14:paraId="522A148C" w14:textId="77777777" w:rsidR="00CC09E6" w:rsidRDefault="00CC09E6" w:rsidP="00001E0D">
      <w:pPr>
        <w:pStyle w:val="CommentText"/>
      </w:pPr>
      <w:r>
        <w:rPr>
          <w:rStyle w:val="CommentReference"/>
        </w:rPr>
        <w:annotationRef/>
      </w:r>
      <w:r>
        <w:t>add</w:t>
      </w:r>
    </w:p>
  </w:comment>
  <w:comment w:id="138" w:author="Dave Bridges" w:date="2017-07-31T18:08:00Z" w:initials="DB">
    <w:p w14:paraId="5FA44D41" w14:textId="77777777" w:rsidR="00CC09E6" w:rsidRDefault="00CC09E6" w:rsidP="00001E0D">
      <w:pPr>
        <w:pStyle w:val="CommentText"/>
      </w:pPr>
      <w:r>
        <w:rPr>
          <w:rStyle w:val="CommentReference"/>
        </w:rPr>
        <w:annotationRef/>
      </w:r>
      <w:r>
        <w:t>add</w:t>
      </w:r>
    </w:p>
  </w:comment>
  <w:comment w:id="139" w:author="Dave Bridges" w:date="2017-07-31T18:08:00Z" w:initials="DB">
    <w:p w14:paraId="07C1824F" w14:textId="77777777" w:rsidR="00CC09E6" w:rsidRDefault="00CC09E6" w:rsidP="00001E0D">
      <w:pPr>
        <w:pStyle w:val="CommentText"/>
      </w:pPr>
      <w:r>
        <w:rPr>
          <w:rStyle w:val="CommentReference"/>
        </w:rPr>
        <w:annotationRef/>
      </w:r>
      <w:r>
        <w:t>add</w:t>
      </w:r>
    </w:p>
  </w:comment>
  <w:comment w:id="140" w:author="Dave Bridges" w:date="2017-07-31T18:08:00Z" w:initials="DB">
    <w:p w14:paraId="09A40229" w14:textId="77777777" w:rsidR="00CC09E6" w:rsidRDefault="00CC09E6" w:rsidP="00001E0D">
      <w:pPr>
        <w:pStyle w:val="CommentText"/>
      </w:pPr>
      <w:r>
        <w:rPr>
          <w:rStyle w:val="CommentReference"/>
        </w:rPr>
        <w:annotationRef/>
      </w:r>
      <w:r>
        <w:t>add</w:t>
      </w:r>
    </w:p>
  </w:comment>
  <w:comment w:id="141" w:author="Dave Bridges" w:date="2017-07-31T18:08:00Z" w:initials="DB">
    <w:p w14:paraId="6289E385" w14:textId="77777777" w:rsidR="00CC09E6" w:rsidRDefault="00CC09E6" w:rsidP="00001E0D">
      <w:pPr>
        <w:pStyle w:val="CommentText"/>
      </w:pPr>
      <w:r>
        <w:rPr>
          <w:rStyle w:val="CommentReference"/>
        </w:rPr>
        <w:annotationRef/>
      </w:r>
      <w:r>
        <w:t>add</w:t>
      </w:r>
    </w:p>
  </w:comment>
  <w:comment w:id="142" w:author="Microsoft Office User" w:date="2017-07-18T11:58:00Z" w:initials="Office">
    <w:p w14:paraId="61510CD3" w14:textId="4888DB36" w:rsidR="00CC09E6" w:rsidRDefault="00CC09E6">
      <w:pPr>
        <w:pStyle w:val="CommentText"/>
      </w:pPr>
      <w:r>
        <w:rPr>
          <w:rStyle w:val="CommentReference"/>
        </w:rPr>
        <w:annotationRef/>
      </w:r>
      <w:r>
        <w:t>Insert pval</w:t>
      </w:r>
    </w:p>
  </w:comment>
  <w:comment w:id="143" w:author="Dave Bridges" w:date="2017-07-31T18:08:00Z" w:initials="DB">
    <w:p w14:paraId="0BDADE3E" w14:textId="77777777" w:rsidR="00CC09E6" w:rsidRDefault="00CC09E6" w:rsidP="00001E0D">
      <w:pPr>
        <w:pStyle w:val="CommentText"/>
      </w:pPr>
      <w:r>
        <w:rPr>
          <w:rStyle w:val="CommentReference"/>
        </w:rPr>
        <w:annotationRef/>
      </w:r>
      <w:r>
        <w:t>add</w:t>
      </w:r>
    </w:p>
  </w:comment>
  <w:comment w:id="144" w:author="Dave Bridges" w:date="2017-07-31T18:10:00Z" w:initials="DB">
    <w:p w14:paraId="56097170" w14:textId="1A3F902E" w:rsidR="00CC09E6" w:rsidRDefault="00CC09E6">
      <w:pPr>
        <w:pStyle w:val="CommentText"/>
      </w:pPr>
      <w:r>
        <w:rPr>
          <w:rStyle w:val="CommentReference"/>
        </w:rPr>
        <w:annotationRef/>
      </w:r>
      <w:r>
        <w:t>Make sure that in the figure legend for these data you make clear that these were older mice, on dex longer.  I don’t remember when you did the isoproterenol tests, but we need to put that in the figure legend as well.</w:t>
      </w:r>
    </w:p>
  </w:comment>
  <w:comment w:id="145"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47"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46"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48"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49" w:author="Microsoft Office User" w:date="2017-07-26T11:27:00Z" w:initials="Office">
    <w:p w14:paraId="41F6CE06" w14:textId="7A831570" w:rsidR="00CC09E6" w:rsidRDefault="00CC09E6">
      <w:pPr>
        <w:pStyle w:val="CommentText"/>
      </w:pPr>
      <w:r>
        <w:rPr>
          <w:rStyle w:val="CommentReference"/>
        </w:rPr>
        <w:annotationRef/>
      </w:r>
      <w:r>
        <w:t>Add info on lipe/hsl</w:t>
      </w:r>
    </w:p>
  </w:comment>
  <w:comment w:id="150"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51"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155"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56" w:author="Microsoft Office User" w:date="2017-08-08T13:58:00Z" w:initials="Office">
    <w:p w14:paraId="733B8478" w14:textId="634BA4AF" w:rsidR="00182A3A" w:rsidRDefault="00182A3A">
      <w:pPr>
        <w:pStyle w:val="CommentText"/>
      </w:pPr>
      <w:r>
        <w:rPr>
          <w:rStyle w:val="CommentReference"/>
        </w:rPr>
        <w:annotationRef/>
      </w:r>
      <w:r>
        <w:t>I still feel like the gluco</w:t>
      </w:r>
      <w:r w:rsidR="000324EB">
        <w:t>neogenesis</w:t>
      </w:r>
      <w:bookmarkStart w:id="157" w:name="_GoBack"/>
      <w:bookmarkEnd w:id="157"/>
      <w:r>
        <w:t xml:space="preserve"> info does not go here, maybe we just need another sentence in between these to make it flow better and for the readers to better understand why we are mentioning gluconeogenesis somewhat out of the blue.</w:t>
      </w:r>
    </w:p>
  </w:comment>
  <w:comment w:id="159"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160" w:author="Microsoft Office User" w:date="2017-02-13T12:57:00Z" w:initials="Office">
    <w:p w14:paraId="5C1CE508" w14:textId="77777777" w:rsidR="00CC09E6" w:rsidRDefault="00CC09E6" w:rsidP="0015242A">
      <w:pPr>
        <w:pStyle w:val="CommentText"/>
      </w:pPr>
      <w:r>
        <w:rPr>
          <w:rStyle w:val="CommentReference"/>
        </w:rPr>
        <w:annotationRef/>
      </w:r>
      <w:r>
        <w:t>Male wistar rats, ex vivo</w:t>
      </w:r>
    </w:p>
  </w:comment>
  <w:comment w:id="161" w:author="Microsoft Office User" w:date="2017-07-31T12:15:00Z" w:initials="Office">
    <w:p w14:paraId="5B8B5D10" w14:textId="77777777" w:rsidR="00CC09E6" w:rsidRDefault="00CC09E6" w:rsidP="0015242A">
      <w:pPr>
        <w:pStyle w:val="CommentText"/>
      </w:pPr>
      <w:r>
        <w:rPr>
          <w:rStyle w:val="CommentReference"/>
        </w:rPr>
        <w:annotationRef/>
      </w:r>
      <w:r>
        <w:t>This paper shows cAMP decreased with gc treatment which also would refute the increased pde3b</w:t>
      </w:r>
    </w:p>
  </w:comment>
  <w:comment w:id="166"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0C03A0A0" w15:done="0"/>
  <w15:commentEx w15:paraId="4C37C0D4" w15:done="0"/>
  <w15:commentEx w15:paraId="7B578398" w15:done="0"/>
  <w15:commentEx w15:paraId="7598685D" w15:done="0"/>
  <w15:commentEx w15:paraId="716627B6"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733B8478" w15:done="0"/>
  <w15:commentEx w15:paraId="3A6BFEDB" w15:done="0"/>
  <w15:commentEx w15:paraId="5C1CE508"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6A0B"/>
    <w:rsid w:val="00026D10"/>
    <w:rsid w:val="000271B6"/>
    <w:rsid w:val="0003045A"/>
    <w:rsid w:val="0003155D"/>
    <w:rsid w:val="000324EB"/>
    <w:rsid w:val="000340DF"/>
    <w:rsid w:val="00034EA3"/>
    <w:rsid w:val="0003545C"/>
    <w:rsid w:val="00035700"/>
    <w:rsid w:val="00036A86"/>
    <w:rsid w:val="000437E3"/>
    <w:rsid w:val="00051E91"/>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101A0C"/>
    <w:rsid w:val="00102275"/>
    <w:rsid w:val="00102AE6"/>
    <w:rsid w:val="001052AC"/>
    <w:rsid w:val="00105966"/>
    <w:rsid w:val="00105F63"/>
    <w:rsid w:val="00107E28"/>
    <w:rsid w:val="00110139"/>
    <w:rsid w:val="0011098A"/>
    <w:rsid w:val="00110C67"/>
    <w:rsid w:val="0011365C"/>
    <w:rsid w:val="00114910"/>
    <w:rsid w:val="00123D9D"/>
    <w:rsid w:val="00127384"/>
    <w:rsid w:val="00131C99"/>
    <w:rsid w:val="00134768"/>
    <w:rsid w:val="0013727A"/>
    <w:rsid w:val="00137675"/>
    <w:rsid w:val="00140CE6"/>
    <w:rsid w:val="00142908"/>
    <w:rsid w:val="00146EBC"/>
    <w:rsid w:val="0015025A"/>
    <w:rsid w:val="00152294"/>
    <w:rsid w:val="0015242A"/>
    <w:rsid w:val="00155148"/>
    <w:rsid w:val="00161082"/>
    <w:rsid w:val="00166860"/>
    <w:rsid w:val="001669B6"/>
    <w:rsid w:val="00171F73"/>
    <w:rsid w:val="00173BF2"/>
    <w:rsid w:val="0017598A"/>
    <w:rsid w:val="001825A7"/>
    <w:rsid w:val="0018286A"/>
    <w:rsid w:val="00182A3A"/>
    <w:rsid w:val="00182E66"/>
    <w:rsid w:val="00183312"/>
    <w:rsid w:val="00191472"/>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1693"/>
    <w:rsid w:val="00403442"/>
    <w:rsid w:val="00404C1E"/>
    <w:rsid w:val="004205E6"/>
    <w:rsid w:val="00420BAA"/>
    <w:rsid w:val="004255D4"/>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47A8"/>
    <w:rsid w:val="00567887"/>
    <w:rsid w:val="00575375"/>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636B"/>
    <w:rsid w:val="005C652C"/>
    <w:rsid w:val="005C79C2"/>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315D"/>
    <w:rsid w:val="00624A74"/>
    <w:rsid w:val="00627CF3"/>
    <w:rsid w:val="0063077D"/>
    <w:rsid w:val="006322C2"/>
    <w:rsid w:val="00632E3F"/>
    <w:rsid w:val="00633BB2"/>
    <w:rsid w:val="00637B3B"/>
    <w:rsid w:val="0064019A"/>
    <w:rsid w:val="00642BDD"/>
    <w:rsid w:val="0064405D"/>
    <w:rsid w:val="006526D2"/>
    <w:rsid w:val="00656421"/>
    <w:rsid w:val="00663180"/>
    <w:rsid w:val="00672D5C"/>
    <w:rsid w:val="006823E6"/>
    <w:rsid w:val="006860F0"/>
    <w:rsid w:val="00687875"/>
    <w:rsid w:val="00695B7E"/>
    <w:rsid w:val="00697E30"/>
    <w:rsid w:val="006A09C3"/>
    <w:rsid w:val="006A25B6"/>
    <w:rsid w:val="006A475E"/>
    <w:rsid w:val="006B18E4"/>
    <w:rsid w:val="006B237B"/>
    <w:rsid w:val="006B351B"/>
    <w:rsid w:val="006B4227"/>
    <w:rsid w:val="006C0BFE"/>
    <w:rsid w:val="006C65B9"/>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16F2"/>
    <w:rsid w:val="007C485A"/>
    <w:rsid w:val="007C5B21"/>
    <w:rsid w:val="007C6BD9"/>
    <w:rsid w:val="007D159C"/>
    <w:rsid w:val="007D2A5B"/>
    <w:rsid w:val="007D5D9F"/>
    <w:rsid w:val="007E0200"/>
    <w:rsid w:val="007E4B44"/>
    <w:rsid w:val="007E5C4E"/>
    <w:rsid w:val="007F057A"/>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7765F"/>
    <w:rsid w:val="00A80864"/>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7563E"/>
    <w:rsid w:val="00C8304F"/>
    <w:rsid w:val="00C92899"/>
    <w:rsid w:val="00C94253"/>
    <w:rsid w:val="00C9789E"/>
    <w:rsid w:val="00CA2F8F"/>
    <w:rsid w:val="00CA35CE"/>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2519"/>
    <w:rsid w:val="00D400A2"/>
    <w:rsid w:val="00D40377"/>
    <w:rsid w:val="00D422D1"/>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0B9"/>
    <w:rsid w:val="00D77C59"/>
    <w:rsid w:val="00D817C6"/>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751"/>
    <w:rsid w:val="00FB7AC3"/>
    <w:rsid w:val="00FC00B0"/>
    <w:rsid w:val="00FC0A4A"/>
    <w:rsid w:val="00FC52B8"/>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12</Pages>
  <Words>28713</Words>
  <Characters>163666</Characters>
  <Application>Microsoft Macintosh Word</Application>
  <DocSecurity>0</DocSecurity>
  <Lines>1363</Lines>
  <Paragraphs>383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595</cp:revision>
  <dcterms:created xsi:type="dcterms:W3CDTF">2016-09-21T15:11:00Z</dcterms:created>
  <dcterms:modified xsi:type="dcterms:W3CDTF">2017-08-08T18:01:00Z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