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9A00" w14:textId="378ED8A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3A26390E"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 xml:space="preserve">To identify when patients were </w:t>
      </w:r>
      <w:proofErr w:type="gramStart"/>
      <w:r w:rsidR="004561B8">
        <w:t>treated</w:t>
      </w:r>
      <w:proofErr w:type="gramEnd"/>
      <w:r w:rsidR="004561B8">
        <w:t xml:space="preserve"> we included procedure codes YYY.</w:t>
      </w:r>
      <w:r w:rsidR="004B0142">
        <w:t xml:space="preserve">  We excluded participants if they </w:t>
      </w:r>
      <w:r w:rsidR="0053238C">
        <w:t xml:space="preserve">were </w:t>
      </w:r>
      <w:r w:rsidR="004B0142">
        <w:t>YYY.</w:t>
      </w:r>
      <w:r w:rsidR="00927FED">
        <w:t xml:space="preserve">  Race and ethnicity were self-reported, with groups of &lt;10 aggregated into the other category.</w:t>
      </w:r>
    </w:p>
    <w:p w14:paraId="3EB20B21" w14:textId="33E61202"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 xml:space="preserve">For Cushing’s cases to be included they had to have had the laboratory </w:t>
      </w:r>
      <w:proofErr w:type="gramStart"/>
      <w:r w:rsidR="002F7776">
        <w:t>measure</w:t>
      </w:r>
      <w:r w:rsidR="0053238C">
        <w:t xml:space="preserve"> </w:t>
      </w:r>
      <w:r w:rsidR="002F7776">
        <w:t xml:space="preserve"> </w:t>
      </w:r>
      <w:r w:rsidR="0053238C">
        <w:t>30</w:t>
      </w:r>
      <w:proofErr w:type="gramEnd"/>
      <w:r w:rsidR="0053238C">
        <w:t xml:space="preserve">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or LDL-cholesterol)</w:t>
      </w:r>
      <w:r w:rsidR="004B0142" w:rsidRPr="007A4F25">
        <w:t xml:space="preserve"> and </w:t>
      </w:r>
      <w:commentRangeStart w:id="1"/>
      <w:r w:rsidR="004B0142" w:rsidRPr="007A4F25">
        <w:t xml:space="preserve">repeated all outcome models </w:t>
      </w:r>
      <w:r w:rsidR="004C3E7B">
        <w:t>with that dataset</w:t>
      </w:r>
      <w:r w:rsidR="004B0142" w:rsidRPr="007A4F25">
        <w:t>.</w:t>
      </w:r>
      <w:commentRangeEnd w:id="1"/>
      <w:r w:rsidR="00575431">
        <w:rPr>
          <w:rStyle w:val="CommentReference"/>
        </w:rPr>
        <w:commentReference w:id="1"/>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176E99CD"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For participant demographics, Kruskal-Wallis or Mann-Whitney tests were used as both BMI and participant Age were not normally distributed (p&lt;0.05 via Shapiro-Wilk tests).  Chi-squared tests were used to compare counts across groups.</w:t>
      </w:r>
    </w:p>
    <w:p w14:paraId="5C7ECF21" w14:textId="42D6C440" w:rsidR="006F63F4" w:rsidRDefault="00EB133A" w:rsidP="00EB133A">
      <w:pPr>
        <w:pStyle w:val="Heading1"/>
      </w:pPr>
      <w:r>
        <w:lastRenderedPageBreak/>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r>
        <w:t xml:space="preserve">As shown in Figure 1, we identified YYYY participants with diagnoses of Cushing’s disease.  </w:t>
      </w:r>
      <w:r w:rsidR="00E16C92">
        <w:t xml:space="preserve">This included YYYY adrenal tumors and ZZZ pituitary tumors.  </w:t>
      </w:r>
      <w:r>
        <w:t>Their average age at diagnosis was XXX (+/- XXX).  They</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A41AFC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2"/>
      <w:r w:rsidR="00934570">
        <w:t xml:space="preserve">(284 vs 72) </w:t>
      </w:r>
      <w:commentRangeEnd w:id="2"/>
      <w:r w:rsidR="00934570">
        <w:rPr>
          <w:rStyle w:val="CommentReference"/>
        </w:rPr>
        <w:commentReference w:id="2"/>
      </w:r>
      <w:r w:rsidR="00934570">
        <w:t>and a higher body mass index for patients with Cushing’s disease (both p&lt;0.001).</w:t>
      </w:r>
      <w:r w:rsidR="00B019BA">
        <w:t xml:space="preserve">  </w:t>
      </w:r>
      <w:commentRangeStart w:id="3"/>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1525EE">
        <w:t xml:space="preserve">  Correspondingly</w:t>
      </w:r>
      <w:r w:rsidR="00CD4531">
        <w:t>,</w:t>
      </w:r>
      <w:r w:rsidR="001525EE">
        <w:t xml:space="preserve"> participants with Cushing’s disease were less likely to identify as Asian or Black</w:t>
      </w:r>
      <w:commentRangeEnd w:id="3"/>
      <w:r w:rsidR="00B87243">
        <w:rPr>
          <w:rStyle w:val="CommentReference"/>
        </w:rPr>
        <w:commentReference w:id="3"/>
      </w:r>
      <w:r w:rsidR="001525EE">
        <w:t>.</w:t>
      </w:r>
    </w:p>
    <w:p w14:paraId="4576A7FB" w14:textId="5AFC4264"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t xml:space="preserve">.  </w:t>
      </w:r>
      <w:r w:rsidR="00AD6AAA">
        <w:t xml:space="preserve">To understand the </w:t>
      </w:r>
      <w:r>
        <w:t xml:space="preserve">cross-sectional </w:t>
      </w:r>
      <w:r w:rsidR="00AD6AAA">
        <w:t>relationship between obesity and Cushing’s disease, we</w:t>
      </w:r>
      <w:r w:rsidR="008132DA">
        <w:t xml:space="preserve"> next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w:t>
      </w:r>
      <w:r w:rsidR="00733E55">
        <w:t xml:space="preserve">s expected given our stratification, the four groups differed </w:t>
      </w:r>
      <w:r w:rsidR="00733E55">
        <w:t>in</w:t>
      </w:r>
      <w:r w:rsidR="00733E55">
        <w:t xml:space="preserve"> several characteristics</w:t>
      </w:r>
      <w:r w:rsidR="004E7691">
        <w:t xml:space="preserve">, </w:t>
      </w:r>
      <w:r w:rsidR="00CC3CD9">
        <w:t>which</w:t>
      </w:r>
      <w:r w:rsidR="004E7691">
        <w:t xml:space="preserve"> will be adjusted for below in multivariable models below</w:t>
      </w:r>
      <w:r w:rsidR="00733E55">
        <w:t>.</w:t>
      </w:r>
      <w:r w:rsidR="00CC3CD9">
        <w:t xml:space="preserve">  For example, among participants with a BMI &gt; 30 mg/m</w:t>
      </w:r>
      <w:r w:rsidR="00CC3CD9" w:rsidRPr="00CC3CD9">
        <w:rPr>
          <w:vertAlign w:val="superscript"/>
        </w:rPr>
        <w:t>2</w:t>
      </w:r>
      <w:r w:rsidR="00CC3CD9">
        <w:t xml:space="preserve">, participants with Cushing’s disease had a </w:t>
      </w:r>
      <w:commentRangeStart w:id="4"/>
      <w:r w:rsidR="00CC3CD9">
        <w:t>higher BMI than controls</w:t>
      </w:r>
      <w:commentRangeEnd w:id="4"/>
      <w:r w:rsidR="00CC3CD9">
        <w:rPr>
          <w:rStyle w:val="CommentReference"/>
        </w:rPr>
        <w:commentReference w:id="4"/>
      </w:r>
      <w:r w:rsidR="00CC3CD9">
        <w:t xml:space="preserve">.  </w:t>
      </w:r>
      <w:commentRangeStart w:id="5"/>
      <w:r w:rsidR="00CC3CD9">
        <w:t>Males with Cushing’s disease were more likely to have a BMI under 30 kg/m</w:t>
      </w:r>
      <w:r w:rsidR="00CC3CD9" w:rsidRPr="00CC3CD9">
        <w:rPr>
          <w:vertAlign w:val="superscript"/>
        </w:rPr>
        <w:t>2</w:t>
      </w:r>
      <w:r w:rsidR="00CC3CD9">
        <w:t xml:space="preserve"> (28% of that group) than over 30 kg/m</w:t>
      </w:r>
      <w:r w:rsidR="00CC3CD9" w:rsidRPr="00CC3CD9">
        <w:rPr>
          <w:vertAlign w:val="superscript"/>
        </w:rPr>
        <w:t>2</w:t>
      </w:r>
      <w:r w:rsidR="00CC3CD9">
        <w:t xml:space="preserve"> (26% of that group).</w:t>
      </w:r>
      <w:commentRangeEnd w:id="5"/>
      <w:r w:rsidR="00CC3CD9">
        <w:t xml:space="preserve">  </w:t>
      </w:r>
      <w:r w:rsidR="00927FED">
        <w:t xml:space="preserve">People with Cushing’s disease and obesity were also moderately over-represented in </w:t>
      </w:r>
      <w:commentRangeStart w:id="6"/>
      <w:r w:rsidR="00927FED">
        <w:t>Non-Hispanic White participants (90%) compared to Cushing’s patients with a BMI under 30 kg/m</w:t>
      </w:r>
      <w:r w:rsidR="00927FED" w:rsidRPr="00927FED">
        <w:rPr>
          <w:vertAlign w:val="superscript"/>
        </w:rPr>
        <w:t>2</w:t>
      </w:r>
      <w:r w:rsidR="00927FED">
        <w:t xml:space="preserve"> (83% of that group). </w:t>
      </w:r>
      <w:commentRangeEnd w:id="6"/>
      <w:r w:rsidR="00927FED">
        <w:rPr>
          <w:rStyle w:val="CommentReference"/>
        </w:rPr>
        <w:commentReference w:id="6"/>
      </w:r>
      <w:r w:rsidR="00CC3CD9">
        <w:t xml:space="preserve">The average age of </w:t>
      </w:r>
      <w:r w:rsidR="00927FED">
        <w:t xml:space="preserve">participants with </w:t>
      </w:r>
      <w:r w:rsidR="00CC3CD9">
        <w:t>Cushing’s</w:t>
      </w:r>
      <w:r w:rsidR="00927FED">
        <w:t xml:space="preserve"> disease</w:t>
      </w:r>
      <w:r w:rsidR="00CC3CD9">
        <w:t xml:space="preserve"> with or without obesity</w:t>
      </w:r>
      <w:r w:rsidR="00CC3CD9">
        <w:rPr>
          <w:rStyle w:val="CommentReference"/>
        </w:rPr>
        <w:commentReference w:id="5"/>
      </w:r>
      <w:r w:rsidR="00CC3CD9">
        <w:t xml:space="preserve"> was similar.</w:t>
      </w:r>
    </w:p>
    <w:p w14:paraId="57E74E91" w14:textId="7E221C6A" w:rsidR="00EB133A" w:rsidRDefault="00EB133A" w:rsidP="00EB133A">
      <w:pPr>
        <w:pStyle w:val="NormalWeb"/>
      </w:pPr>
      <w:r w:rsidRPr="00EB133A">
        <w:rPr>
          <w:rStyle w:val="Heading2Char"/>
        </w:rPr>
        <w:lastRenderedPageBreak/>
        <w:t>Primary outcomes and effect modification</w:t>
      </w:r>
    </w:p>
    <w:p w14:paraId="5FBE0530" w14:textId="77777777" w:rsidR="00EB133A" w:rsidRDefault="00EB133A" w:rsidP="00EB133A">
      <w:pPr>
        <w:pStyle w:val="NormalWeb"/>
        <w:numPr>
          <w:ilvl w:val="0"/>
          <w:numId w:val="3"/>
        </w:numPr>
      </w:pPr>
      <w:r>
        <w:t>Refer to Table 3 and Figure 3.</w:t>
      </w:r>
    </w:p>
    <w:p w14:paraId="17D9ED96" w14:textId="575694F4" w:rsidR="00EB133A" w:rsidRPr="00EB133A" w:rsidRDefault="00EB133A" w:rsidP="00EB133A">
      <w:pPr>
        <w:pStyle w:val="Heading2"/>
        <w:rPr>
          <w:b/>
          <w:bCs/>
        </w:rPr>
      </w:pPr>
      <w:r w:rsidRPr="00EB133A">
        <w:rPr>
          <w:rStyle w:val="Strong"/>
          <w:b w:val="0"/>
          <w:bCs w:val="0"/>
        </w:rPr>
        <w:t>Summary of interaction effects</w:t>
      </w:r>
    </w:p>
    <w:p w14:paraId="1E7C6398" w14:textId="77777777" w:rsidR="00EB133A" w:rsidRDefault="00EB133A" w:rsidP="00EB133A">
      <w:pPr>
        <w:pStyle w:val="NormalWeb"/>
        <w:numPr>
          <w:ilvl w:val="0"/>
          <w:numId w:val="4"/>
        </w:numPr>
      </w:pPr>
      <w:r>
        <w:t>Refer to Figure 4.</w:t>
      </w:r>
    </w:p>
    <w:p w14:paraId="2505785D" w14:textId="0B94B029" w:rsidR="00EB133A" w:rsidRDefault="00EB133A" w:rsidP="00EB133A">
      <w:pPr>
        <w:pStyle w:val="NormalWeb"/>
      </w:pPr>
      <w:r w:rsidRPr="00EB133A">
        <w:rPr>
          <w:rStyle w:val="Heading2Char"/>
        </w:rPr>
        <w:t>Sensitivity and secondary analyses</w:t>
      </w:r>
    </w:p>
    <w:p w14:paraId="5DE75FD3" w14:textId="77777777"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19AA1532" w14:textId="337B8BDE" w:rsidR="00EB133A" w:rsidRDefault="00AB7571" w:rsidP="00EB133A">
      <w:pPr>
        <w:pStyle w:val="Heading1"/>
      </w:pPr>
      <w:r>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6BA972D0" w:rsidR="005A3F4C" w:rsidRDefault="005A3F4C" w:rsidP="00EB133A">
      <w:pPr>
        <w:pStyle w:val="NormalWeb"/>
        <w:rPr>
          <w:b/>
          <w:bCs/>
        </w:rPr>
      </w:pPr>
      <w:r>
        <w:rPr>
          <w:b/>
          <w:bCs/>
        </w:rPr>
        <w:t>Figure 1: CONSORT Diagram of participant inclusion.</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Pr="00027DE9" w:rsidRDefault="00733E55" w:rsidP="00EB133A">
      <w:pPr>
        <w:pStyle w:val="NormalWeb"/>
      </w:pPr>
      <w:r w:rsidRPr="00733E55">
        <w:rPr>
          <w:b/>
          <w:bCs/>
        </w:rPr>
        <w:t>Table 2: Participant characteristics after stratification by obesity</w:t>
      </w:r>
      <w:r>
        <w:t xml:space="preserve">.  </w:t>
      </w:r>
      <w:r>
        <w:t xml:space="preserve">Values are mean ± SD or n (%). Groups were stratified by Cushing’s status and obesity; no matching was performed across these strata. </w:t>
      </w:r>
      <w:r>
        <w:t>Kruskal-Wallis</w:t>
      </w:r>
      <w:r>
        <w:t xml:space="preserve"> or χ² compare across the four groups</w:t>
      </w:r>
      <w:r>
        <w:t xml:space="preserve"> to generate p-values</w:t>
      </w:r>
      <w:r>
        <w:t>.</w:t>
      </w:r>
    </w:p>
    <w:p w14:paraId="1B67D71C" w14:textId="5A957180" w:rsidR="004C3E7B" w:rsidRPr="004C3E7B" w:rsidRDefault="00A059AA" w:rsidP="00EB133A">
      <w:pPr>
        <w:pStyle w:val="NormalWeb"/>
      </w:pPr>
      <w:r>
        <w:rPr>
          <w:b/>
          <w:bCs/>
        </w:rPr>
        <w:lastRenderedPageBreak/>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7CFEA682"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deviations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Dave Bridges" w:date="2025-09-05T19:50:00Z" w:initials="DB">
    <w:p w14:paraId="1DD21AA1" w14:textId="1F384188" w:rsidR="00575431" w:rsidRDefault="00575431" w:rsidP="00575431">
      <w:r>
        <w:rPr>
          <w:rStyle w:val="CommentReference"/>
        </w:rPr>
        <w:annotationRef/>
      </w:r>
      <w:r>
        <w:rPr>
          <w:sz w:val="20"/>
          <w:szCs w:val="20"/>
        </w:rPr>
        <w:t>todo</w:t>
      </w:r>
    </w:p>
  </w:comment>
  <w:comment w:id="2" w:author="Dave Bridges" w:date="2025-09-05T18:06:00Z" w:initials="DB">
    <w:p w14:paraId="3F27DAC3" w14:textId="011F9924" w:rsidR="00934570" w:rsidRDefault="00934570" w:rsidP="00934570">
      <w:r>
        <w:rPr>
          <w:rStyle w:val="CommentReference"/>
        </w:rPr>
        <w:annotationRef/>
      </w:r>
      <w:r>
        <w:rPr>
          <w:sz w:val="20"/>
          <w:szCs w:val="20"/>
        </w:rPr>
        <w:t>@trey are there other papers that describe this?</w:t>
      </w:r>
    </w:p>
  </w:comment>
  <w:comment w:id="3" w:author="Dave Bridges" w:date="2025-09-05T19:38:00Z" w:initials="DB">
    <w:p w14:paraId="392E4D0B" w14:textId="77777777" w:rsidR="00B87243" w:rsidRDefault="00B87243" w:rsidP="00B87243">
      <w:r>
        <w:rPr>
          <w:rStyle w:val="CommentReference"/>
        </w:rPr>
        <w:annotationRef/>
      </w:r>
      <w:r>
        <w:rPr>
          <w:sz w:val="20"/>
          <w:szCs w:val="20"/>
        </w:rPr>
        <w:t>@trey also any data on demographic propensities towards Cushings we can cite?</w:t>
      </w:r>
    </w:p>
  </w:comment>
  <w:comment w:id="4" w:author="Dave Bridges" w:date="2025-09-06T11:13:00Z" w:initials="DB">
    <w:p w14:paraId="0A944B29" w14:textId="77777777" w:rsidR="00CC3CD9" w:rsidRDefault="00CC3CD9" w:rsidP="00CC3CD9">
      <w:r>
        <w:rPr>
          <w:rStyle w:val="CommentReference"/>
        </w:rPr>
        <w:annotationRef/>
      </w:r>
      <w:r>
        <w:rPr>
          <w:sz w:val="20"/>
          <w:szCs w:val="20"/>
        </w:rPr>
        <w:t>Need to calculate p-value</w:t>
      </w:r>
    </w:p>
  </w:comment>
  <w:comment w:id="6" w:author="Dave Bridges" w:date="2025-09-06T11:20:00Z" w:initials="DB">
    <w:p w14:paraId="1A8BEA8B" w14:textId="77777777" w:rsidR="00927FED" w:rsidRDefault="00927FED" w:rsidP="00927FED">
      <w:r>
        <w:rPr>
          <w:rStyle w:val="CommentReference"/>
        </w:rPr>
        <w:annotationRef/>
      </w:r>
      <w:r>
        <w:rPr>
          <w:sz w:val="20"/>
          <w:szCs w:val="20"/>
        </w:rPr>
        <w:t>Calculate p-value for this</w:t>
      </w:r>
    </w:p>
  </w:comment>
  <w:comment w:id="5" w:author="Dave Bridges" w:date="2025-09-06T11:12:00Z" w:initials="DB">
    <w:p w14:paraId="65C3D76B" w14:textId="3EC1C0F0" w:rsidR="00CC3CD9" w:rsidRDefault="00CC3CD9" w:rsidP="00CC3CD9">
      <w:r>
        <w:rPr>
          <w:rStyle w:val="CommentReference"/>
        </w:rPr>
        <w:annotationRef/>
      </w:r>
      <w:r>
        <w:rPr>
          <w:sz w:val="20"/>
          <w:szCs w:val="20"/>
        </w:rPr>
        <w:t>Need to calculate p-value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1DD21AA1" w15:done="0"/>
  <w15:commentEx w15:paraId="3F27DAC3" w15:done="0"/>
  <w15:commentEx w15:paraId="392E4D0B" w15:done="0"/>
  <w15:commentEx w15:paraId="0A944B29" w15:done="0"/>
  <w15:commentEx w15:paraId="1A8BEA8B" w15:done="0"/>
  <w15:commentEx w15:paraId="65C3D7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1A95B88A" w16cex:dateUtc="2025-09-05T23:50:00Z"/>
  <w16cex:commentExtensible w16cex:durableId="10479658" w16cex:dateUtc="2025-09-05T22:06:00Z"/>
  <w16cex:commentExtensible w16cex:durableId="4FC4BC49" w16cex:dateUtc="2025-09-05T23:38:00Z"/>
  <w16cex:commentExtensible w16cex:durableId="76FF026A" w16cex:dateUtc="2025-09-06T15:13:00Z"/>
  <w16cex:commentExtensible w16cex:durableId="278D1F38" w16cex:dateUtc="2025-09-06T15:20:00Z"/>
  <w16cex:commentExtensible w16cex:durableId="353E7A50" w16cex:dateUtc="2025-09-06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1DD21AA1" w16cid:durableId="1A95B88A"/>
  <w16cid:commentId w16cid:paraId="3F27DAC3" w16cid:durableId="10479658"/>
  <w16cid:commentId w16cid:paraId="392E4D0B" w16cid:durableId="4FC4BC49"/>
  <w16cid:commentId w16cid:paraId="0A944B29" w16cid:durableId="76FF026A"/>
  <w16cid:commentId w16cid:paraId="1A8BEA8B" w16cid:durableId="278D1F38"/>
  <w16cid:commentId w16cid:paraId="65C3D76B" w16cid:durableId="353E7A5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0"/>
  </w:num>
  <w:num w:numId="2" w16cid:durableId="278075531">
    <w:abstractNumId w:val="2"/>
  </w:num>
  <w:num w:numId="3" w16cid:durableId="759060415">
    <w:abstractNumId w:val="3"/>
  </w:num>
  <w:num w:numId="4" w16cid:durableId="702511983">
    <w:abstractNumId w:val="4"/>
  </w:num>
  <w:num w:numId="5" w16cid:durableId="1785880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7A6D"/>
    <w:rsid w:val="000D3297"/>
    <w:rsid w:val="000D6A57"/>
    <w:rsid w:val="000E1126"/>
    <w:rsid w:val="000E114C"/>
    <w:rsid w:val="00115D9B"/>
    <w:rsid w:val="00117948"/>
    <w:rsid w:val="00141C21"/>
    <w:rsid w:val="00146173"/>
    <w:rsid w:val="001515AD"/>
    <w:rsid w:val="001525EE"/>
    <w:rsid w:val="00165647"/>
    <w:rsid w:val="001C5750"/>
    <w:rsid w:val="001D4725"/>
    <w:rsid w:val="001E3F4F"/>
    <w:rsid w:val="001E5F79"/>
    <w:rsid w:val="001F149F"/>
    <w:rsid w:val="001F2A30"/>
    <w:rsid w:val="001F2B27"/>
    <w:rsid w:val="001F3717"/>
    <w:rsid w:val="001F37CB"/>
    <w:rsid w:val="00211C64"/>
    <w:rsid w:val="002120E7"/>
    <w:rsid w:val="00217D46"/>
    <w:rsid w:val="00222730"/>
    <w:rsid w:val="0022433B"/>
    <w:rsid w:val="00233DA7"/>
    <w:rsid w:val="00244F96"/>
    <w:rsid w:val="00250B3C"/>
    <w:rsid w:val="00251095"/>
    <w:rsid w:val="00251B10"/>
    <w:rsid w:val="0025516C"/>
    <w:rsid w:val="00257105"/>
    <w:rsid w:val="0028006B"/>
    <w:rsid w:val="002827EA"/>
    <w:rsid w:val="00293D99"/>
    <w:rsid w:val="002964F2"/>
    <w:rsid w:val="002A005D"/>
    <w:rsid w:val="002D2E10"/>
    <w:rsid w:val="002D4286"/>
    <w:rsid w:val="002D4F83"/>
    <w:rsid w:val="002E3F3F"/>
    <w:rsid w:val="002F3DB8"/>
    <w:rsid w:val="002F563D"/>
    <w:rsid w:val="002F7776"/>
    <w:rsid w:val="00300DA1"/>
    <w:rsid w:val="00327582"/>
    <w:rsid w:val="00330AF2"/>
    <w:rsid w:val="003376C5"/>
    <w:rsid w:val="00347044"/>
    <w:rsid w:val="00357A9C"/>
    <w:rsid w:val="00357D5C"/>
    <w:rsid w:val="00364B2E"/>
    <w:rsid w:val="00366F5C"/>
    <w:rsid w:val="003734AC"/>
    <w:rsid w:val="00382FE3"/>
    <w:rsid w:val="00383C2A"/>
    <w:rsid w:val="00392C7F"/>
    <w:rsid w:val="00392FE2"/>
    <w:rsid w:val="00395991"/>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23A7"/>
    <w:rsid w:val="004B0142"/>
    <w:rsid w:val="004B19B0"/>
    <w:rsid w:val="004C2F28"/>
    <w:rsid w:val="004C3E7B"/>
    <w:rsid w:val="004C6219"/>
    <w:rsid w:val="004C7F1F"/>
    <w:rsid w:val="004D346F"/>
    <w:rsid w:val="004E3BB2"/>
    <w:rsid w:val="004E7691"/>
    <w:rsid w:val="004F6EB4"/>
    <w:rsid w:val="0050389F"/>
    <w:rsid w:val="00506077"/>
    <w:rsid w:val="005100C2"/>
    <w:rsid w:val="005123D2"/>
    <w:rsid w:val="00512484"/>
    <w:rsid w:val="005175C1"/>
    <w:rsid w:val="00523070"/>
    <w:rsid w:val="005245FA"/>
    <w:rsid w:val="00531147"/>
    <w:rsid w:val="0053238C"/>
    <w:rsid w:val="00535314"/>
    <w:rsid w:val="00537BCF"/>
    <w:rsid w:val="00544AC6"/>
    <w:rsid w:val="00556C78"/>
    <w:rsid w:val="00575431"/>
    <w:rsid w:val="00576DB5"/>
    <w:rsid w:val="00590023"/>
    <w:rsid w:val="00590933"/>
    <w:rsid w:val="005A3F4C"/>
    <w:rsid w:val="005A4BA3"/>
    <w:rsid w:val="005B5A17"/>
    <w:rsid w:val="005C51F7"/>
    <w:rsid w:val="005C6416"/>
    <w:rsid w:val="005C770F"/>
    <w:rsid w:val="005D20D7"/>
    <w:rsid w:val="005D2153"/>
    <w:rsid w:val="005E1BF2"/>
    <w:rsid w:val="005E5E64"/>
    <w:rsid w:val="005F2A7E"/>
    <w:rsid w:val="00607605"/>
    <w:rsid w:val="00610F74"/>
    <w:rsid w:val="0061406A"/>
    <w:rsid w:val="00623FB0"/>
    <w:rsid w:val="00624300"/>
    <w:rsid w:val="00624349"/>
    <w:rsid w:val="00630F22"/>
    <w:rsid w:val="00637BDD"/>
    <w:rsid w:val="006474D9"/>
    <w:rsid w:val="0067322A"/>
    <w:rsid w:val="00680857"/>
    <w:rsid w:val="0068193C"/>
    <w:rsid w:val="0069411B"/>
    <w:rsid w:val="006A5655"/>
    <w:rsid w:val="006D3471"/>
    <w:rsid w:val="006D6F09"/>
    <w:rsid w:val="006E213E"/>
    <w:rsid w:val="006E63C3"/>
    <w:rsid w:val="006F63F4"/>
    <w:rsid w:val="006F745F"/>
    <w:rsid w:val="00701106"/>
    <w:rsid w:val="007067B2"/>
    <w:rsid w:val="00707168"/>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7122"/>
    <w:rsid w:val="007F7E35"/>
    <w:rsid w:val="008132DA"/>
    <w:rsid w:val="008174BE"/>
    <w:rsid w:val="00823B54"/>
    <w:rsid w:val="00824505"/>
    <w:rsid w:val="008263E3"/>
    <w:rsid w:val="00833E08"/>
    <w:rsid w:val="00843B6D"/>
    <w:rsid w:val="008461E9"/>
    <w:rsid w:val="00856B5B"/>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461"/>
    <w:rsid w:val="009030CE"/>
    <w:rsid w:val="00906A0F"/>
    <w:rsid w:val="00907AA6"/>
    <w:rsid w:val="009259D6"/>
    <w:rsid w:val="00926BC0"/>
    <w:rsid w:val="00927FED"/>
    <w:rsid w:val="00934570"/>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7D61"/>
    <w:rsid w:val="009D5C66"/>
    <w:rsid w:val="009D7F38"/>
    <w:rsid w:val="009E4E77"/>
    <w:rsid w:val="009F2F1E"/>
    <w:rsid w:val="00A01365"/>
    <w:rsid w:val="00A059AA"/>
    <w:rsid w:val="00A066E7"/>
    <w:rsid w:val="00A12A68"/>
    <w:rsid w:val="00A4251B"/>
    <w:rsid w:val="00A458DF"/>
    <w:rsid w:val="00A55A54"/>
    <w:rsid w:val="00A72D3E"/>
    <w:rsid w:val="00A95A18"/>
    <w:rsid w:val="00A9666F"/>
    <w:rsid w:val="00AA272E"/>
    <w:rsid w:val="00AA6407"/>
    <w:rsid w:val="00AB6DA4"/>
    <w:rsid w:val="00AB7571"/>
    <w:rsid w:val="00AC5992"/>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3F54"/>
    <w:rsid w:val="00B859CD"/>
    <w:rsid w:val="00B87243"/>
    <w:rsid w:val="00B917E0"/>
    <w:rsid w:val="00BA26CD"/>
    <w:rsid w:val="00BB142D"/>
    <w:rsid w:val="00BF48EC"/>
    <w:rsid w:val="00BF6701"/>
    <w:rsid w:val="00C120C9"/>
    <w:rsid w:val="00C16149"/>
    <w:rsid w:val="00C17174"/>
    <w:rsid w:val="00C17BC9"/>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C77"/>
    <w:rsid w:val="00CB1DEF"/>
    <w:rsid w:val="00CB34F2"/>
    <w:rsid w:val="00CC022F"/>
    <w:rsid w:val="00CC183C"/>
    <w:rsid w:val="00CC3CD9"/>
    <w:rsid w:val="00CC7459"/>
    <w:rsid w:val="00CD04B1"/>
    <w:rsid w:val="00CD286D"/>
    <w:rsid w:val="00CD4531"/>
    <w:rsid w:val="00CD5385"/>
    <w:rsid w:val="00CD7E21"/>
    <w:rsid w:val="00CE39F7"/>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541B2"/>
    <w:rsid w:val="00F603A0"/>
    <w:rsid w:val="00F67CDF"/>
    <w:rsid w:val="00F823CE"/>
    <w:rsid w:val="00F93FE3"/>
    <w:rsid w:val="00FA3B24"/>
    <w:rsid w:val="00FB04DA"/>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5</Pages>
  <Words>1675</Words>
  <Characters>9552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55</cp:revision>
  <dcterms:created xsi:type="dcterms:W3CDTF">2025-09-05T13:57:00Z</dcterms:created>
  <dcterms:modified xsi:type="dcterms:W3CDTF">2025-09-06T15:23:00Z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