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7464D" w14:textId="725DAD91" w:rsidR="005B674A" w:rsidRDefault="0084083C" w:rsidP="0084083C">
      <w:r>
        <w:t>Treyton Carr, Irit Hochberg, and Dave Bridges</w:t>
      </w:r>
    </w:p>
    <w:p w14:paraId="54A8C49B" w14:textId="77777777" w:rsidR="0084083C" w:rsidRDefault="0084083C" w:rsidP="0084083C"/>
    <w:p w14:paraId="5B079A0E" w14:textId="1D9E2059" w:rsidR="0084083C" w:rsidRDefault="0084083C" w:rsidP="0084083C">
      <w:pPr>
        <w:pStyle w:val="Heading1"/>
      </w:pPr>
      <w:r>
        <w:t>Introduction</w:t>
      </w:r>
    </w:p>
    <w:p w14:paraId="3389D029" w14:textId="2B9712C1" w:rsidR="0084083C" w:rsidRDefault="0084083C" w:rsidP="0084083C">
      <w:r>
        <w:t>Cushing’s disease</w:t>
      </w:r>
      <w:r w:rsidR="00892425">
        <w:t xml:space="preserve"> is a rare endocrine disorder</w:t>
      </w:r>
      <w:r w:rsidR="00995BC6">
        <w:t xml:space="preserve"> caused by the overproduction of cortisol, resulting in chronic hypercortisolism.</w:t>
      </w:r>
      <w:r w:rsidR="00892425">
        <w:t xml:space="preserve"> The sickness affects women disproportionally to men and is most often caused by a tumor on the anterior pituitary gland, or the adrenal gland. The effects of sustained elevation of cortisol in the body can present in a variety of ways in humans, but they are generally well known in a general population. These can include high blood pressure, diabetes, and weight gain. Many of these symptoms are caused by both obesity and metabolic related symptoms, and it is difficult to discern from the obesity-dependent from the obesity-independent mechanisms of Cushing’s </w:t>
      </w:r>
      <w:commentRangeStart w:id="0"/>
      <w:r w:rsidR="00892425">
        <w:t xml:space="preserve">disease. </w:t>
      </w:r>
      <w:commentRangeEnd w:id="0"/>
      <w:r w:rsidR="00892425">
        <w:rPr>
          <w:rStyle w:val="CommentReference"/>
          <w:sz w:val="24"/>
          <w:szCs w:val="24"/>
        </w:rPr>
        <w:commentReference w:id="0"/>
      </w:r>
    </w:p>
    <w:p w14:paraId="2172536D" w14:textId="77777777" w:rsidR="0084083C" w:rsidRDefault="0084083C" w:rsidP="0084083C"/>
    <w:p w14:paraId="44339A00" w14:textId="5DEFC8CD" w:rsidR="00B859CD" w:rsidRDefault="00B859CD" w:rsidP="00EB133A">
      <w:pPr>
        <w:pStyle w:val="Heading1"/>
      </w:pPr>
      <w:r>
        <w:t>Methods</w:t>
      </w:r>
    </w:p>
    <w:p w14:paraId="39AC5F09" w14:textId="7CE14945" w:rsidR="00B859CD" w:rsidRPr="00B859CD"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p>
    <w:p w14:paraId="7FA34512" w14:textId="74DDF0DC" w:rsidR="00B859CD" w:rsidRDefault="00B859CD" w:rsidP="00B859CD">
      <w:r>
        <w:t xml:space="preserve">To identify patients with Cushing’s disease, we evaluated electronic health records </w:t>
      </w:r>
      <w:r w:rsidR="00575431">
        <w:t>for participants at</w:t>
      </w:r>
      <w:r>
        <w:t xml:space="preserve"> Michigan Medicine dating back to January 1, 2000, searching for diagnoses of Cushing’s disease including ICD Codes (</w:t>
      </w:r>
      <w:r w:rsidR="00995BC6">
        <w:t>E24.0, 255.0</w:t>
      </w:r>
      <w:r>
        <w:t>)</w:t>
      </w:r>
      <w:r w:rsidR="004561B8">
        <w:t xml:space="preserve">.  </w:t>
      </w:r>
      <w:r w:rsidR="00E16C92">
        <w:t xml:space="preserve"> </w:t>
      </w:r>
      <w:r w:rsidR="004561B8">
        <w:t>To identify when patients were treated</w:t>
      </w:r>
      <w:r w:rsidR="000C0BDB">
        <w:t xml:space="preserve"> via surgery,</w:t>
      </w:r>
      <w:r w:rsidR="004561B8">
        <w:t xml:space="preserve"> we included procedure codes </w:t>
      </w:r>
      <w:commentRangeStart w:id="1"/>
      <w:commentRangeStart w:id="2"/>
      <w:r w:rsidR="004561B8">
        <w:t>YYY</w:t>
      </w:r>
      <w:commentRangeEnd w:id="1"/>
      <w:r w:rsidR="008610C9">
        <w:rPr>
          <w:rStyle w:val="CommentReference"/>
          <w:sz w:val="24"/>
          <w:szCs w:val="24"/>
        </w:rPr>
        <w:commentReference w:id="1"/>
      </w:r>
      <w:commentRangeEnd w:id="2"/>
      <w:r w:rsidR="00995BC6">
        <w:rPr>
          <w:rStyle w:val="CommentReference"/>
          <w:sz w:val="24"/>
          <w:szCs w:val="24"/>
        </w:rPr>
        <w:commentReference w:id="2"/>
      </w:r>
      <w:r w:rsidR="004561B8">
        <w:t>.</w:t>
      </w:r>
      <w:r w:rsidR="004B0142">
        <w:t xml:space="preserve">  We excluded participants if they </w:t>
      </w:r>
      <w:r w:rsidR="00995BC6">
        <w:t>did not have a Cushing’s disease diagnosis, treatment date, lab history, or relevant demographic data documented.</w:t>
      </w:r>
      <w:r w:rsidR="00927FED">
        <w:t xml:space="preserve"> Race and ethnicity were self-reported, with groups of &lt;10 aggregated into the other category.</w:t>
      </w:r>
      <w:r w:rsidR="003318B0">
        <w:t xml:space="preserve"> </w:t>
      </w:r>
    </w:p>
    <w:p w14:paraId="3EB20B21" w14:textId="16AF4C65" w:rsidR="004B0142" w:rsidRDefault="00E2062D" w:rsidP="004B0142">
      <w:r>
        <w:t xml:space="preserve">To identify controls, </w:t>
      </w:r>
      <w:r w:rsidR="007A4F25">
        <w:t>we used</w:t>
      </w:r>
      <w:r w:rsidR="004B0142">
        <w:t xml:space="preserve"> the </w:t>
      </w:r>
      <w:r w:rsidR="007A4F25">
        <w:t xml:space="preserve"> MatchIt </w:t>
      </w:r>
      <w:r w:rsidR="004B0142">
        <w:t xml:space="preserve">package </w:t>
      </w:r>
      <w:r w:rsidR="007A4F25">
        <w:t xml:space="preserve">(version </w:t>
      </w:r>
      <w:r w:rsidR="00AB7571">
        <w:t xml:space="preserve">4.7.1; </w:t>
      </w:r>
      <w:r w:rsidR="00AB7571">
        <w:fldChar w:fldCharType="begin"/>
      </w:r>
      <w:r w:rsidR="00AB7571">
        <w:instrText xml:space="preserve"> ADDIN ZOTERO_ITEM CSL_CITATION {"citationID":"Pl5Gc3F1","properties":{"formattedCitation":"(Ho et al., 2011)","plainCitation":"(Ho et al., 2011)","noteIndex":0},"citationItems":[{"id":12196,"uris":["http://zotero.org/users/7317906/items/H5CAAL6F"],"itemData":{"id":12196,"type":"article-journal","abstract":"MatchIt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Zelig.","container-title":"Journal of Statistical Software","DOI":"10.18637/jss.v042.i08","ISSN":"1548-7660","language":"en","license":"Copyright (c) 2006 Daniel Ho, Kosuke Imai, Gary King, Elizabeth A. Stuart","page":"1-28","source":"www.jstatsoft.org","title":"MatchIt: Nonparametric Preprocessing for Parametric Causal Inference","title-short":"MatchIt","volume":"42","author":[{"family":"Ho","given":"Daniel"},{"family":"Imai","given":"Kosuke"},{"family":"King","given":"Gary"},{"family":"Stuart","given":"Elizabeth A."}],"issued":{"date-parts":[["2011",6,14]]},"citation-key":"hoMatchItNonparametricPreprocessing2011"}}],"schema":"https://github.com/citation-style-language/schema/raw/master/csl-citation.json"} </w:instrText>
      </w:r>
      <w:r w:rsidR="00AB7571">
        <w:fldChar w:fldCharType="separate"/>
      </w:r>
      <w:r w:rsidR="00AB7571">
        <w:rPr>
          <w:noProof/>
        </w:rPr>
        <w:t>(Ho et al., 2011)</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measurement </w:t>
      </w:r>
      <w:r w:rsidR="007A4F25" w:rsidRPr="007A4F25">
        <w:t xml:space="preserve">and potential controls with that measurement available. </w:t>
      </w:r>
      <w:r w:rsidR="002F7776">
        <w:t>For Cushing’s cases to be included they had to have had the laboratory measure</w:t>
      </w:r>
      <w:r w:rsidR="000C0BDB">
        <w:t>d</w:t>
      </w:r>
      <w:r w:rsidR="002F7776">
        <w:t xml:space="preserve"> </w:t>
      </w:r>
      <w:r w:rsidR="0053238C">
        <w:t xml:space="preserve">30 days or fewer </w:t>
      </w:r>
      <w:r w:rsidR="002F7776">
        <w:t xml:space="preserve">prior to surgical treatment.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age in the </w:t>
      </w:r>
      <w:r w:rsidR="007A4F25">
        <w:t>propensity score</w:t>
      </w:r>
      <w:r w:rsidR="007A4F25" w:rsidRPr="007A4F25">
        <w:t xml:space="preserve"> model and exact matching on gender and race/ethnicity</w:t>
      </w:r>
      <w:r w:rsidR="000655A6">
        <w:t xml:space="preserve"> from a pool of </w:t>
      </w:r>
      <w:r w:rsidR="000655A6" w:rsidRPr="000655A6">
        <w:t>70</w:t>
      </w:r>
      <w:r w:rsidR="000655A6">
        <w:t>,</w:t>
      </w:r>
      <w:r w:rsidR="000655A6" w:rsidRPr="000655A6">
        <w:t>327</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AB7571">
        <w:t xml:space="preserve">  </w:t>
      </w:r>
      <w:r w:rsidR="004B0142" w:rsidRPr="007A4F25">
        <w:t xml:space="preserve">As a sensitivity analysis we also created a single matched cohort using participants with </w:t>
      </w:r>
      <w:r w:rsidR="00575431">
        <w:t xml:space="preserve">any of the </w:t>
      </w:r>
      <w:r w:rsidR="00575431">
        <w:lastRenderedPageBreak/>
        <w:t>laboratory results we tested (glucose, HbA1c, ALT, blood pressure, r LDL-cholesterol)</w:t>
      </w:r>
      <w:r w:rsidR="004B0142" w:rsidRPr="007A4F25">
        <w:t xml:space="preserve"> and </w:t>
      </w:r>
      <w:commentRangeStart w:id="3"/>
      <w:r w:rsidR="004B0142" w:rsidRPr="007A4F25">
        <w:t xml:space="preserve">repeated all outcome models </w:t>
      </w:r>
      <w:r w:rsidR="004C3E7B">
        <w:t>with that dataset</w:t>
      </w:r>
      <w:r w:rsidR="004B0142" w:rsidRPr="007A4F25">
        <w:t>.</w:t>
      </w:r>
      <w:commentRangeEnd w:id="3"/>
      <w:r w:rsidR="00575431">
        <w:rPr>
          <w:rStyle w:val="CommentReference"/>
          <w:sz w:val="24"/>
          <w:szCs w:val="24"/>
        </w:rPr>
        <w:commentReference w:id="3"/>
      </w:r>
      <w:r w:rsidR="003318B0">
        <w:t xml:space="preserve"> In our search, we only included patients with BMI’s within the 5-75 range, and between 5-75 years of age. Finally, we also only included patients within the 2022-2025 year range. This was done to create a data pull request that was less than 100,000 people, which was necessary with the Data Direct software used.***talk about this more</w:t>
      </w:r>
    </w:p>
    <w:p w14:paraId="62D170DB" w14:textId="25F14D4B"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evaluated descriptively</w:t>
      </w:r>
      <w:r w:rsidR="004B0142">
        <w:t>,</w:t>
      </w:r>
      <w:r>
        <w:t xml:space="preserve"> and </w:t>
      </w:r>
      <w:r w:rsidR="004B0142">
        <w:t xml:space="preserve">also </w:t>
      </w:r>
      <w:r>
        <w:t>included as a covariate in sensitivity models.</w:t>
      </w:r>
    </w:p>
    <w:p w14:paraId="1C76272F" w14:textId="3557DE1A" w:rsidR="0005218F" w:rsidRDefault="0005218F" w:rsidP="00B859CD">
      <w:r w:rsidRPr="0005218F">
        <w:t>Mean arterial pressure was directly measured in the majority of cases. When MAP was missing but systolic and diastolic BP were available</w:t>
      </w:r>
      <w:r>
        <w:t xml:space="preserve">, </w:t>
      </w:r>
      <w:r w:rsidRPr="0005218F">
        <w:t>MAP was calculated as (SBP + 2×DBP)/3. The calculated values showed high agreement with measured MAP (r=0.963, mean difference=1.32 ± 3.38 mmHg) in cases where both were available.</w:t>
      </w:r>
    </w:p>
    <w:p w14:paraId="0D85CC8F" w14:textId="24AB56C4" w:rsidR="00AB7571" w:rsidRPr="00B859CD" w:rsidRDefault="00AB7571" w:rsidP="00B859CD">
      <w:r w:rsidRPr="004B0142">
        <w:rPr>
          <w:b/>
          <w:bCs/>
        </w:rPr>
        <w:t>Statistical Analyses.</w:t>
      </w:r>
      <w:r>
        <w:t xml:space="preserve">  Statistical significance</w:t>
      </w:r>
      <w:r w:rsidR="00222730">
        <w:t xml:space="preserve"> for this stud</w:t>
      </w:r>
      <w:r>
        <w:t xml:space="preserve"> was set at p&lt;0.05.  All analyses were performed using R version 4.4.0 </w:t>
      </w:r>
      <w:r>
        <w:fldChar w:fldCharType="begin"/>
      </w:r>
      <w:r>
        <w:instrText xml:space="preserve"> ADDIN ZOTERO_ITEM CSL_CITATION {"citationID":"UlCX6dpA","properties":{"formattedCitation":"(R Core Team, 2019)","plainCitation":"(R Core Team, 2019)","noteIndex":0},"citationItems":[{"id":8230,"uris":["http://zotero.org/users/7317906/items/3HZT7KXK"],"itemData":{"id":8230,"type":"document","note":"Citation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(R Core Team, 2019)</w:t>
      </w:r>
      <w:r>
        <w:fldChar w:fldCharType="end"/>
      </w:r>
      <w:r w:rsidR="00DC7FDB">
        <w:t xml:space="preserve">.  For participant demographics, Kruskal-Wallis or Mann-Whitney tests were used as both BMI and participant Age were not normally distributed (p&lt;0.05 via Shapiro-Wilk tests).  </w:t>
      </w:r>
      <w:r w:rsidR="000C0BDB">
        <w:t>χ</w:t>
      </w:r>
      <w:r w:rsidR="000C0BDB" w:rsidRPr="000C0BDB">
        <w:rPr>
          <w:vertAlign w:val="superscript"/>
        </w:rPr>
        <w:t>2</w:t>
      </w:r>
      <w:r w:rsidR="00DC7FDB">
        <w:t xml:space="preserve"> tests were used to compare counts across groups</w:t>
      </w:r>
      <w:r w:rsidR="005E3FBA">
        <w:t xml:space="preserve"> unless counts were expected to be under five per group, in which case Fisher’s exact test was used</w:t>
      </w:r>
      <w:r w:rsidR="00DC7FDB">
        <w:t>.</w:t>
      </w:r>
    </w:p>
    <w:p w14:paraId="5C7ECF21" w14:textId="42D6C440" w:rsidR="006F63F4" w:rsidRDefault="00EB133A" w:rsidP="00EB133A">
      <w:pPr>
        <w:pStyle w:val="Heading1"/>
      </w:pPr>
      <w:r>
        <w:t>Results</w:t>
      </w:r>
    </w:p>
    <w:p w14:paraId="7ED2150B" w14:textId="77777777" w:rsidR="004B0142" w:rsidRPr="00EB133A" w:rsidRDefault="004B0142" w:rsidP="004B0142">
      <w:pPr>
        <w:pStyle w:val="Heading2"/>
        <w:rPr>
          <w:b/>
          <w:bCs/>
        </w:rPr>
      </w:pPr>
      <w:r w:rsidRPr="00EB133A">
        <w:rPr>
          <w:rStyle w:val="Strong"/>
          <w:b w:val="0"/>
          <w:bCs w:val="0"/>
        </w:rPr>
        <w:t>Study population</w:t>
      </w:r>
    </w:p>
    <w:p w14:paraId="066971CF" w14:textId="56952D17" w:rsidR="00EB133A" w:rsidRDefault="004561B8">
      <w:commentRangeStart w:id="4"/>
      <w:r>
        <w:t xml:space="preserve">As shown in Figure 1, we identified YYYY participants with diagnoses of Cushing’s disease.  </w:t>
      </w:r>
      <w:r w:rsidR="00E16C92">
        <w:t xml:space="preserve">This included YYYY adrenal tumors and ZZZ pituitary tumors.  </w:t>
      </w:r>
      <w:r>
        <w:t>Their average age at diagnosis was XXX (+/- XXX).  They</w:t>
      </w:r>
      <w:commentRangeEnd w:id="4"/>
      <w:r w:rsidR="00846B21">
        <w:rPr>
          <w:rStyle w:val="CommentReference"/>
          <w:sz w:val="24"/>
          <w:szCs w:val="24"/>
        </w:rPr>
        <w:commentReference w:id="4"/>
      </w:r>
      <w:r w:rsidR="00FB26BE">
        <w:t xml:space="preserve"> </w:t>
      </w:r>
    </w:p>
    <w:p w14:paraId="7017BF89" w14:textId="77777777" w:rsidR="009259D6" w:rsidRDefault="009259D6"/>
    <w:p w14:paraId="7B909945" w14:textId="3F8FCDCA" w:rsidR="00EB133A" w:rsidRDefault="005A4BA3" w:rsidP="00EB133A">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0D15B9F7" w:rsidR="00B15E61" w:rsidRDefault="00B15E61" w:rsidP="00B15E61">
      <w:r>
        <w:t xml:space="preserve">We performed outcome-specific propensity matching to identify appropriate controls, starting from those with generating exact matches for gender, race and ethnicity.  We then algorithmically matched for age, generating 10 controls for each case.  Matching was </w:t>
      </w:r>
      <w:r w:rsidR="00680857">
        <w:t xml:space="preserve">effective </w:t>
      </w:r>
      <w:r>
        <w:t xml:space="preserve"> with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0A7EECDB" w:rsidR="005A4BA3" w:rsidRDefault="00FE6593" w:rsidP="00B15E61">
      <w:r w:rsidRPr="00FE6593">
        <w:lastRenderedPageBreak/>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Here we reproduce several notable characteristics, including a higher prevalence of Cushing’s disease in females (284 vs 72</w:t>
      </w:r>
      <w:r w:rsidR="0084083C">
        <w:t>, p&lt;0.00</w:t>
      </w:r>
      <w:r w:rsidR="0084083C" w:rsidRPr="0084083C">
        <w:t>1</w:t>
      </w:r>
      <w:r w:rsidR="00934570" w:rsidRPr="0084083C">
        <w:t>)</w:t>
      </w:r>
      <w:r w:rsidR="0084083C" w:rsidRPr="0084083C">
        <w:t>, consistent with the prior literature</w:t>
      </w:r>
      <w:r w:rsidR="0084083C">
        <w:t xml:space="preserve"> </w:t>
      </w:r>
      <w:r w:rsidR="0084083C">
        <w:fldChar w:fldCharType="begin"/>
      </w:r>
      <w:r w:rsidR="00A46BC5">
        <w:instrText xml:space="preserve"> ADDIN ZOTERO_ITEM CSL_CITATION {"citationID":"5iZIPs39","properties":{"formattedCitation":"(Alqeeq et al., 2024; Broder et al., 2015; Etxabe &amp; Vazquez, 1994; Matthiasdottir et al., 2024; Steffensen et al., 2010)","plainCitation":"(Alqeeq et al., 2024; Broder et al., 2015; Etxabe &amp; Vazquez, 1994; Matthiasdottir et al., 2024; Steffensen et al., 2010)","noteIndex":0},"citationItems":[{"id":27029,"uris":["http://zotero.org/users/7317906/items/5UXH2J3G"],"itemData":{"id":27029,"type":"article-journal","abstract":"BACKGROUND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females.","container-title":"Annals of Saudi Medicine","DOI":"10.5144/0256-4947.2024.55","ISSN":"0975-4466","issue":"1","journalAbbreviation":"Ann Saudi Med","language":"eng","note":"PMID: 38311874\nPMCID: PMC10839456","page":"55-65","source":"PubMed","title":"Sex-related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M."}],"issued":{"date-parts":[["2024"]]},"citation-key":"alqeeqSexrelatedDifferencesCushings2024"}},{"id":27016,"uris":["http://zotero.org/users/7317906/items/RNS3FR6N"],"itemData":{"id":27016,"type":"article-journal","abstract":"PURPOSE: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conditions.","container-title":"Pituitary","DOI":"10.1007/s11102-014-0569-6","ISSN":"1573-7403","issue":"3","journalAbbreviation":"Pituitary","language":"eng","note":"PMID: 24803324","page":"283-289","source":"PubMed","title":"Incidence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H."}],"issued":{"date-parts":[["2015",6]]},"citation-key":"broderIncidenceCushingsSyndrome2015"}},{"id":1348,"uris":["http://zotero.org/users/7317906/items/V5L6B4RJ"],"itemData":{"id":1348,"type":"article-journal","abstract":"OBJECTIVE: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metabolism.","container-title":"Clin Endocrinol (Oxf)","DOI":"10.1111/j.1365-2265.1994.tb02486.x","ISSN":"0300-0664","issue":"4","note":"PMID: 8187313\nISBN: 0300-0664 (Print)\\r0300-0664 (Linking)","page":"479-484","title":"Morbidity and mortality in Cushing's disease: an epidemiological approach","volume":"40","author":[{"family":"Etxabe","given":"J"},{"family":"Vazquez","given":"J A"}],"issued":{"date-parts":[["1994"]]},"citation-key":"etxabeMorbidityMortalityCushings1994"}},{"id":27026,"uris":["http://zotero.org/users/7317906/items/X2VBVW53"],"itemData":{"id":27026,"type":"article-journal","abstract":"Introduction: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Thought","volume":"114","author":[{"family":"Matthiasdottir","given":"Anna Mjoll"},{"family":"Hardarson","given":"Thorgeir Orri"},{"family":"Arnardottir","given":"Steinunn"},{"family":"Sigurjonsdottir","given":"Helga Agusta"}],"issued":{"date-parts":[["2024",7,22]]},"citation-key":"matthiasdottirCushingsDiseaseMay2024"}},{"id":27019,"uris":["http://zotero.org/users/7317906/items/RTX3YT8D"],"itemData":{"id":27019,"type":"article-journal","abstract":"Overt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mandatory.","container-title":"Neuroendocrinology","DOI":"10.1159/000314297","ISSN":"0028-3835","issue":"Suppl. 1","journalAbbreviation":"Neuroendocrinology","page":"1-5","source":"Silverchair","title":"Epidemiology of Cushing’s Syndrome","volume":"92","author":[{"family":"Steffensen","given":"Charlotte"},{"family":"Bak","given":"Ann Mosegaard"},{"family":"Zøylner Rubeck","given":"Kristine"},{"family":"Jørgensen","given":"Jens Otto Lunde"}],"issued":{"date-parts":[["2010",9,10]]},"citation-key":"steffensenEpidemiologyCushingsSyndrome2010"}}],"schema":"https://github.com/citation-style-language/schema/raw/master/csl-citation.json"} </w:instrText>
      </w:r>
      <w:r w:rsidR="0084083C">
        <w:fldChar w:fldCharType="separate"/>
      </w:r>
      <w:r w:rsidR="00A46BC5">
        <w:rPr>
          <w:noProof/>
        </w:rPr>
        <w:t>(Alqeeq et al., 2024; Broder et al., 2015; Etxabe &amp; Vazquez, 1994; Matthiasdottir et al., 2024; Steffensen et al., 2010)</w:t>
      </w:r>
      <w:r w:rsidR="0084083C">
        <w:fldChar w:fldCharType="end"/>
      </w:r>
      <w:r w:rsidR="0084083C" w:rsidRPr="0084083C">
        <w:t>.  As expected we also observed</w:t>
      </w:r>
      <w:r w:rsidR="0084083C">
        <w:rPr>
          <w:rStyle w:val="CommentReference"/>
        </w:rPr>
        <w:t xml:space="preserve"> </w:t>
      </w:r>
      <w:r w:rsidR="00934570">
        <w:t>a higher body mass index for patients with Cushing’s disease (both p&lt;0.001).</w:t>
      </w:r>
      <w:r w:rsidR="00B019BA">
        <w:t xml:space="preserve">  </w:t>
      </w:r>
      <w:commentRangeStart w:id="5"/>
      <w:commentRangeStart w:id="6"/>
      <w:commentRangeStart w:id="7"/>
      <w:commentRangeStart w:id="8"/>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 Non-Hispanic White</w:t>
      </w:r>
      <w:r w:rsidR="007F5037">
        <w:t>, p</w:t>
      </w:r>
      <w:r w:rsidR="006970B2">
        <w:t>&lt;0.001</w:t>
      </w:r>
      <w:r w:rsidR="00AA272E">
        <w:t>).</w:t>
      </w:r>
      <w:r w:rsidR="001525EE">
        <w:t xml:space="preserve">  Correspondingly</w:t>
      </w:r>
      <w:r w:rsidR="00CD4531">
        <w:t>,</w:t>
      </w:r>
      <w:r w:rsidR="001525EE">
        <w:t xml:space="preserve"> participants with Cushing’s disease were less likely to identify as Asian </w:t>
      </w:r>
      <w:r w:rsidR="00CE6FC9">
        <w:t xml:space="preserve">(p&lt;0.001) </w:t>
      </w:r>
      <w:r w:rsidR="001525EE">
        <w:t>or Black</w:t>
      </w:r>
      <w:commentRangeEnd w:id="5"/>
      <w:r w:rsidR="00B87243">
        <w:rPr>
          <w:rStyle w:val="CommentReference"/>
          <w:sz w:val="24"/>
          <w:szCs w:val="24"/>
        </w:rPr>
        <w:commentReference w:id="5"/>
      </w:r>
      <w:commentRangeEnd w:id="6"/>
      <w:r w:rsidR="001F1825">
        <w:rPr>
          <w:rStyle w:val="CommentReference"/>
          <w:sz w:val="24"/>
          <w:szCs w:val="24"/>
        </w:rPr>
        <w:commentReference w:id="6"/>
      </w:r>
      <w:commentRangeEnd w:id="7"/>
      <w:r w:rsidR="00B623DA">
        <w:rPr>
          <w:rStyle w:val="CommentReference"/>
          <w:sz w:val="24"/>
          <w:szCs w:val="24"/>
        </w:rPr>
        <w:commentReference w:id="7"/>
      </w:r>
      <w:commentRangeEnd w:id="8"/>
      <w:r w:rsidR="004C5BA6">
        <w:rPr>
          <w:rStyle w:val="CommentReference"/>
          <w:sz w:val="24"/>
          <w:szCs w:val="24"/>
        </w:rPr>
        <w:commentReference w:id="8"/>
      </w:r>
      <w:r w:rsidR="00CE6FC9">
        <w:t xml:space="preserve"> (p=0.01</w:t>
      </w:r>
      <w:r w:rsidR="00E05798">
        <w:t>8</w:t>
      </w:r>
      <w:r w:rsidR="00CE6FC9">
        <w:t>)</w:t>
      </w:r>
      <w:r w:rsidR="001525EE">
        <w:t>.</w:t>
      </w:r>
      <w:r w:rsidR="00A46BC5">
        <w:t xml:space="preserve">  This is consistent with other reports on the prevalence of Cushing’s disease across racial groups </w:t>
      </w:r>
      <w:r w:rsidR="00A46BC5">
        <w:fldChar w:fldCharType="begin"/>
      </w:r>
      <w:r w:rsidR="00B623DA">
        <w:instrText xml:space="preserve"> ADDIN ZOTERO_ITEM CSL_CITATION {"citationID":"Zf5euBGy","properties":{"formattedCitation":"(Ioachimescu et al., 2022; Omotosho et al., 2024)","plainCitation":"(Ioachimescu et al., 2022; Omotosho et al., 2024)","noteIndex":0},"citationItems":[{"id":27032,"uris":["http://zotero.org/users/7317906/items/EVS87VVY"],"itemData":{"id":27032,"type":"article-journal","abstract":"Acromegaly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B623DA">
        <w:rPr>
          <w:rFonts w:ascii="Arial" w:hAnsi="Arial" w:cs="Arial"/>
        </w:rPr>
        <w:instrText> </w:instrText>
      </w:r>
      <w:r w:rsidR="00B623DA">
        <w:instrText>=</w:instrText>
      </w:r>
      <w:r w:rsidR="00B623DA">
        <w:rPr>
          <w:rFonts w:ascii="Arial" w:hAnsi="Arial" w:cs="Arial"/>
        </w:rPr>
        <w:instrText> </w:instrText>
      </w:r>
      <w:r w:rsidR="00B623DA">
        <w:instrText>124) vs 2010 US census data, and(2) presentation and postoperative outcomes in Black vs White for patients from the entire catchment area (N</w:instrText>
      </w:r>
      <w:r w:rsidR="00B623DA">
        <w:rPr>
          <w:rFonts w:ascii="Arial" w:hAnsi="Arial" w:cs="Arial"/>
        </w:rPr>
        <w:instrText> </w:instrText>
      </w:r>
      <w:r w:rsidR="00B623DA">
        <w:instrText>=</w:instrText>
      </w:r>
      <w:r w:rsidR="00B623DA">
        <w:rPr>
          <w:rFonts w:ascii="Arial" w:hAnsi="Arial" w:cs="Arial"/>
        </w:rPr>
        <w:instrText> </w:instrText>
      </w:r>
      <w:r w:rsidR="00B623DA">
        <w:instrText>241).For Metro area (32.4% Black population), Black patients represented 16.75% ACM (P</w:instrText>
      </w:r>
      <w:r w:rsidR="00B623DA">
        <w:rPr>
          <w:rFonts w:ascii="Arial" w:hAnsi="Arial" w:cs="Arial"/>
        </w:rPr>
        <w:instrText> </w:instrText>
      </w:r>
      <w:r w:rsidR="00B623DA">
        <w:instrText>=</w:instrText>
      </w:r>
      <w:r w:rsidR="00B623DA">
        <w:rPr>
          <w:rFonts w:ascii="Arial" w:hAnsi="Arial" w:cs="Arial"/>
        </w:rPr>
        <w:instrText> </w:instrText>
      </w:r>
      <w:r w:rsidR="00B623DA">
        <w:instrText>.006) and 29.2% CD (P</w:instrText>
      </w:r>
      <w:r w:rsidR="00B623DA">
        <w:rPr>
          <w:rFonts w:ascii="Arial" w:hAnsi="Arial" w:cs="Arial"/>
        </w:rPr>
        <w:instrText> </w:instrText>
      </w:r>
      <w:r w:rsidR="00B623DA">
        <w:instrText>=</w:instrText>
      </w:r>
      <w:r w:rsidR="00B623DA">
        <w:rPr>
          <w:rFonts w:ascii="Arial" w:hAnsi="Arial" w:cs="Arial"/>
        </w:rPr>
        <w:instrText> </w:instrText>
      </w:r>
      <w:r w:rsidR="00B623DA">
        <w:instrText>.56). Among the total 112 patients with ACM, presentations with headaches or incidentaloma were more common in Black patients (76.9% vs 31%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.01). Black patients had a higher prevalence of diabetes (54% vs 16%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.005), significantly lower insulin-like growth factor (IGF)-1 deviation from normal (P</w:instrText>
      </w:r>
      <w:r w:rsidR="00B623DA">
        <w:rPr>
          <w:rFonts w:ascii="Arial" w:hAnsi="Arial" w:cs="Arial"/>
        </w:rPr>
        <w:instrText> </w:instrText>
      </w:r>
      <w:r w:rsidR="00B623DA">
        <w:instrText>=</w:instrText>
      </w:r>
      <w:r w:rsidR="00B623DA">
        <w:rPr>
          <w:rFonts w:ascii="Arial" w:hAnsi="Arial" w:cs="Arial"/>
        </w:rPr>
        <w:instrText> </w:instrText>
      </w:r>
      <w:r w:rsidR="00B623DA">
        <w:instrText>.03) and borderline lower median growth hormone levels (P</w:instrText>
      </w:r>
      <w:r w:rsidR="00B623DA">
        <w:rPr>
          <w:rFonts w:ascii="Arial" w:hAnsi="Arial" w:cs="Arial"/>
        </w:rPr>
        <w:instrText> </w:instrText>
      </w:r>
      <w:r w:rsidR="00B623DA">
        <w:instrText>=</w:instrText>
      </w:r>
      <w:r w:rsidR="00B623DA">
        <w:rPr>
          <w:rFonts w:ascii="Arial" w:hAnsi="Arial" w:cs="Arial"/>
        </w:rPr>
        <w:instrText> </w:instrText>
      </w:r>
      <w:r w:rsidR="00B623DA">
        <w:instrText>.09). Mean tumor diameter and proportion of tumors with cavernous sinus invasion were similar. Three-month biochemical remission (46% Black, 55%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.76) and long-term IGF-1 control by multimodality therapy (92.3% Black, 80.5%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.45) were similar. Among the total 129 patients with CD, Black patients had more hypopituitarism (69% vs 45%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.04) and macroadenomas (33% vs 15%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.05). At 3 months, remission rate was borderline higher in White (92% vs 78% Black, P</w:instrText>
      </w:r>
      <w:r w:rsidR="00B623DA">
        <w:rPr>
          <w:rFonts w:ascii="Arial" w:hAnsi="Arial" w:cs="Arial"/>
        </w:rPr>
        <w:instrText> </w:instrText>
      </w:r>
      <w:r w:rsidR="00B623DA">
        <w:instrText>=</w:instrText>
      </w:r>
      <w:r w:rsidR="00B623DA">
        <w:rPr>
          <w:rFonts w:ascii="Arial" w:hAnsi="Arial" w:cs="Arial"/>
        </w:rPr>
        <w:instrText> </w:instrText>
      </w:r>
      <w:r w:rsidR="00B623DA">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Disease","volume":"6","author":[{"family":"Ioachimescu","given":"Adriana G"},{"family":"Goswami","given":"Neevedita"},{"family":"Handa","given":"Talin"},{"family":"Pappy","given":"Adlai"},{"family":"Veledar","given":"Emir"},{"family":"Oyesiku","given":"Nelson M"}],"issued":{"date-parts":[["2022",1,1]]},"citation-key":"ioachimescuRacialDisparitiesAcromegaly2022"}},{"id":27042,"uris":["http://zotero.org/users/7317906/items/H96MA6T6"],"itemData":{"id":27042,"type":"article-journal","abstract":"Y.B.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2024","container-title":"Journal of the Endocrine Society","DOI":"10.1210/jendso/bvae163.2408","ISSN":"2472-1972","issue":"Supplement_1","journalAbbreviation":"J. Endocr. Soc.","page":"bvae163.2408","source":"Silverchair","title":"MON-113 Racial Disparity in the Time to Diagnosis of Cushing’s Disease","volume":"8","author":[{"family":"Omotosho","given":"Y B"},{"family":"McGlotten","given":"R"},{"family":"Chittiboina","given":"P"},{"family":"Nieman","given":"L"}],"issued":{"date-parts":[["2024",10,1]]},"citation-key":"omotoshoMON113RacialDisparity2024"}}],"schema":"https://github.com/citation-style-language/schema/raw/master/csl-citation.json"} </w:instrText>
      </w:r>
      <w:r w:rsidR="00A46BC5">
        <w:fldChar w:fldCharType="separate"/>
      </w:r>
      <w:r w:rsidR="00B623DA">
        <w:rPr>
          <w:noProof/>
        </w:rPr>
        <w:t>(Ioachimescu et al., 2022; Omotosho et al., 2024)</w:t>
      </w:r>
      <w:r w:rsidR="00A46BC5">
        <w:fldChar w:fldCharType="end"/>
      </w:r>
      <w:r w:rsidR="00B623DA">
        <w:t>.</w:t>
      </w:r>
    </w:p>
    <w:p w14:paraId="4576A7FB" w14:textId="11103215" w:rsidR="008132DA" w:rsidRDefault="00B332B4" w:rsidP="00B15E61">
      <w:r>
        <w:t>As we expected, participants with Cushing’s disease had a higher BMI than the controls</w:t>
      </w:r>
      <w:r w:rsidR="00CB1C77">
        <w:t>, with 64% of participants with Cushing’s disease having a BMI above 30 kg/m</w:t>
      </w:r>
      <w:r w:rsidR="00CB1C77" w:rsidRPr="00CB1C77">
        <w:rPr>
          <w:vertAlign w:val="superscript"/>
        </w:rPr>
        <w:t>2</w:t>
      </w:r>
      <w:r w:rsidR="00803FF2">
        <w:t xml:space="preserve">, compared to </w:t>
      </w:r>
      <w:r w:rsidR="00274AF9">
        <w:t>40</w:t>
      </w:r>
      <w:r w:rsidR="00803FF2">
        <w:t>% controls (p&lt;0.001).</w:t>
      </w:r>
      <w:r>
        <w:t xml:space="preserve">  </w:t>
      </w:r>
      <w:r w:rsidR="00AD6AAA">
        <w:t xml:space="preserve">To understand the </w:t>
      </w:r>
      <w:r>
        <w:t xml:space="preserve">cross-sectional </w:t>
      </w:r>
      <w:r w:rsidR="00AD6AAA">
        <w:t>relationship between obesity and Cushing’s disease, we</w:t>
      </w:r>
      <w:r w:rsidR="008132DA">
        <w:t xml:space="preserve">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As shown in Table 2, and as expected given our stratification, the four groups differed in several characteristics</w:t>
      </w:r>
      <w:r w:rsidR="004E7691">
        <w:t xml:space="preserve">, </w:t>
      </w:r>
      <w:r w:rsidR="00CC3CD9">
        <w:t>which</w:t>
      </w:r>
      <w:r w:rsidR="004E7691">
        <w:t xml:space="preserve"> will be adjusted for in multivariable models below</w:t>
      </w:r>
      <w:r w:rsidR="00733E55">
        <w:t>.</w:t>
      </w:r>
      <w:r w:rsidR="00CC3CD9">
        <w:t xml:space="preserve">  For example, among</w:t>
      </w:r>
      <w:r w:rsidR="00000C79">
        <w:t xml:space="preserve"> the subgroup of</w:t>
      </w:r>
      <w:r w:rsidR="00CC3CD9">
        <w:t xml:space="preserve"> participants with a BMI &gt; 30 mg/m</w:t>
      </w:r>
      <w:r w:rsidR="00CC3CD9" w:rsidRPr="00CC3CD9">
        <w:rPr>
          <w:vertAlign w:val="superscript"/>
        </w:rPr>
        <w:t>2</w:t>
      </w:r>
      <w:r w:rsidR="00CC3CD9">
        <w:t>, participants with Cushing’s disease had a higher BMI than controls</w:t>
      </w:r>
      <w:r w:rsidR="00693DE3">
        <w:t xml:space="preserve"> (p=0.0024 by a Mann-Whitney test)</w:t>
      </w:r>
      <w:r w:rsidR="00CC3CD9">
        <w:t xml:space="preserve">.  </w:t>
      </w:r>
      <w:r w:rsidR="00AD3DB0" w:rsidRPr="00AD3DB0">
        <w:t>Females with Cushing’s disease were more likely to have a BMI over 30 kg/m</w:t>
      </w:r>
      <w:r w:rsidR="00AD3DB0" w:rsidRPr="00AD3DB0">
        <w:rPr>
          <w:vertAlign w:val="superscript"/>
        </w:rPr>
        <w:t>2</w:t>
      </w:r>
      <w:r w:rsidR="00AD3DB0">
        <w:t xml:space="preserve"> (68% </w:t>
      </w:r>
      <w:r w:rsidR="00AD3DB0" w:rsidRPr="00AD3DB0">
        <w:t xml:space="preserve">of </w:t>
      </w:r>
      <w:r w:rsidR="00AD3DB0">
        <w:t xml:space="preserve">females </w:t>
      </w:r>
      <w:r w:rsidR="00225091">
        <w:t>compared to</w:t>
      </w:r>
      <w:r w:rsidR="00AD3DB0">
        <w:t xml:space="preserve"> 51% of males with Cushing’s disease, p=0.015).  </w:t>
      </w:r>
      <w:r w:rsidR="00307DE8">
        <w:t>Among participants with Cushing’s disease, Asian (6</w:t>
      </w:r>
      <w:r w:rsidR="00BF3E45">
        <w:t xml:space="preserve"> out of </w:t>
      </w:r>
      <w:r w:rsidR="00307DE8">
        <w:t xml:space="preserve">10) and Hispanic or Latino </w:t>
      </w:r>
      <w:r w:rsidR="00B822C5">
        <w:t>(6</w:t>
      </w:r>
      <w:r w:rsidR="00BF3E45">
        <w:t xml:space="preserve"> out of </w:t>
      </w:r>
      <w:r w:rsidR="00B822C5">
        <w:t xml:space="preserve">8) </w:t>
      </w:r>
      <w:r w:rsidR="00307DE8">
        <w:t>participants were more likely have a BMI under 30 kg/m</w:t>
      </w:r>
      <w:r w:rsidR="00307DE8">
        <w:rPr>
          <w:vertAlign w:val="superscript"/>
        </w:rPr>
        <w:t xml:space="preserve">2 </w:t>
      </w:r>
      <w:r w:rsidR="00307DE8">
        <w:t xml:space="preserve">compared to </w:t>
      </w:r>
      <w:r w:rsidR="00B822C5">
        <w:t xml:space="preserve">the overall average </w:t>
      </w:r>
      <w:r w:rsidR="00307DE8">
        <w:t>(</w:t>
      </w:r>
      <w:r w:rsidR="00B822C5">
        <w:t>36%</w:t>
      </w:r>
      <w:r w:rsidR="00C24F2C">
        <w:t>, p=0.027 and 0.176 respectively via Fisher’s exact test</w:t>
      </w:r>
      <w:r w:rsidR="00700188">
        <w:t>s</w:t>
      </w:r>
      <w:r w:rsidR="00307DE8">
        <w:t xml:space="preserve">).  </w:t>
      </w:r>
      <w:r w:rsidR="000C5590">
        <w:t>The</w:t>
      </w:r>
      <w:r w:rsidR="00CC3CD9">
        <w:t xml:space="preserve"> average age of </w:t>
      </w:r>
      <w:r w:rsidR="00927FED">
        <w:t xml:space="preserve">participants with </w:t>
      </w:r>
      <w:r w:rsidR="00CC3CD9">
        <w:t>Cushing’s</w:t>
      </w:r>
      <w:r w:rsidR="00927FED">
        <w:t xml:space="preserve"> disease</w:t>
      </w:r>
      <w:r w:rsidR="00CC3CD9">
        <w:t xml:space="preserve"> with or without obesity was similar</w:t>
      </w:r>
      <w:r w:rsidR="0015020F">
        <w:t xml:space="preserve"> after stratification</w:t>
      </w:r>
      <w:r w:rsidR="00CC3CD9">
        <w:t>.</w:t>
      </w:r>
    </w:p>
    <w:p w14:paraId="57E74E91" w14:textId="30A15CD5" w:rsidR="00EB133A" w:rsidRDefault="00F455CD" w:rsidP="00EB133A">
      <w:pPr>
        <w:pStyle w:val="NormalWeb"/>
        <w:rPr>
          <w:rStyle w:val="Heading2Char"/>
        </w:rPr>
      </w:pPr>
      <w:r>
        <w:rPr>
          <w:rStyle w:val="Heading2Char"/>
        </w:rPr>
        <w:t>Modification of Cushing’s disease-related traits by obesity status</w:t>
      </w:r>
    </w:p>
    <w:p w14:paraId="262B7255" w14:textId="397315CB" w:rsidR="00F455CD" w:rsidRDefault="00F455CD" w:rsidP="00161005">
      <w:r>
        <w:t>To identify how obesity alters metabolic outcomes related to Cushing’s disease, we evaluated the effects of Cushing’s disease on several key metabolic variables including glycemica (fasting glucose and HbA1c), liver enzymes, LDL-C and blood pressure (Figure 2 and Table 3A).  As described below we noted substantial effect modification by obesity status in these fully adjusted models for liver enzymes and blood pressure (Table 3B).</w:t>
      </w:r>
    </w:p>
    <w:p w14:paraId="02781A25" w14:textId="77777777" w:rsidR="00717EE5" w:rsidRDefault="00717EE5" w:rsidP="00547E80">
      <w:pPr>
        <w:pStyle w:val="Heading3"/>
      </w:pPr>
      <w:commentRangeStart w:id="9"/>
      <w:commentRangeStart w:id="10"/>
      <w:r>
        <w:lastRenderedPageBreak/>
        <w:t>Dysglycemia</w:t>
      </w:r>
    </w:p>
    <w:p w14:paraId="6B1BCFC7" w14:textId="6F36A7FB" w:rsidR="00794C81" w:rsidRPr="00794C81" w:rsidRDefault="00794C81" w:rsidP="004C5BA6">
      <w:r>
        <w:t>As aforementioned, our first metabolic variable of interest was the fasting glucose levels of our obese and non-obese populations. As shown in Table 3a, we observed a</w:t>
      </w:r>
      <w:r w:rsidR="00C75CF8">
        <w:t xml:space="preserve"> significant </w:t>
      </w:r>
      <w:r>
        <w:t xml:space="preserve">increase in </w:t>
      </w:r>
      <w:r w:rsidR="004C5BA6">
        <w:t xml:space="preserve">fasting </w:t>
      </w:r>
      <w:r>
        <w:t xml:space="preserve">blood glucose levels </w:t>
      </w:r>
      <w:r w:rsidR="00C75CF8">
        <w:t xml:space="preserve">among </w:t>
      </w:r>
      <w:r w:rsidR="004C5BA6">
        <w:t>participants</w:t>
      </w:r>
      <w:r w:rsidR="00C75CF8">
        <w:t xml:space="preserve"> with Cushing’s disease, regardless of </w:t>
      </w:r>
      <w:commentRangeStart w:id="11"/>
      <w:r w:rsidR="00C75CF8">
        <w:t>obesity status</w:t>
      </w:r>
      <w:r w:rsidR="00514AC5">
        <w:t xml:space="preserve"> (p</w:t>
      </w:r>
      <w:r w:rsidR="00995BC6">
        <w:t>&lt;0.01</w:t>
      </w:r>
      <w:r w:rsidR="00514AC5">
        <w:t xml:space="preserve">, </w:t>
      </w:r>
      <w:r w:rsidR="00995BC6">
        <w:t>&lt;0.01</w:t>
      </w:r>
      <w:r w:rsidR="00514AC5">
        <w:t>)</w:t>
      </w:r>
      <w:r w:rsidR="00C75CF8">
        <w:t xml:space="preserve">. </w:t>
      </w:r>
      <w:commentRangeEnd w:id="11"/>
      <w:r w:rsidR="00547E80">
        <w:rPr>
          <w:rStyle w:val="CommentReference"/>
          <w:sz w:val="24"/>
          <w:szCs w:val="24"/>
        </w:rPr>
        <w:commentReference w:id="11"/>
      </w:r>
      <w:r w:rsidR="00C75CF8">
        <w:t>The non-obese population had a slightly larger increase (26.95 vs. 26.18) than the obese population, but this was not a large enough difference to provide any significant evidence of an effect modification for obesity. Also in Table 3a, our collected HbA1c data indicated a</w:t>
      </w:r>
      <w:r w:rsidR="00514AC5">
        <w:t xml:space="preserve"> slightly insignificant increase in HbA1c levels between the non-obese, and the non-obese with Cushing’s population (p=0.056). However, there was evidence of a significant increase in HbA1c levels of our obese, and obese with Cushing’s population (p</w:t>
      </w:r>
      <w:r w:rsidR="00995BC6">
        <w:t>&lt;0.01</w:t>
      </w:r>
      <w:r w:rsidR="00514AC5">
        <w:t>). This leads us to believe that there is evidence for obesity being a positive modifier in patients with Cushing’s disease****.</w:t>
      </w:r>
    </w:p>
    <w:p w14:paraId="561F3983" w14:textId="28E16CE8" w:rsidR="00F455CD" w:rsidRDefault="00F455CD" w:rsidP="00547E80">
      <w:pPr>
        <w:pStyle w:val="Heading3"/>
      </w:pPr>
      <w:r>
        <w:t>MASLD and liver enzymes</w:t>
      </w:r>
    </w:p>
    <w:p w14:paraId="0C7D6550" w14:textId="0DAC032B" w:rsidR="00C75CF8" w:rsidRPr="00547E80" w:rsidRDefault="003868BC" w:rsidP="00547E80">
      <w:r>
        <w:t xml:space="preserve">To </w:t>
      </w:r>
      <w:r w:rsidR="00547E80">
        <w:t>assess</w:t>
      </w:r>
      <w:r>
        <w:t xml:space="preserve"> </w:t>
      </w:r>
      <w:r w:rsidR="00547E80">
        <w:t>MASLD</w:t>
      </w:r>
      <w:r>
        <w:t xml:space="preserve"> we looked at </w:t>
      </w:r>
      <w:commentRangeStart w:id="12"/>
      <w:r>
        <w:t xml:space="preserve">ALT </w:t>
      </w:r>
      <w:commentRangeEnd w:id="12"/>
      <w:r w:rsidR="00547E80">
        <w:rPr>
          <w:rStyle w:val="CommentReference"/>
          <w:sz w:val="24"/>
          <w:szCs w:val="24"/>
        </w:rPr>
        <w:commentReference w:id="12"/>
      </w:r>
      <w:r>
        <w:t>test results for our population. In both our obese, and non-obese populations, we saw an increase in ALT levels regardless of Cushing’s disease status</w:t>
      </w:r>
      <w:r w:rsidR="00547E80">
        <w:t xml:space="preserve"> </w:t>
      </w:r>
      <w:commentRangeStart w:id="13"/>
      <w:r>
        <w:t>(p</w:t>
      </w:r>
      <w:r w:rsidR="00995BC6">
        <w:t>&lt;0.01</w:t>
      </w:r>
      <w:r>
        <w:t xml:space="preserve">, </w:t>
      </w:r>
      <w:r w:rsidR="00995BC6">
        <w:t>&lt;0.01</w:t>
      </w:r>
      <w:r>
        <w:t xml:space="preserve">). </w:t>
      </w:r>
      <w:commentRangeEnd w:id="13"/>
      <w:r w:rsidR="00547E80">
        <w:rPr>
          <w:rStyle w:val="CommentReference"/>
          <w:sz w:val="24"/>
          <w:szCs w:val="24"/>
        </w:rPr>
        <w:commentReference w:id="13"/>
      </w:r>
      <w:r>
        <w:t>However, the increase in the obese population’s control group and Cushing’s patient population was far greater than the non-obese group’s increase (33.07 vs. 69.23). This suggests that obesity could have a positive effect modification on ALT levels.</w:t>
      </w:r>
    </w:p>
    <w:p w14:paraId="2AA90CE4" w14:textId="77777777" w:rsidR="00547E80" w:rsidRDefault="00547E80" w:rsidP="00547E80">
      <w:pPr>
        <w:pStyle w:val="Heading3"/>
      </w:pPr>
      <w:commentRangeStart w:id="14"/>
      <w:r>
        <w:t>Dyslipidemia</w:t>
      </w:r>
      <w:r w:rsidR="00A6487A">
        <w:t xml:space="preserve"> </w:t>
      </w:r>
      <w:commentRangeEnd w:id="14"/>
      <w:r>
        <w:rPr>
          <w:rStyle w:val="CommentReference"/>
          <w:sz w:val="28"/>
          <w:szCs w:val="28"/>
        </w:rPr>
        <w:commentReference w:id="14"/>
      </w:r>
    </w:p>
    <w:p w14:paraId="56C4A3E0" w14:textId="52B74E6E" w:rsidR="003868BC" w:rsidRPr="00A6487A" w:rsidRDefault="00547E80" w:rsidP="00EB133A">
      <w:pPr>
        <w:pStyle w:val="NormalWeb"/>
      </w:pPr>
      <w:r>
        <w:t>L</w:t>
      </w:r>
      <w:r w:rsidR="00A6487A">
        <w:t xml:space="preserve"> Only a small number of participants with Cushing’s disease had LDL-C records within 30 days prior to treatment.</w:t>
      </w:r>
      <w:r w:rsidR="003868BC">
        <w:t xml:space="preserve"> With this in mind, we did not observe any significant increase or decrease in LDL levels between our control and Cushing’s population, regardless of obesity status. This gives us no evidence of obesity being a modifier for Cushing’s disease patients.</w:t>
      </w:r>
    </w:p>
    <w:p w14:paraId="26DFC1F7" w14:textId="377F7EFB" w:rsidR="00F455CD" w:rsidRDefault="00F455CD" w:rsidP="00547E80">
      <w:pPr>
        <w:pStyle w:val="Heading3"/>
      </w:pPr>
      <w:r>
        <w:t>Blood Pressure</w:t>
      </w:r>
      <w:commentRangeEnd w:id="9"/>
      <w:r w:rsidR="002E0B3A">
        <w:rPr>
          <w:rStyle w:val="CommentReference"/>
          <w:sz w:val="28"/>
          <w:szCs w:val="28"/>
        </w:rPr>
        <w:commentReference w:id="9"/>
      </w:r>
      <w:commentRangeEnd w:id="10"/>
      <w:r w:rsidR="00A250E3">
        <w:rPr>
          <w:rStyle w:val="CommentReference"/>
          <w:sz w:val="28"/>
          <w:szCs w:val="28"/>
        </w:rPr>
        <w:commentReference w:id="10"/>
      </w:r>
    </w:p>
    <w:p w14:paraId="50829F1A" w14:textId="2FD8F4D3" w:rsidR="003868BC" w:rsidRPr="00F455CD" w:rsidRDefault="00A250E3" w:rsidP="00547E80">
      <w:r>
        <w:t xml:space="preserve">We </w:t>
      </w:r>
      <w:r w:rsidR="00547E80">
        <w:t xml:space="preserve">parameterized blood pressure readings as systolic, diastolic and mean arterial pressure </w:t>
      </w:r>
      <w:r>
        <w:t xml:space="preserve"> (Table 3A). In our data regarding the mean arteriole pressure, we did see a significant increase in our non-obese population between the patients with and without Cushing’s disease (p=0.010). We did not, however, </w:t>
      </w:r>
      <w:r w:rsidR="00547E80">
        <w:t>observe</w:t>
      </w:r>
      <w:r>
        <w:t xml:space="preserve"> this same significant increase in the obese population (p=0.072). We saw this same relationship in our diastolic blood measurement, with a significant increase in the non-obese population, but not a significant increase in the obese population (p</w:t>
      </w:r>
      <w:r w:rsidR="00995BC6">
        <w:t>&lt;0.01</w:t>
      </w:r>
      <w:r>
        <w:t xml:space="preserve">, </w:t>
      </w:r>
      <w:r w:rsidR="00995BC6">
        <w:t>&lt;0.01</w:t>
      </w:r>
      <w:r>
        <w:t>). This pattern changed in our recorded measurements for systolic blood pressure. In this metric, we saw a significant increase in both the non-obese and obese populations between the control and Cushing’s patient populations (p</w:t>
      </w:r>
      <w:r w:rsidR="00995BC6">
        <w:t>&lt;0.01</w:t>
      </w:r>
      <w:r>
        <w:t xml:space="preserve">, </w:t>
      </w:r>
      <w:r w:rsidR="00995BC6">
        <w:t>&lt;0.01</w:t>
      </w:r>
      <w:r>
        <w:t xml:space="preserve">). This increase was much larger in the non-obese population </w:t>
      </w:r>
      <w:r>
        <w:lastRenderedPageBreak/>
        <w:t>(10.88 vs. 4.50), which suggests that obesity could be a negative effect modifier in regards to systolic blood pressure.</w:t>
      </w:r>
    </w:p>
    <w:p w14:paraId="5FBE0530" w14:textId="06123D21" w:rsidR="00EB133A" w:rsidRDefault="00EB133A" w:rsidP="00EB133A">
      <w:pPr>
        <w:pStyle w:val="NormalWeb"/>
        <w:numPr>
          <w:ilvl w:val="0"/>
          <w:numId w:val="3"/>
        </w:numPr>
      </w:pPr>
      <w:r>
        <w:t>Refer to Table 3</w:t>
      </w:r>
      <w:r w:rsidR="008F51CB">
        <w:t>A/B</w:t>
      </w:r>
      <w:r>
        <w:t xml:space="preserve"> and Figure </w:t>
      </w:r>
      <w:r w:rsidR="008F51CB">
        <w:t>2</w:t>
      </w:r>
      <w:r w:rsidR="002E219B">
        <w:t xml:space="preserve"> and 3 (not done yet)</w:t>
      </w:r>
      <w:r>
        <w:t>.</w:t>
      </w:r>
    </w:p>
    <w:p w14:paraId="2505785D" w14:textId="0B94B029" w:rsidR="00EB133A" w:rsidRDefault="00EB133A" w:rsidP="00EB133A">
      <w:pPr>
        <w:pStyle w:val="NormalWeb"/>
      </w:pPr>
      <w:r w:rsidRPr="00EB133A">
        <w:rPr>
          <w:rStyle w:val="Heading2Char"/>
        </w:rPr>
        <w:t>Sensitivity and secondary analyses</w:t>
      </w:r>
    </w:p>
    <w:p w14:paraId="4F7724D9" w14:textId="6555D82E" w:rsidR="002E219B" w:rsidRDefault="002E219B" w:rsidP="00EB133A">
      <w:pPr>
        <w:pStyle w:val="NormalWeb"/>
        <w:numPr>
          <w:ilvl w:val="0"/>
          <w:numId w:val="5"/>
        </w:numPr>
      </w:pPr>
      <w:r>
        <w:t>Not done yet</w:t>
      </w:r>
    </w:p>
    <w:p w14:paraId="5DE75FD3" w14:textId="04BFDC68" w:rsidR="00EB133A" w:rsidRDefault="00EB133A" w:rsidP="00EB133A">
      <w:pPr>
        <w:pStyle w:val="NormalWeb"/>
        <w:numPr>
          <w:ilvl w:val="0"/>
          <w:numId w:val="5"/>
        </w:numPr>
      </w:pPr>
      <w:r>
        <w:t>Refer to Table 4 and supplemental figures/tables.</w:t>
      </w:r>
    </w:p>
    <w:p w14:paraId="43F6897E" w14:textId="20145D5D" w:rsidR="004B0142" w:rsidRDefault="004B0142" w:rsidP="00EB133A">
      <w:pPr>
        <w:pStyle w:val="NormalWeb"/>
        <w:numPr>
          <w:ilvl w:val="0"/>
          <w:numId w:val="5"/>
        </w:numPr>
      </w:pPr>
      <w:r>
        <w:t>Full model propensity mapping</w:t>
      </w:r>
    </w:p>
    <w:p w14:paraId="09B8670F" w14:textId="4C0F69D0" w:rsidR="00552455" w:rsidRDefault="00552455" w:rsidP="00EB133A">
      <w:pPr>
        <w:pStyle w:val="NormalWeb"/>
        <w:numPr>
          <w:ilvl w:val="0"/>
          <w:numId w:val="5"/>
        </w:numPr>
      </w:pPr>
      <w:r>
        <w:t>No covariates</w:t>
      </w:r>
    </w:p>
    <w:p w14:paraId="51C13DB4" w14:textId="7EF5F95D" w:rsidR="002D6593" w:rsidRDefault="002D6593" w:rsidP="00EB133A">
      <w:pPr>
        <w:pStyle w:val="NormalWeb"/>
        <w:numPr>
          <w:ilvl w:val="0"/>
          <w:numId w:val="5"/>
        </w:numPr>
      </w:pPr>
      <w:r>
        <w:t>BMI instead of Obesity, ns(BMI, df=3) instead of Obesity</w:t>
      </w:r>
    </w:p>
    <w:p w14:paraId="42FF89E9" w14:textId="1D04F0BD" w:rsidR="004A06E2" w:rsidRDefault="004A06E2" w:rsidP="00EB133A">
      <w:pPr>
        <w:pStyle w:val="NormalWeb"/>
        <w:numPr>
          <w:ilvl w:val="0"/>
          <w:numId w:val="5"/>
        </w:numPr>
      </w:pPr>
      <w:r>
        <w:t>Cushings x Sex</w:t>
      </w:r>
    </w:p>
    <w:p w14:paraId="0F5D9DD6" w14:textId="337FCC66" w:rsidR="004A06E2" w:rsidRDefault="004A06E2" w:rsidP="00EB133A">
      <w:pPr>
        <w:pStyle w:val="NormalWeb"/>
        <w:numPr>
          <w:ilvl w:val="0"/>
          <w:numId w:val="5"/>
        </w:numPr>
      </w:pPr>
      <w:r>
        <w:t>Different matching ratios</w:t>
      </w:r>
    </w:p>
    <w:p w14:paraId="6FDF5E5A" w14:textId="127FE382" w:rsidR="00552455" w:rsidRDefault="00552455" w:rsidP="00EB133A">
      <w:pPr>
        <w:pStyle w:val="NormalWeb"/>
        <w:numPr>
          <w:ilvl w:val="0"/>
          <w:numId w:val="5"/>
        </w:numPr>
      </w:pPr>
      <w:r>
        <w:t>IPTW</w:t>
      </w:r>
    </w:p>
    <w:p w14:paraId="7A0DC80F" w14:textId="4FED67FE" w:rsidR="005D57A7" w:rsidRDefault="005D57A7" w:rsidP="00EB133A">
      <w:pPr>
        <w:pStyle w:val="Heading1"/>
      </w:pPr>
      <w:r>
        <w:t>Discussion</w:t>
      </w:r>
    </w:p>
    <w:p w14:paraId="64033048" w14:textId="77777777" w:rsidR="0084083C" w:rsidRDefault="0084083C" w:rsidP="0084083C">
      <w:pPr>
        <w:pStyle w:val="ListParagraph"/>
      </w:pPr>
    </w:p>
    <w:p w14:paraId="64AD0067" w14:textId="71019021" w:rsidR="005D57A7" w:rsidRDefault="005D57A7" w:rsidP="005D57A7">
      <w:pPr>
        <w:pStyle w:val="ListParagraph"/>
        <w:numPr>
          <w:ilvl w:val="0"/>
          <w:numId w:val="6"/>
        </w:numPr>
      </w:pPr>
      <w:r>
        <w:t>Consistency with prior studies on ALT/AST and blood glucose</w:t>
      </w:r>
    </w:p>
    <w:p w14:paraId="6D88CB01" w14:textId="71246078" w:rsidR="005D57A7" w:rsidRDefault="005D57A7" w:rsidP="005D57A7">
      <w:pPr>
        <w:pStyle w:val="ListParagraph"/>
        <w:numPr>
          <w:ilvl w:val="0"/>
          <w:numId w:val="6"/>
        </w:numPr>
      </w:pPr>
      <w:r>
        <w:t>Why is blood pressure protective (is this true of general analyses)</w:t>
      </w:r>
    </w:p>
    <w:p w14:paraId="44A12D8F" w14:textId="6DBF5D42" w:rsidR="001A5301" w:rsidRDefault="001A5301" w:rsidP="005D57A7">
      <w:pPr>
        <w:pStyle w:val="ListParagraph"/>
        <w:numPr>
          <w:ilvl w:val="0"/>
          <w:numId w:val="6"/>
        </w:numPr>
      </w:pPr>
      <w:r>
        <w:t>Gender difference is interesting – increasing fivefold (probably something biological and not a social aspect of doctor frequency)</w:t>
      </w:r>
    </w:p>
    <w:p w14:paraId="6A6DD923" w14:textId="5DDB585D" w:rsidR="00547E80" w:rsidRDefault="00547E80" w:rsidP="005D57A7">
      <w:pPr>
        <w:pStyle w:val="ListParagraph"/>
        <w:numPr>
          <w:ilvl w:val="0"/>
          <w:numId w:val="6"/>
        </w:numPr>
      </w:pPr>
      <w:r>
        <w:t>Race could be under-diagnosis (given previous papers of time to treatment)</w:t>
      </w:r>
    </w:p>
    <w:p w14:paraId="2CAD0053" w14:textId="4478397D" w:rsidR="001A5301" w:rsidRDefault="008255C6" w:rsidP="005D57A7">
      <w:pPr>
        <w:pStyle w:val="ListParagraph"/>
        <w:numPr>
          <w:ilvl w:val="0"/>
          <w:numId w:val="6"/>
        </w:numPr>
      </w:pPr>
      <w:r>
        <w:t>Control population has more recent labs</w:t>
      </w:r>
    </w:p>
    <w:p w14:paraId="2F3BC10A" w14:textId="621FFE69" w:rsidR="008255C6" w:rsidRDefault="004B6782" w:rsidP="005D57A7">
      <w:pPr>
        <w:pStyle w:val="ListParagraph"/>
        <w:numPr>
          <w:ilvl w:val="0"/>
          <w:numId w:val="6"/>
        </w:numPr>
      </w:pPr>
      <w:r>
        <w:t>BMI Higher in cushings case</w:t>
      </w:r>
    </w:p>
    <w:p w14:paraId="600F076F" w14:textId="77971886" w:rsidR="004B6782" w:rsidRDefault="00B442E2" w:rsidP="005D57A7">
      <w:pPr>
        <w:pStyle w:val="ListParagraph"/>
        <w:numPr>
          <w:ilvl w:val="0"/>
          <w:numId w:val="6"/>
        </w:numPr>
      </w:pPr>
      <w:r>
        <w:t>Limitations:</w:t>
      </w:r>
    </w:p>
    <w:p w14:paraId="38489A13" w14:textId="5352F233" w:rsidR="00B442E2" w:rsidRDefault="00B442E2" w:rsidP="00B442E2">
      <w:pPr>
        <w:pStyle w:val="ListParagraph"/>
        <w:numPr>
          <w:ilvl w:val="1"/>
          <w:numId w:val="6"/>
        </w:numPr>
      </w:pPr>
      <w:r>
        <w:t>Lost a seemingly large amount of people in the patient selection process between diagnoses, and treatments.</w:t>
      </w:r>
    </w:p>
    <w:p w14:paraId="46610DFB" w14:textId="0F23577B" w:rsidR="00B442E2" w:rsidRDefault="00B442E2" w:rsidP="00B442E2">
      <w:pPr>
        <w:pStyle w:val="ListParagraph"/>
        <w:numPr>
          <w:ilvl w:val="1"/>
          <w:numId w:val="6"/>
        </w:numPr>
      </w:pPr>
      <w:r>
        <w:t>Possibly disproportionate number of white patients in our population, fewer patients from other ethic/racial backgrounds.</w:t>
      </w:r>
    </w:p>
    <w:p w14:paraId="0FEE6F11" w14:textId="14106388" w:rsidR="00B442E2" w:rsidRDefault="00B442E2" w:rsidP="00B442E2">
      <w:pPr>
        <w:pStyle w:val="ListParagraph"/>
        <w:numPr>
          <w:ilvl w:val="1"/>
          <w:numId w:val="6"/>
        </w:numPr>
      </w:pPr>
      <w:r>
        <w:t>**When selecting our control groups, we could only pull from ~5 years ago due to DataDirect only being able to pull 100k people at one time.</w:t>
      </w:r>
    </w:p>
    <w:p w14:paraId="63C73B69" w14:textId="416D60C7" w:rsidR="00B442E2" w:rsidRDefault="00B442E2" w:rsidP="00B442E2">
      <w:pPr>
        <w:pStyle w:val="ListParagraph"/>
        <w:numPr>
          <w:ilvl w:val="1"/>
          <w:numId w:val="6"/>
        </w:numPr>
      </w:pPr>
      <w:r>
        <w:t>Relatively small n value for some lab results such as LDL cholesterol, osteoporosis (although we probably just will not use any of that data in our final paper anyways)</w:t>
      </w:r>
    </w:p>
    <w:p w14:paraId="19AA1532" w14:textId="731B5160" w:rsidR="00EB133A" w:rsidRDefault="00AB7571" w:rsidP="00EB133A">
      <w:pPr>
        <w:pStyle w:val="Heading1"/>
      </w:pPr>
      <w:r>
        <w:lastRenderedPageBreak/>
        <w:t>References</w:t>
      </w:r>
    </w:p>
    <w:p w14:paraId="3CC2FCB8" w14:textId="77777777" w:rsidR="00B623DA" w:rsidRPr="00B623DA" w:rsidRDefault="00AB7571" w:rsidP="00B623DA">
      <w:pPr>
        <w:pStyle w:val="Bibliography"/>
        <w:rPr>
          <w:rFonts w:ascii="Aptos"/>
        </w:rPr>
      </w:pPr>
      <w:r>
        <w:fldChar w:fldCharType="begin"/>
      </w:r>
      <w:r>
        <w:instrText xml:space="preserve"> ADDIN ZOTERO_BIBL {"uncited":[],"omitted":[],"custom":[]} CSL_BIBLIOGRAPHY </w:instrText>
      </w:r>
      <w:r>
        <w:fldChar w:fldCharType="separate"/>
      </w:r>
      <w:r w:rsidR="00B623DA" w:rsidRPr="00B623DA">
        <w:rPr>
          <w:rFonts w:ascii="Aptos"/>
        </w:rPr>
        <w:t xml:space="preserve">Alqeeq, B. F., Ayyad, M., Almadhoun, W. J., Aboabdo, M., Aldahdouh, M. S., Al-Tawil, M., &amp; Al-Ghazali, A. M. (2024). Sex-related differences in Cushing’s disease: A systematic review and meta-analysis. </w:t>
      </w:r>
      <w:r w:rsidR="00B623DA" w:rsidRPr="00B623DA">
        <w:rPr>
          <w:rFonts w:ascii="Aptos"/>
          <w:i/>
          <w:iCs/>
        </w:rPr>
        <w:t>Annals of Saudi Medicine</w:t>
      </w:r>
      <w:r w:rsidR="00B623DA" w:rsidRPr="00B623DA">
        <w:rPr>
          <w:rFonts w:ascii="Aptos"/>
        </w:rPr>
        <w:t xml:space="preserve">, </w:t>
      </w:r>
      <w:r w:rsidR="00B623DA" w:rsidRPr="00B623DA">
        <w:rPr>
          <w:rFonts w:ascii="Aptos"/>
          <w:i/>
          <w:iCs/>
        </w:rPr>
        <w:t>44</w:t>
      </w:r>
      <w:r w:rsidR="00B623DA" w:rsidRPr="00B623DA">
        <w:rPr>
          <w:rFonts w:ascii="Aptos"/>
        </w:rPr>
        <w:t>(1), 55–65. https://doi.org/10.5144/0256-4947.2024.55</w:t>
      </w:r>
    </w:p>
    <w:p w14:paraId="1F6604F9" w14:textId="77777777" w:rsidR="00B623DA" w:rsidRPr="00B623DA" w:rsidRDefault="00B623DA" w:rsidP="00B623DA">
      <w:pPr>
        <w:pStyle w:val="Bibliography"/>
        <w:rPr>
          <w:rFonts w:ascii="Aptos"/>
        </w:rPr>
      </w:pPr>
      <w:r w:rsidRPr="00B623DA">
        <w:rPr>
          <w:rFonts w:ascii="Aptos"/>
        </w:rPr>
        <w:t xml:space="preserve">Broder, M. S., Neary, M. P., Chang, E., Cherepanov, D., &amp; Ludlam, W. H. (2015). Incidence of Cushing’s syndrome and Cushing’s disease in commercially-insured patients &lt;65 years old in the United States. </w:t>
      </w:r>
      <w:r w:rsidRPr="00B623DA">
        <w:rPr>
          <w:rFonts w:ascii="Aptos"/>
          <w:i/>
          <w:iCs/>
        </w:rPr>
        <w:t>Pituitary</w:t>
      </w:r>
      <w:r w:rsidRPr="00B623DA">
        <w:rPr>
          <w:rFonts w:ascii="Aptos"/>
        </w:rPr>
        <w:t xml:space="preserve">, </w:t>
      </w:r>
      <w:r w:rsidRPr="00B623DA">
        <w:rPr>
          <w:rFonts w:ascii="Aptos"/>
          <w:i/>
          <w:iCs/>
        </w:rPr>
        <w:t>18</w:t>
      </w:r>
      <w:r w:rsidRPr="00B623DA">
        <w:rPr>
          <w:rFonts w:ascii="Aptos"/>
        </w:rPr>
        <w:t>(3), 283–289. https://doi.org/10.1007/s11102-014-0569-6</w:t>
      </w:r>
    </w:p>
    <w:p w14:paraId="27D98E0A" w14:textId="77777777" w:rsidR="00B623DA" w:rsidRPr="00B623DA" w:rsidRDefault="00B623DA" w:rsidP="00B623DA">
      <w:pPr>
        <w:pStyle w:val="Bibliography"/>
        <w:rPr>
          <w:rFonts w:ascii="Aptos"/>
        </w:rPr>
      </w:pPr>
      <w:r w:rsidRPr="00B623DA">
        <w:rPr>
          <w:rFonts w:ascii="Aptos"/>
        </w:rPr>
        <w:t xml:space="preserve">Etxabe, J., &amp; Vazquez, J. A. (1994). Morbidity and mortality in Cushing’s disease: An epidemiological approach. </w:t>
      </w:r>
      <w:r w:rsidRPr="00B623DA">
        <w:rPr>
          <w:rFonts w:ascii="Aptos"/>
          <w:i/>
          <w:iCs/>
        </w:rPr>
        <w:t>Clin Endocrinol (Oxf)</w:t>
      </w:r>
      <w:r w:rsidRPr="00B623DA">
        <w:rPr>
          <w:rFonts w:ascii="Aptos"/>
        </w:rPr>
        <w:t xml:space="preserve">, </w:t>
      </w:r>
      <w:r w:rsidRPr="00B623DA">
        <w:rPr>
          <w:rFonts w:ascii="Aptos"/>
          <w:i/>
          <w:iCs/>
        </w:rPr>
        <w:t>40</w:t>
      </w:r>
      <w:r w:rsidRPr="00B623DA">
        <w:rPr>
          <w:rFonts w:ascii="Aptos"/>
        </w:rPr>
        <w:t>(4), 479–484. https://doi.org/10.1111/j.1365-2265.1994.tb02486.x</w:t>
      </w:r>
    </w:p>
    <w:p w14:paraId="602AD758" w14:textId="77777777" w:rsidR="00B623DA" w:rsidRPr="00B623DA" w:rsidRDefault="00B623DA" w:rsidP="00B623DA">
      <w:pPr>
        <w:pStyle w:val="Bibliography"/>
        <w:rPr>
          <w:rFonts w:ascii="Aptos"/>
        </w:rPr>
      </w:pPr>
      <w:r w:rsidRPr="00B623DA">
        <w:rPr>
          <w:rFonts w:ascii="Aptos"/>
        </w:rPr>
        <w:t xml:space="preserve">Ho, D., Imai, K., King, G., &amp; Stuart, E. A. (2011). MatchIt: Nonparametric Preprocessing for Parametric Causal Inference. </w:t>
      </w:r>
      <w:r w:rsidRPr="00B623DA">
        <w:rPr>
          <w:rFonts w:ascii="Aptos"/>
          <w:i/>
          <w:iCs/>
        </w:rPr>
        <w:t>Journal of Statistical Software</w:t>
      </w:r>
      <w:r w:rsidRPr="00B623DA">
        <w:rPr>
          <w:rFonts w:ascii="Aptos"/>
        </w:rPr>
        <w:t xml:space="preserve">, </w:t>
      </w:r>
      <w:r w:rsidRPr="00B623DA">
        <w:rPr>
          <w:rFonts w:ascii="Aptos"/>
          <w:i/>
          <w:iCs/>
        </w:rPr>
        <w:t>42</w:t>
      </w:r>
      <w:r w:rsidRPr="00B623DA">
        <w:rPr>
          <w:rFonts w:ascii="Aptos"/>
        </w:rPr>
        <w:t>, 1–28. https://doi.org/10.18637/jss.v042.i08</w:t>
      </w:r>
    </w:p>
    <w:p w14:paraId="66943045" w14:textId="77777777" w:rsidR="00B623DA" w:rsidRPr="00B623DA" w:rsidRDefault="00B623DA" w:rsidP="00B623DA">
      <w:pPr>
        <w:pStyle w:val="Bibliography"/>
        <w:rPr>
          <w:rFonts w:ascii="Aptos"/>
        </w:rPr>
      </w:pPr>
      <w:r w:rsidRPr="00B623DA">
        <w:rPr>
          <w:rFonts w:ascii="Aptos"/>
        </w:rPr>
        <w:t xml:space="preserve">Ioachimescu, A. G., Goswami, N., Handa, T., Pappy, A., Veledar, E., &amp; Oyesiku, N. M. (2022). Racial Disparities in Acromegaly and Cushing’s Disease: A Referral Center Study in 241 Patients. </w:t>
      </w:r>
      <w:r w:rsidRPr="00B623DA">
        <w:rPr>
          <w:rFonts w:ascii="Aptos"/>
          <w:i/>
          <w:iCs/>
        </w:rPr>
        <w:t>Journal of the Endocrine Society</w:t>
      </w:r>
      <w:r w:rsidRPr="00B623DA">
        <w:rPr>
          <w:rFonts w:ascii="Aptos"/>
        </w:rPr>
        <w:t xml:space="preserve">, </w:t>
      </w:r>
      <w:r w:rsidRPr="00B623DA">
        <w:rPr>
          <w:rFonts w:ascii="Aptos"/>
          <w:i/>
          <w:iCs/>
        </w:rPr>
        <w:t>6</w:t>
      </w:r>
      <w:r w:rsidRPr="00B623DA">
        <w:rPr>
          <w:rFonts w:ascii="Aptos"/>
        </w:rPr>
        <w:t>(1), bvab176. https://doi.org/10.1210/jendso/bvab176</w:t>
      </w:r>
    </w:p>
    <w:p w14:paraId="5E0CB715" w14:textId="77777777" w:rsidR="00B623DA" w:rsidRPr="00B623DA" w:rsidRDefault="00B623DA" w:rsidP="00B623DA">
      <w:pPr>
        <w:pStyle w:val="Bibliography"/>
        <w:rPr>
          <w:rFonts w:ascii="Aptos"/>
        </w:rPr>
      </w:pPr>
      <w:r w:rsidRPr="00B623DA">
        <w:rPr>
          <w:rFonts w:ascii="Aptos"/>
        </w:rPr>
        <w:t xml:space="preserve">Matthiasdottir, A. M., Hardarson, T. O., Arnardottir, S., &amp; Sigurjonsdottir, H. A. (2024). Cushing’s Disease May Have Higher Incidence than Previously Thought: A </w:t>
      </w:r>
      <w:r w:rsidRPr="00B623DA">
        <w:rPr>
          <w:rFonts w:ascii="Aptos"/>
        </w:rPr>
        <w:lastRenderedPageBreak/>
        <w:t xml:space="preserve">Nationwide Study in Iceland 2010–2019. </w:t>
      </w:r>
      <w:r w:rsidRPr="00B623DA">
        <w:rPr>
          <w:rFonts w:ascii="Aptos"/>
          <w:i/>
          <w:iCs/>
        </w:rPr>
        <w:t>Neuroendocrinology</w:t>
      </w:r>
      <w:r w:rsidRPr="00B623DA">
        <w:rPr>
          <w:rFonts w:ascii="Aptos"/>
        </w:rPr>
        <w:t xml:space="preserve">, </w:t>
      </w:r>
      <w:r w:rsidRPr="00B623DA">
        <w:rPr>
          <w:rFonts w:ascii="Aptos"/>
          <w:i/>
          <w:iCs/>
        </w:rPr>
        <w:t>114</w:t>
      </w:r>
      <w:r w:rsidRPr="00B623DA">
        <w:rPr>
          <w:rFonts w:ascii="Aptos"/>
        </w:rPr>
        <w:t>(10), 950–957. https://doi.org/10.1159/000540205</w:t>
      </w:r>
    </w:p>
    <w:p w14:paraId="28D88FAD" w14:textId="77777777" w:rsidR="00B623DA" w:rsidRPr="00B623DA" w:rsidRDefault="00B623DA" w:rsidP="00B623DA">
      <w:pPr>
        <w:pStyle w:val="Bibliography"/>
        <w:rPr>
          <w:rFonts w:ascii="Aptos"/>
        </w:rPr>
      </w:pPr>
      <w:r w:rsidRPr="00B623DA">
        <w:rPr>
          <w:rFonts w:ascii="Aptos"/>
        </w:rPr>
        <w:t xml:space="preserve">Omotosho, Y. B., McGlotten, R., Chittiboina, P., &amp; Nieman, L. (2024). MON-113 Racial Disparity in the Time to Diagnosis of Cushing’s Disease. </w:t>
      </w:r>
      <w:r w:rsidRPr="00B623DA">
        <w:rPr>
          <w:rFonts w:ascii="Aptos"/>
          <w:i/>
          <w:iCs/>
        </w:rPr>
        <w:t>Journal of the Endocrine Society</w:t>
      </w:r>
      <w:r w:rsidRPr="00B623DA">
        <w:rPr>
          <w:rFonts w:ascii="Aptos"/>
        </w:rPr>
        <w:t xml:space="preserve">, </w:t>
      </w:r>
      <w:r w:rsidRPr="00B623DA">
        <w:rPr>
          <w:rFonts w:ascii="Aptos"/>
          <w:i/>
          <w:iCs/>
        </w:rPr>
        <w:t>8</w:t>
      </w:r>
      <w:r w:rsidRPr="00B623DA">
        <w:rPr>
          <w:rFonts w:ascii="Aptos"/>
        </w:rPr>
        <w:t>(Supplement_1), bvae163.2408. https://doi.org/10.1210/jendso/bvae163.2408</w:t>
      </w:r>
    </w:p>
    <w:p w14:paraId="170C9AAB" w14:textId="77777777" w:rsidR="00B623DA" w:rsidRPr="00B623DA" w:rsidRDefault="00B623DA" w:rsidP="00B623DA">
      <w:pPr>
        <w:pStyle w:val="Bibliography"/>
        <w:rPr>
          <w:rFonts w:ascii="Aptos"/>
        </w:rPr>
      </w:pPr>
      <w:r w:rsidRPr="00B623DA">
        <w:rPr>
          <w:rFonts w:ascii="Aptos"/>
        </w:rPr>
        <w:t xml:space="preserve">R Core Team. (2019). </w:t>
      </w:r>
      <w:r w:rsidRPr="00B623DA">
        <w:rPr>
          <w:rFonts w:ascii="Aptos"/>
          <w:i/>
          <w:iCs/>
        </w:rPr>
        <w:t>R: A Language and Environment for Statistical Computing</w:t>
      </w:r>
      <w:r w:rsidRPr="00B623DA">
        <w:rPr>
          <w:rFonts w:ascii="Aptos"/>
        </w:rPr>
        <w:t>. R Foundation for Statistical Computing. http://www.r-project.org/</w:t>
      </w:r>
    </w:p>
    <w:p w14:paraId="59965C26" w14:textId="77777777" w:rsidR="00B623DA" w:rsidRPr="00B623DA" w:rsidRDefault="00B623DA" w:rsidP="00B623DA">
      <w:pPr>
        <w:pStyle w:val="Bibliography"/>
        <w:rPr>
          <w:rFonts w:ascii="Aptos"/>
        </w:rPr>
      </w:pPr>
      <w:r w:rsidRPr="00B623DA">
        <w:rPr>
          <w:rFonts w:ascii="Aptos"/>
        </w:rPr>
        <w:t xml:space="preserve">Steffensen, C., Bak, A. M., Zøylner Rubeck, K., &amp; Jørgensen, J. O. L. (2010). Epidemiology of Cushing’s Syndrome. </w:t>
      </w:r>
      <w:r w:rsidRPr="00B623DA">
        <w:rPr>
          <w:rFonts w:ascii="Aptos"/>
          <w:i/>
          <w:iCs/>
        </w:rPr>
        <w:t>Neuroendocrinology</w:t>
      </w:r>
      <w:r w:rsidRPr="00B623DA">
        <w:rPr>
          <w:rFonts w:ascii="Aptos"/>
        </w:rPr>
        <w:t xml:space="preserve">, </w:t>
      </w:r>
      <w:r w:rsidRPr="00B623DA">
        <w:rPr>
          <w:rFonts w:ascii="Aptos"/>
          <w:i/>
          <w:iCs/>
        </w:rPr>
        <w:t>92</w:t>
      </w:r>
      <w:r w:rsidRPr="00B623DA">
        <w:rPr>
          <w:rFonts w:ascii="Aptos"/>
        </w:rPr>
        <w:t>(Suppl. 1), 1–5. https://doi.org/10.1159/000314297</w:t>
      </w:r>
    </w:p>
    <w:p w14:paraId="26F9D85B" w14:textId="785A0953" w:rsidR="00AB7571" w:rsidRPr="00AB7571" w:rsidRDefault="00AB7571" w:rsidP="00B623DA">
      <w:pPr>
        <w:pStyle w:val="Bibliography"/>
      </w:pPr>
      <w:r>
        <w:fldChar w:fldCharType="end"/>
      </w:r>
    </w:p>
    <w:p w14:paraId="54D2437B" w14:textId="128E1D7D" w:rsidR="00EB133A" w:rsidRDefault="00EB133A" w:rsidP="00EB133A">
      <w:pPr>
        <w:pStyle w:val="Heading1"/>
      </w:pPr>
      <w:r>
        <w:t xml:space="preserve">Figure </w:t>
      </w:r>
      <w:r w:rsidR="00D44D39">
        <w:t xml:space="preserve">and Table </w:t>
      </w:r>
      <w:r>
        <w:t>Legends</w:t>
      </w:r>
    </w:p>
    <w:p w14:paraId="11D6C00B" w14:textId="3B3B0083" w:rsidR="005A3F4C" w:rsidRDefault="005A3F4C" w:rsidP="00EB133A">
      <w:pPr>
        <w:pStyle w:val="NormalWeb"/>
        <w:rPr>
          <w:b/>
          <w:bCs/>
        </w:rPr>
      </w:pPr>
      <w:r>
        <w:rPr>
          <w:b/>
          <w:bCs/>
        </w:rPr>
        <w:t xml:space="preserve">Figure 1: </w:t>
      </w:r>
      <w:r w:rsidR="00340CA3">
        <w:rPr>
          <w:b/>
          <w:bCs/>
        </w:rPr>
        <w:t>Participant flow diagram</w:t>
      </w:r>
      <w:r>
        <w:rPr>
          <w:b/>
          <w:bCs/>
        </w:rPr>
        <w:t>.</w:t>
      </w:r>
    </w:p>
    <w:p w14:paraId="30350933" w14:textId="095876B5" w:rsidR="00944106" w:rsidRPr="000C0011" w:rsidRDefault="00944106" w:rsidP="00EB133A">
      <w:pPr>
        <w:pStyle w:val="NormalWeb"/>
      </w:pPr>
      <w:r>
        <w:rPr>
          <w:b/>
          <w:bCs/>
        </w:rPr>
        <w:t xml:space="preserve">Figure 2: </w:t>
      </w:r>
      <w:r w:rsidR="000C0011">
        <w:rPr>
          <w:b/>
          <w:bCs/>
        </w:rPr>
        <w:t xml:space="preserve">Effects of Cushing’s disease and Obesity on Laboratory Values.  </w:t>
      </w:r>
      <w:r w:rsidR="000C0011">
        <w:t>Laboratory values were within 30 days of Cushing’s disease surgery for cases.  Obesity was defined as a BMI above or below 30 kg/m</w:t>
      </w:r>
      <w:r w:rsidR="000C0011" w:rsidRPr="000C0011">
        <w:rPr>
          <w:vertAlign w:val="superscript"/>
        </w:rPr>
        <w:t>2</w:t>
      </w:r>
      <w:r w:rsidR="000C0011">
        <w:t xml:space="preserve">.  </w:t>
      </w:r>
      <w:r w:rsidR="000C0011" w:rsidRPr="000C0011">
        <w:t>Data are presented as mean</w:t>
      </w:r>
      <w:r w:rsidR="00AB6721">
        <w:t>s with a 95% confidence interval</w:t>
      </w:r>
      <w:r w:rsidR="003971E3">
        <w:t>, with ligh</w:t>
      </w:r>
      <w:r w:rsidR="00666B75">
        <w:t>t</w:t>
      </w:r>
      <w:r w:rsidR="003971E3">
        <w:t>er grey indicating data from participants with Cushing’s disease</w:t>
      </w:r>
      <w:r w:rsidR="000C0011">
        <w:t>.</w:t>
      </w:r>
      <w:r w:rsidR="007F3FF1">
        <w:t xml:space="preserve">   Table 3 reports adjusted p-values for effects of Cushing’s disease and the interaction between disease and obesity.</w:t>
      </w:r>
    </w:p>
    <w:p w14:paraId="46509E87" w14:textId="0D88813A" w:rsidR="00A059AA" w:rsidRDefault="00A059AA" w:rsidP="00EB133A">
      <w:pPr>
        <w:pStyle w:val="NormalWeb"/>
      </w:pPr>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663952" w:rsidR="00733E55" w:rsidRDefault="00733E55" w:rsidP="00EB133A">
      <w:pPr>
        <w:pStyle w:val="NormalWeb"/>
      </w:pPr>
      <w:r w:rsidRPr="00733E55">
        <w:rPr>
          <w:b/>
          <w:bCs/>
        </w:rPr>
        <w:t>Table 2: Participant characteristics after stratification by obesity</w:t>
      </w:r>
      <w:r>
        <w:t>.  Values are mean ± SD or n (%). Groups were stratified by Cushing’s status and obesity; no matching was performed across these strata. Kruskal-Wallis or χ² compare across the four groups to generate p-values.</w:t>
      </w:r>
    </w:p>
    <w:p w14:paraId="5E7282D0" w14:textId="430F4997" w:rsidR="00666B75" w:rsidRPr="00666B75" w:rsidRDefault="00666B75" w:rsidP="00EB133A">
      <w:pPr>
        <w:pStyle w:val="NormalWeb"/>
      </w:pPr>
      <w:r>
        <w:rPr>
          <w:b/>
          <w:bCs/>
        </w:rPr>
        <w:lastRenderedPageBreak/>
        <w:t xml:space="preserve">Table 3: Effect sizes and statistical significance for each outcome.  </w:t>
      </w:r>
      <w: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t xml:space="preserve">Data are presented as mean with 95% confidence intervals.  </w:t>
      </w:r>
      <w:r>
        <w:t xml:space="preserve">For both </w:t>
      </w:r>
      <w:r w:rsidR="009B1202">
        <w:t xml:space="preserve">of these </w:t>
      </w:r>
      <w:r w:rsidR="006E0585">
        <w:t>tables</w:t>
      </w:r>
      <w:r>
        <w:t>, LDL-C was not adjusted for race/ethnicity due to small sample size.</w:t>
      </w:r>
    </w:p>
    <w:p w14:paraId="1B67D71C" w14:textId="5A957180" w:rsidR="004C3E7B" w:rsidRPr="004C3E7B" w:rsidRDefault="00A059AA" w:rsidP="00EB133A">
      <w:pPr>
        <w:pStyle w:val="NormalWeb"/>
      </w:pPr>
      <w:r>
        <w:rPr>
          <w:b/>
          <w:bCs/>
        </w:rPr>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and after propensity mapping.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60FFD41A" w:rsidR="00EB133A" w:rsidRDefault="00FA3B24" w:rsidP="00EB133A">
      <w:pPr>
        <w:pStyle w:val="NormalWeb"/>
      </w:pPr>
      <w:r w:rsidRPr="00AB6DA4">
        <w:rPr>
          <w:b/>
          <w:bCs/>
        </w:rPr>
        <w:t xml:space="preserve">Supplementary Table S1: </w:t>
      </w:r>
      <w:r w:rsidR="00AB6DA4">
        <w:rPr>
          <w:b/>
          <w:bCs/>
        </w:rPr>
        <w:t>Covariate m</w:t>
      </w:r>
      <w:r w:rsidRPr="00AB6DA4">
        <w:rPr>
          <w:b/>
          <w:bCs/>
        </w:rPr>
        <w:t>atching diagnostics for age.</w:t>
      </w:r>
      <w:r>
        <w:t xml:space="preserve">  Averages, standard </w:t>
      </w:r>
      <w:r w:rsidR="002F7D72">
        <w:t>errors</w:t>
      </w:r>
      <w:r>
        <w:t xml:space="preserve"> and standardized mean difference for age are shown for each outcome before and after propensity matching.  Matching was exact for race and ethnicity.</w:t>
      </w:r>
    </w:p>
    <w:p w14:paraId="651164A0" w14:textId="4F0B9766" w:rsidR="00AB6DA4" w:rsidRDefault="00AB6DA4" w:rsidP="00EB133A">
      <w:pPr>
        <w:pStyle w:val="NormalWeb"/>
      </w:pPr>
      <w:r w:rsidRPr="00AB6DA4">
        <w:rPr>
          <w:b/>
          <w:bCs/>
        </w:rPr>
        <w:t>Supplementary Tables S2A-E: Outcome-specific participant characteristics after matching</w:t>
      </w:r>
      <w:r>
        <w:t>. A) Glucose, B) HbA1c, C) ALT, D) Blood Pressure and E) LDL-C</w:t>
      </w:r>
    </w:p>
    <w:p w14:paraId="74F4489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1. Study flow diagram (STROBE-style)**</w:t>
      </w:r>
      <w:r w:rsidRPr="00EB133A">
        <w:rPr>
          <w:rFonts w:ascii="Menlo" w:eastAsia="Times New Roman" w:hAnsi="Menlo" w:cs="Menlo"/>
          <w:color w:val="3B3B3B"/>
          <w:kern w:val="0"/>
          <w:sz w:val="18"/>
          <w:szCs w:val="18"/>
          <w14:ligatures w14:val="none"/>
        </w:rPr>
        <w:t xml:space="preserve">  </w:t>
      </w:r>
    </w:p>
    <w:p w14:paraId="5A92445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Source population → exclusions → final analytic sample per outcome.</w:t>
      </w:r>
    </w:p>
    <w:p w14:paraId="3853A16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B62EAC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2. Covariate balance plot (“Love plot”)**</w:t>
      </w:r>
      <w:r w:rsidRPr="00EB133A">
        <w:rPr>
          <w:rFonts w:ascii="Menlo" w:eastAsia="Times New Roman" w:hAnsi="Menlo" w:cs="Menlo"/>
          <w:color w:val="3B3B3B"/>
          <w:kern w:val="0"/>
          <w:sz w:val="18"/>
          <w:szCs w:val="18"/>
          <w14:ligatures w14:val="none"/>
        </w:rPr>
        <w:t xml:space="preserve">  </w:t>
      </w:r>
    </w:p>
    <w:p w14:paraId="1CD63E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Standardized mean differences for matched variables before vs after matching.</w:t>
      </w:r>
    </w:p>
    <w:p w14:paraId="6226670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64AE8D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3. Primary interaction plots (Cushing’s × Obesity)**</w:t>
      </w:r>
      <w:r w:rsidRPr="00EB133A">
        <w:rPr>
          <w:rFonts w:ascii="Menlo" w:eastAsia="Times New Roman" w:hAnsi="Menlo" w:cs="Menlo"/>
          <w:color w:val="3B3B3B"/>
          <w:kern w:val="0"/>
          <w:sz w:val="18"/>
          <w:szCs w:val="18"/>
          <w14:ligatures w14:val="none"/>
        </w:rPr>
        <w:t xml:space="preserve">  </w:t>
      </w:r>
    </w:p>
    <w:p w14:paraId="32D402A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Panels for HbA1c, SBP, DBP, LDL-C, fasting glucose.  </w:t>
      </w:r>
    </w:p>
    <w:p w14:paraId="0A77C76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Y-axis: adjusted marginal mean (95% CI); X-axis: obesity stratum; color: Cushing’s vs Control.</w:t>
      </w:r>
    </w:p>
    <w:p w14:paraId="302A378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EA0FF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4. Forest plot of interaction estimates**</w:t>
      </w:r>
      <w:r w:rsidRPr="00EB133A">
        <w:rPr>
          <w:rFonts w:ascii="Menlo" w:eastAsia="Times New Roman" w:hAnsi="Menlo" w:cs="Menlo"/>
          <w:color w:val="3B3B3B"/>
          <w:kern w:val="0"/>
          <w:sz w:val="18"/>
          <w:szCs w:val="18"/>
          <w14:ligatures w14:val="none"/>
        </w:rPr>
        <w:t xml:space="preserve">  </w:t>
      </w:r>
    </w:p>
    <w:p w14:paraId="6183FE7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For each outcome, plot difference-in-differences (interaction term) with 95% CI.</w:t>
      </w:r>
    </w:p>
    <w:p w14:paraId="1FC55AB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1360F9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5.</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5 (optional). Outcome distributions by 2×2 groups**</w:t>
      </w:r>
      <w:r w:rsidRPr="00EB133A">
        <w:rPr>
          <w:rFonts w:ascii="Menlo" w:eastAsia="Times New Roman" w:hAnsi="Menlo" w:cs="Menlo"/>
          <w:color w:val="3B3B3B"/>
          <w:kern w:val="0"/>
          <w:sz w:val="18"/>
          <w:szCs w:val="18"/>
          <w14:ligatures w14:val="none"/>
        </w:rPr>
        <w:t xml:space="preserve">  </w:t>
      </w:r>
    </w:p>
    <w:p w14:paraId="42022B3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Box/violin plots or ridge plots showing distribution shapes.</w:t>
      </w:r>
    </w:p>
    <w:p w14:paraId="6841B35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3B89742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Recommended Tables</w:t>
      </w:r>
    </w:p>
    <w:p w14:paraId="2339154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FF2A90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1. Baseline characteristics by Cushing’s status (matched sample)**</w:t>
      </w:r>
      <w:r w:rsidRPr="00EB133A">
        <w:rPr>
          <w:rFonts w:ascii="Menlo" w:eastAsia="Times New Roman" w:hAnsi="Menlo" w:cs="Menlo"/>
          <w:color w:val="3B3B3B"/>
          <w:kern w:val="0"/>
          <w:sz w:val="18"/>
          <w:szCs w:val="18"/>
          <w14:ligatures w14:val="none"/>
        </w:rPr>
        <w:t xml:space="preserve">  </w:t>
      </w:r>
    </w:p>
    <w:p w14:paraId="7B4B2FA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N, mean±SD or median [</w:t>
      </w:r>
      <w:r w:rsidRPr="00EB133A">
        <w:rPr>
          <w:rFonts w:ascii="Menlo" w:eastAsia="Times New Roman" w:hAnsi="Menlo" w:cs="Menlo"/>
          <w:color w:val="A31515"/>
          <w:kern w:val="0"/>
          <w:sz w:val="18"/>
          <w:szCs w:val="18"/>
          <w14:ligatures w14:val="none"/>
        </w:rPr>
        <w:t>IQR</w:t>
      </w:r>
      <w:r w:rsidRPr="00EB133A">
        <w:rPr>
          <w:rFonts w:ascii="Menlo" w:eastAsia="Times New Roman" w:hAnsi="Menlo" w:cs="Menlo"/>
          <w:color w:val="3B3B3B"/>
          <w:kern w:val="0"/>
          <w:sz w:val="18"/>
          <w:szCs w:val="18"/>
          <w14:ligatures w14:val="none"/>
        </w:rPr>
        <w:t>], standardized mean differences.</w:t>
      </w:r>
    </w:p>
    <w:p w14:paraId="0E70302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00F30B4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2. Characteristics by 2×2 groups (Cushing’s × Obesity)**</w:t>
      </w:r>
      <w:r w:rsidRPr="00EB133A">
        <w:rPr>
          <w:rFonts w:ascii="Menlo" w:eastAsia="Times New Roman" w:hAnsi="Menlo" w:cs="Menlo"/>
          <w:color w:val="3B3B3B"/>
          <w:kern w:val="0"/>
          <w:sz w:val="18"/>
          <w:szCs w:val="18"/>
          <w14:ligatures w14:val="none"/>
        </w:rPr>
        <w:t xml:space="preserve">  </w:t>
      </w:r>
    </w:p>
    <w:p w14:paraId="0704597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Four columns: Lean-Control, Lean-Cushing’s, Obese-Control, Obese-Cushing’s.</w:t>
      </w:r>
    </w:p>
    <w:p w14:paraId="4CEA012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83C0E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3. Primary adjusted results with interaction**</w:t>
      </w:r>
      <w:r w:rsidRPr="00EB133A">
        <w:rPr>
          <w:rFonts w:ascii="Menlo" w:eastAsia="Times New Roman" w:hAnsi="Menlo" w:cs="Menlo"/>
          <w:color w:val="3B3B3B"/>
          <w:kern w:val="0"/>
          <w:sz w:val="18"/>
          <w:szCs w:val="18"/>
          <w14:ligatures w14:val="none"/>
        </w:rPr>
        <w:t xml:space="preserve">  </w:t>
      </w:r>
    </w:p>
    <w:p w14:paraId="431287D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Adjusted means by group; within-stratum differences; interaction estimate (95% CI, p-value).</w:t>
      </w:r>
    </w:p>
    <w:p w14:paraId="38F29B0D"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E3307E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4. Sensitivity analyses**</w:t>
      </w:r>
      <w:r w:rsidRPr="00EB133A">
        <w:rPr>
          <w:rFonts w:ascii="Menlo" w:eastAsia="Times New Roman" w:hAnsi="Menlo" w:cs="Menlo"/>
          <w:color w:val="3B3B3B"/>
          <w:kern w:val="0"/>
          <w:sz w:val="18"/>
          <w:szCs w:val="18"/>
          <w14:ligatures w14:val="none"/>
        </w:rPr>
        <w:t xml:space="preserve">  </w:t>
      </w:r>
    </w:p>
    <w:p w14:paraId="16C416D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Interaction estimates across alternative specifications (different calipers, continuous BMI, etc.).</w:t>
      </w:r>
    </w:p>
    <w:p w14:paraId="7BAE219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624B304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Supplementary Material (Examples)</w:t>
      </w:r>
    </w:p>
    <w:p w14:paraId="79885495"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E21BFD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eFigure 1. Detailed flow diagram per outcome.</w:t>
      </w:r>
    </w:p>
    <w:p w14:paraId="6FC910D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eFigure 2. Additional balance plots.</w:t>
      </w:r>
    </w:p>
    <w:p w14:paraId="0F97E6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eFigure 3. DAG of confounding.</w:t>
      </w:r>
    </w:p>
    <w:p w14:paraId="51704AE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eTable 1. Variable definitions.</w:t>
      </w:r>
    </w:p>
    <w:p w14:paraId="5BF64F3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eTable 2. Full baseline table.</w:t>
      </w:r>
    </w:p>
    <w:p w14:paraId="1348EB6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eTable 3. Unadjusted outcome comparisons.</w:t>
      </w:r>
    </w:p>
    <w:p w14:paraId="6F7AED9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eTable 4. Model diagnostics.</w:t>
      </w:r>
    </w:p>
    <w:p w14:paraId="59FA5FC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eTable 5. Missing data patterns and imputation specs.</w:t>
      </w:r>
    </w:p>
    <w:p w14:paraId="753A052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eTable 6. Medication status stratifications.</w:t>
      </w:r>
    </w:p>
    <w:p w14:paraId="20916108" w14:textId="77777777" w:rsidR="00EB133A" w:rsidRDefault="00EB133A" w:rsidP="00EB133A">
      <w:pPr>
        <w:pStyle w:val="NormalWeb"/>
      </w:pPr>
    </w:p>
    <w:p w14:paraId="26E2D748" w14:textId="77777777" w:rsidR="00EB133A" w:rsidRDefault="00EB133A"/>
    <w:sectPr w:rsidR="00EB133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rr, Treyton" w:date="2025-11-08T23:56:00Z" w:initials="CT">
    <w:p w14:paraId="3048B1C6" w14:textId="77777777" w:rsidR="00892425" w:rsidRDefault="00892425" w:rsidP="00892425">
      <w:r>
        <w:rPr>
          <w:rStyle w:val="CommentReference"/>
        </w:rPr>
        <w:annotationRef/>
      </w:r>
      <w:r>
        <w:rPr>
          <w:sz w:val="20"/>
          <w:szCs w:val="20"/>
        </w:rPr>
        <w:t>@dave So from here I was thinking about going more into study design/what this study aims to do, but I feel like that is more of the abstract's goal? Also, should I add on more at the beginning about more symptoms of cushings (moon face, weight holding, hump on neck, etc.)?</w:t>
      </w:r>
    </w:p>
  </w:comment>
  <w:comment w:id="1" w:author="Dave Bridges" w:date="2025-09-07T19:14:00Z" w:initials="DB">
    <w:p w14:paraId="30EA8164" w14:textId="44E22D45" w:rsidR="008610C9" w:rsidRDefault="008610C9" w:rsidP="008610C9">
      <w:r>
        <w:rPr>
          <w:rStyle w:val="CommentReference"/>
        </w:rPr>
        <w:annotationRef/>
      </w:r>
      <w:r>
        <w:rPr>
          <w:sz w:val="20"/>
          <w:szCs w:val="20"/>
        </w:rPr>
        <w:t>@trey can you add these</w:t>
      </w:r>
    </w:p>
  </w:comment>
  <w:comment w:id="2" w:author="Carr, Treyton" w:date="2025-11-08T23:41:00Z" w:initials="CT">
    <w:p w14:paraId="03BC0566" w14:textId="77777777" w:rsidR="00995BC6" w:rsidRDefault="00995BC6" w:rsidP="00995BC6">
      <w:r>
        <w:rPr>
          <w:rStyle w:val="CommentReference"/>
        </w:rPr>
        <w:annotationRef/>
      </w:r>
      <w:r>
        <w:rPr>
          <w:sz w:val="20"/>
          <w:szCs w:val="20"/>
        </w:rPr>
        <w:t>Because we have a total of 86 codes for this category, should we list them somewhere else in the document in an appendix?</w:t>
      </w:r>
    </w:p>
  </w:comment>
  <w:comment w:id="3" w:author="Dave Bridges" w:date="2025-09-05T19:50:00Z" w:initials="DB">
    <w:p w14:paraId="1DD21AA1" w14:textId="14B54E0A" w:rsidR="00575431" w:rsidRDefault="00575431" w:rsidP="00575431">
      <w:r>
        <w:rPr>
          <w:rStyle w:val="CommentReference"/>
        </w:rPr>
        <w:annotationRef/>
      </w:r>
      <w:r>
        <w:rPr>
          <w:sz w:val="20"/>
          <w:szCs w:val="20"/>
        </w:rPr>
        <w:t>todo</w:t>
      </w:r>
    </w:p>
  </w:comment>
  <w:comment w:id="4" w:author="Dave Bridges" w:date="2025-09-07T14:40:00Z" w:initials="DB">
    <w:p w14:paraId="2B4220B9" w14:textId="77777777" w:rsidR="00846B21" w:rsidRDefault="00846B21" w:rsidP="00846B21">
      <w:r>
        <w:rPr>
          <w:rStyle w:val="CommentReference"/>
        </w:rPr>
        <w:annotationRef/>
      </w:r>
      <w:r>
        <w:rPr>
          <w:sz w:val="20"/>
          <w:szCs w:val="20"/>
        </w:rPr>
        <w:t>@trey can you describe this part, and enter details in the methods of how this was done</w:t>
      </w:r>
    </w:p>
  </w:comment>
  <w:comment w:id="5" w:author="Dave Bridges" w:date="2025-09-05T19:38:00Z" w:initials="DB">
    <w:p w14:paraId="392E4D0B" w14:textId="3CD351D4" w:rsidR="00B87243" w:rsidRDefault="00B87243" w:rsidP="00B87243">
      <w:r>
        <w:rPr>
          <w:rStyle w:val="CommentReference"/>
        </w:rPr>
        <w:annotationRef/>
      </w:r>
      <w:r>
        <w:rPr>
          <w:sz w:val="20"/>
          <w:szCs w:val="20"/>
        </w:rPr>
        <w:t>@trey also any data on demographic propensities towards Cushings we can cite?</w:t>
      </w:r>
    </w:p>
  </w:comment>
  <w:comment w:id="6" w:author="Carr, Treyton" w:date="2025-09-16T11:51:00Z" w:initials="CT">
    <w:p w14:paraId="6C23150B" w14:textId="77777777" w:rsidR="001F1825" w:rsidRDefault="001F1825" w:rsidP="001F1825">
      <w:r>
        <w:rPr>
          <w:rStyle w:val="CommentReference"/>
        </w:rPr>
        <w:annotationRef/>
      </w:r>
      <w:r>
        <w:rPr>
          <w:sz w:val="20"/>
          <w:szCs w:val="20"/>
        </w:rPr>
        <w:t>Some articles that include race in their analysis:</w:t>
      </w:r>
    </w:p>
    <w:p w14:paraId="18EB2509" w14:textId="77777777" w:rsidR="001F1825" w:rsidRDefault="001F1825" w:rsidP="001F1825">
      <w:hyperlink r:id="rId1" w:history="1">
        <w:r w:rsidRPr="004E6203">
          <w:rPr>
            <w:rStyle w:val="Hyperlink"/>
            <w:sz w:val="20"/>
            <w:szCs w:val="20"/>
          </w:rPr>
          <w:t>https://doi-org.proxy.lib.umich.edu/10.1210/jendso/bvab176</w:t>
        </w:r>
      </w:hyperlink>
    </w:p>
    <w:p w14:paraId="0FF87C40" w14:textId="77777777" w:rsidR="001F1825" w:rsidRDefault="001F1825" w:rsidP="001F1825"/>
    <w:p w14:paraId="4AC35CA5" w14:textId="77777777" w:rsidR="001F1825" w:rsidRDefault="001F1825" w:rsidP="001F1825">
      <w:hyperlink r:id="rId2" w:history="1">
        <w:r w:rsidRPr="004E6203">
          <w:rPr>
            <w:rStyle w:val="Hyperlink"/>
            <w:sz w:val="20"/>
            <w:szCs w:val="20"/>
          </w:rPr>
          <w:t>https://doi.org/10.3171/2014.11.FOCUS14694</w:t>
        </w:r>
      </w:hyperlink>
    </w:p>
    <w:p w14:paraId="43C60507" w14:textId="77777777" w:rsidR="001F1825" w:rsidRDefault="001F1825" w:rsidP="001F1825"/>
    <w:p w14:paraId="1EBBA447" w14:textId="77777777" w:rsidR="001F1825" w:rsidRDefault="001F1825" w:rsidP="001F1825">
      <w:r>
        <w:rPr>
          <w:sz w:val="20"/>
          <w:szCs w:val="20"/>
        </w:rPr>
        <w:t xml:space="preserve"> </w:t>
      </w:r>
      <w:hyperlink r:id="rId3" w:history="1">
        <w:r w:rsidRPr="004E6203">
          <w:rPr>
            <w:rStyle w:val="Hyperlink"/>
            <w:sz w:val="20"/>
            <w:szCs w:val="20"/>
          </w:rPr>
          <w:t>https://doi.org/10.1111/cen.12644</w:t>
        </w:r>
      </w:hyperlink>
    </w:p>
    <w:p w14:paraId="1F99FD41" w14:textId="77777777" w:rsidR="001F1825" w:rsidRDefault="001F1825" w:rsidP="001F1825"/>
    <w:p w14:paraId="719568B3" w14:textId="77777777" w:rsidR="001F1825" w:rsidRDefault="001F1825" w:rsidP="001F1825">
      <w:hyperlink r:id="rId4" w:history="1">
        <w:r w:rsidRPr="004E6203">
          <w:rPr>
            <w:rStyle w:val="Hyperlink"/>
            <w:sz w:val="20"/>
            <w:szCs w:val="20"/>
          </w:rPr>
          <w:t>https://doi.org/10.1038/pr.2017.58</w:t>
        </w:r>
      </w:hyperlink>
    </w:p>
    <w:p w14:paraId="0BDE7CD0" w14:textId="77777777" w:rsidR="001F1825" w:rsidRDefault="001F1825" w:rsidP="001F1825"/>
    <w:p w14:paraId="72F74B19" w14:textId="77777777" w:rsidR="001F1825" w:rsidRDefault="001F1825" w:rsidP="001F1825"/>
  </w:comment>
  <w:comment w:id="7" w:author="Dave Bridges" w:date="2025-09-23T09:31:00Z" w:initials="DB">
    <w:p w14:paraId="33EBFD8A" w14:textId="77777777" w:rsidR="00B623DA" w:rsidRDefault="00B623DA" w:rsidP="00B623DA">
      <w:r>
        <w:rPr>
          <w:rStyle w:val="CommentReference"/>
        </w:rPr>
        <w:annotationRef/>
      </w:r>
      <w:r>
        <w:rPr>
          <w:sz w:val="20"/>
          <w:szCs w:val="20"/>
        </w:rPr>
        <w:t xml:space="preserve">I think only the first one directly tests the effects of race relative to the general population.  </w:t>
      </w:r>
    </w:p>
    <w:p w14:paraId="7F6A75C4" w14:textId="77777777" w:rsidR="00B623DA" w:rsidRDefault="00B623DA" w:rsidP="00B623DA"/>
    <w:p w14:paraId="3234C9DA" w14:textId="77777777" w:rsidR="00B623DA" w:rsidRDefault="00B623DA" w:rsidP="00B623DA">
      <w:r>
        <w:rPr>
          <w:sz w:val="20"/>
          <w:szCs w:val="20"/>
        </w:rPr>
        <w:t>This paper looks at time to diagnosis as a potential reason</w:t>
      </w:r>
    </w:p>
    <w:p w14:paraId="2E308E62" w14:textId="77777777" w:rsidR="00B623DA" w:rsidRDefault="00B623DA" w:rsidP="00B623DA"/>
    <w:p w14:paraId="55516B0E" w14:textId="77777777" w:rsidR="00B623DA" w:rsidRDefault="00B623DA" w:rsidP="00B623DA">
      <w:hyperlink r:id="rId5" w:history="1">
        <w:r w:rsidRPr="00092200">
          <w:rPr>
            <w:rStyle w:val="Hyperlink"/>
            <w:sz w:val="20"/>
            <w:szCs w:val="20"/>
          </w:rPr>
          <w:t>https://pmc.ncbi.nlm.nih.gov/articles/PMC5552413/</w:t>
        </w:r>
      </w:hyperlink>
    </w:p>
  </w:comment>
  <w:comment w:id="8" w:author="Dave Bridges" w:date="2025-09-23T09:32:00Z" w:initials="DB">
    <w:p w14:paraId="3F136B1D" w14:textId="77777777" w:rsidR="004C5BA6" w:rsidRDefault="004C5BA6" w:rsidP="004C5BA6">
      <w:r>
        <w:rPr>
          <w:rStyle w:val="CommentReference"/>
        </w:rPr>
        <w:annotationRef/>
      </w:r>
      <w:r>
        <w:rPr>
          <w:sz w:val="20"/>
          <w:szCs w:val="20"/>
        </w:rPr>
        <w:t xml:space="preserve">More about severity here </w:t>
      </w:r>
    </w:p>
    <w:p w14:paraId="670112CC" w14:textId="77777777" w:rsidR="004C5BA6" w:rsidRDefault="004C5BA6" w:rsidP="004C5BA6"/>
    <w:p w14:paraId="27A1600A" w14:textId="77777777" w:rsidR="004C5BA6" w:rsidRDefault="004C5BA6" w:rsidP="004C5BA6">
      <w:hyperlink r:id="rId6" w:history="1">
        <w:r w:rsidRPr="001003A9">
          <w:rPr>
            <w:rStyle w:val="Hyperlink"/>
            <w:sz w:val="20"/>
            <w:szCs w:val="20"/>
          </w:rPr>
          <w:t>https://pmc.ncbi.nlm.nih.gov/articles/PMC5552413/</w:t>
        </w:r>
      </w:hyperlink>
    </w:p>
  </w:comment>
  <w:comment w:id="11" w:author="Dave Bridges" w:date="2025-09-23T09:44:00Z" w:initials="DB">
    <w:p w14:paraId="52B2AC8C" w14:textId="77777777" w:rsidR="00547E80" w:rsidRDefault="00547E80" w:rsidP="00547E80">
      <w:r>
        <w:rPr>
          <w:rStyle w:val="CommentReference"/>
        </w:rPr>
        <w:annotationRef/>
      </w:r>
      <w:r>
        <w:rPr>
          <w:sz w:val="20"/>
          <w:szCs w:val="20"/>
        </w:rPr>
        <w:t>Here do you mean in people with a BMI above or below 30?  Try to report as Effect size ... p value</w:t>
      </w:r>
    </w:p>
    <w:p w14:paraId="2B925E69" w14:textId="77777777" w:rsidR="00547E80" w:rsidRDefault="00547E80" w:rsidP="00547E80"/>
    <w:p w14:paraId="00B0B8E1" w14:textId="77777777" w:rsidR="00547E80" w:rsidRDefault="00547E80" w:rsidP="00547E80">
      <w:r>
        <w:rPr>
          <w:sz w:val="20"/>
          <w:szCs w:val="20"/>
        </w:rPr>
        <w:t>So for example here i woudl say something like fasting glucose was increased in participants with BMI above and below 30 kg/m2 (27.0 and 26.1 mg/dL respectively, both p&lt;0.001).</w:t>
      </w:r>
    </w:p>
  </w:comment>
  <w:comment w:id="12" w:author="Dave Bridges" w:date="2025-09-23T09:45:00Z" w:initials="DB">
    <w:p w14:paraId="1C9C357C" w14:textId="77777777" w:rsidR="00547E80" w:rsidRDefault="00547E80" w:rsidP="00547E80">
      <w:r>
        <w:rPr>
          <w:rStyle w:val="CommentReference"/>
        </w:rPr>
        <w:annotationRef/>
      </w:r>
      <w:r>
        <w:rPr>
          <w:sz w:val="20"/>
          <w:szCs w:val="20"/>
        </w:rPr>
        <w:t>lets add AST</w:t>
      </w:r>
    </w:p>
  </w:comment>
  <w:comment w:id="13" w:author="Dave Bridges" w:date="2025-09-23T09:45:00Z" w:initials="DB">
    <w:p w14:paraId="6CC275EF" w14:textId="56ACBB29" w:rsidR="00547E80" w:rsidRDefault="00547E80" w:rsidP="00547E80">
      <w:r>
        <w:rPr>
          <w:rStyle w:val="CommentReference"/>
        </w:rPr>
        <w:annotationRef/>
      </w:r>
      <w:r>
        <w:rPr>
          <w:sz w:val="20"/>
          <w:szCs w:val="20"/>
        </w:rPr>
        <w:t>Lets just report anything under 0.001 as &lt;0.001 since these are all astronomically low.</w:t>
      </w:r>
    </w:p>
    <w:p w14:paraId="7B334848" w14:textId="77777777" w:rsidR="00547E80" w:rsidRDefault="00547E80" w:rsidP="00547E80"/>
    <w:p w14:paraId="4ACD75D6" w14:textId="77777777" w:rsidR="00547E80" w:rsidRDefault="00547E80" w:rsidP="00547E80">
      <w:r>
        <w:rPr>
          <w:sz w:val="20"/>
          <w:szCs w:val="20"/>
        </w:rPr>
        <w:t>Also include effect sizes</w:t>
      </w:r>
    </w:p>
  </w:comment>
  <w:comment w:id="14" w:author="Dave Bridges" w:date="2025-09-23T09:45:00Z" w:initials="DB">
    <w:p w14:paraId="5D48BE75" w14:textId="77777777" w:rsidR="00547E80" w:rsidRDefault="00547E80" w:rsidP="00547E80">
      <w:r>
        <w:rPr>
          <w:rStyle w:val="CommentReference"/>
        </w:rPr>
        <w:annotationRef/>
      </w:r>
      <w:r>
        <w:rPr>
          <w:sz w:val="20"/>
          <w:szCs w:val="20"/>
        </w:rPr>
        <w:t>Lets expand to TG, HDL and total C when we do the next data pull</w:t>
      </w:r>
    </w:p>
  </w:comment>
  <w:comment w:id="9" w:author="Dave Bridges" w:date="2025-09-07T20:08:00Z" w:initials="DB">
    <w:p w14:paraId="57ADD46F" w14:textId="68BE7AD3" w:rsidR="002E0B3A" w:rsidRDefault="002E0B3A" w:rsidP="002E0B3A">
      <w:r>
        <w:rPr>
          <w:rStyle w:val="CommentReference"/>
        </w:rPr>
        <w:annotationRef/>
      </w:r>
      <w:r>
        <w:rPr>
          <w:sz w:val="20"/>
          <w:szCs w:val="20"/>
        </w:rPr>
        <w:t>@trey why dont you give a try of explaining these, first talking about the effects of Cushings (see Table 3A) and then whether there is evidence of positive or negative effect modification (Table 3B)</w:t>
      </w:r>
    </w:p>
  </w:comment>
  <w:comment w:id="10" w:author="Carr, Treyton" w:date="2025-09-23T00:51:00Z" w:initials="CT">
    <w:p w14:paraId="54EF4F8A" w14:textId="77777777" w:rsidR="00A250E3" w:rsidRDefault="00A250E3" w:rsidP="00A250E3">
      <w:r>
        <w:rPr>
          <w:rStyle w:val="CommentReference"/>
        </w:rPr>
        <w:annotationRef/>
      </w:r>
      <w:r>
        <w:rPr>
          <w:sz w:val="20"/>
          <w:szCs w:val="20"/>
        </w:rPr>
        <w:t>Gave it a shot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048B1C6" w15:done="0"/>
  <w15:commentEx w15:paraId="30EA8164" w15:done="0"/>
  <w15:commentEx w15:paraId="03BC0566" w15:paraIdParent="30EA8164" w15:done="0"/>
  <w15:commentEx w15:paraId="1DD21AA1" w15:done="0"/>
  <w15:commentEx w15:paraId="2B4220B9" w15:done="0"/>
  <w15:commentEx w15:paraId="392E4D0B" w15:done="0"/>
  <w15:commentEx w15:paraId="72F74B19" w15:paraIdParent="392E4D0B" w15:done="0"/>
  <w15:commentEx w15:paraId="55516B0E" w15:paraIdParent="392E4D0B" w15:done="0"/>
  <w15:commentEx w15:paraId="27A1600A" w15:paraIdParent="392E4D0B" w15:done="0"/>
  <w15:commentEx w15:paraId="00B0B8E1" w15:done="0"/>
  <w15:commentEx w15:paraId="1C9C357C" w15:done="0"/>
  <w15:commentEx w15:paraId="4ACD75D6" w15:done="1"/>
  <w15:commentEx w15:paraId="5D48BE75" w15:done="1"/>
  <w15:commentEx w15:paraId="57ADD46F" w15:done="0"/>
  <w15:commentEx w15:paraId="54EF4F8A" w15:paraIdParent="57ADD46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B615881" w16cex:dateUtc="2025-11-09T04:56:00Z"/>
  <w16cex:commentExtensible w16cex:durableId="7BBB9387" w16cex:dateUtc="2025-09-07T23:14:00Z"/>
  <w16cex:commentExtensible w16cex:durableId="5C3B7975" w16cex:dateUtc="2025-11-09T04:41:00Z"/>
  <w16cex:commentExtensible w16cex:durableId="1A95B88A" w16cex:dateUtc="2025-09-05T23:50:00Z"/>
  <w16cex:commentExtensible w16cex:durableId="73524BEF" w16cex:dateUtc="2025-09-07T18:40:00Z"/>
  <w16cex:commentExtensible w16cex:durableId="4FC4BC49" w16cex:dateUtc="2025-09-05T23:38:00Z"/>
  <w16cex:commentExtensible w16cex:durableId="5D0CA468" w16cex:dateUtc="2025-09-16T15:51:00Z"/>
  <w16cex:commentExtensible w16cex:durableId="01936C22" w16cex:dateUtc="2025-09-23T13:31:00Z"/>
  <w16cex:commentExtensible w16cex:durableId="587436AC" w16cex:dateUtc="2025-09-23T13:32:00Z"/>
  <w16cex:commentExtensible w16cex:durableId="399AC0EA" w16cex:dateUtc="2025-09-23T13:44:00Z"/>
  <w16cex:commentExtensible w16cex:durableId="766235EF" w16cex:dateUtc="2025-09-23T13:45:00Z"/>
  <w16cex:commentExtensible w16cex:durableId="2F71EC13" w16cex:dateUtc="2025-09-23T13:45:00Z"/>
  <w16cex:commentExtensible w16cex:durableId="7A7E4C1B" w16cex:dateUtc="2025-09-23T13:45:00Z"/>
  <w16cex:commentExtensible w16cex:durableId="4855A8FC" w16cex:dateUtc="2025-09-08T00:08:00Z"/>
  <w16cex:commentExtensible w16cex:durableId="4A77F548" w16cex:dateUtc="2025-09-23T04: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048B1C6" w16cid:durableId="7B615881"/>
  <w16cid:commentId w16cid:paraId="30EA8164" w16cid:durableId="7BBB9387"/>
  <w16cid:commentId w16cid:paraId="03BC0566" w16cid:durableId="5C3B7975"/>
  <w16cid:commentId w16cid:paraId="1DD21AA1" w16cid:durableId="1A95B88A"/>
  <w16cid:commentId w16cid:paraId="2B4220B9" w16cid:durableId="73524BEF"/>
  <w16cid:commentId w16cid:paraId="392E4D0B" w16cid:durableId="4FC4BC49"/>
  <w16cid:commentId w16cid:paraId="72F74B19" w16cid:durableId="5D0CA468"/>
  <w16cid:commentId w16cid:paraId="55516B0E" w16cid:durableId="01936C22"/>
  <w16cid:commentId w16cid:paraId="27A1600A" w16cid:durableId="587436AC"/>
  <w16cid:commentId w16cid:paraId="00B0B8E1" w16cid:durableId="399AC0EA"/>
  <w16cid:commentId w16cid:paraId="1C9C357C" w16cid:durableId="766235EF"/>
  <w16cid:commentId w16cid:paraId="4ACD75D6" w16cid:durableId="2F71EC13"/>
  <w16cid:commentId w16cid:paraId="5D48BE75" w16cid:durableId="7A7E4C1B"/>
  <w16cid:commentId w16cid:paraId="57ADD46F" w16cid:durableId="4855A8FC"/>
  <w16cid:commentId w16cid:paraId="54EF4F8A" w16cid:durableId="4A77F54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1"/>
  </w:num>
  <w:num w:numId="2" w16cid:durableId="278075531">
    <w:abstractNumId w:val="3"/>
  </w:num>
  <w:num w:numId="3" w16cid:durableId="759060415">
    <w:abstractNumId w:val="4"/>
  </w:num>
  <w:num w:numId="4" w16cid:durableId="702511983">
    <w:abstractNumId w:val="5"/>
  </w:num>
  <w:num w:numId="5" w16cid:durableId="178588088">
    <w:abstractNumId w:val="2"/>
  </w:num>
  <w:num w:numId="6" w16cid:durableId="14254911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r, Treyton">
    <w15:presenceInfo w15:providerId="AD" w15:userId="S::treycarr@umich.edu::2d7a502c-7154-4eba-af5f-8ba5f8b51ac9"/>
  </w15:person>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7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11DCF"/>
    <w:rsid w:val="000211F7"/>
    <w:rsid w:val="00027DE9"/>
    <w:rsid w:val="0005218F"/>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115D9B"/>
    <w:rsid w:val="00117948"/>
    <w:rsid w:val="00141C21"/>
    <w:rsid w:val="00146173"/>
    <w:rsid w:val="0015020F"/>
    <w:rsid w:val="001515AD"/>
    <w:rsid w:val="001525EE"/>
    <w:rsid w:val="00161005"/>
    <w:rsid w:val="00165647"/>
    <w:rsid w:val="001A5301"/>
    <w:rsid w:val="001C5750"/>
    <w:rsid w:val="001D4725"/>
    <w:rsid w:val="001E3F4F"/>
    <w:rsid w:val="001E5F79"/>
    <w:rsid w:val="001F149F"/>
    <w:rsid w:val="001F1825"/>
    <w:rsid w:val="001F2A30"/>
    <w:rsid w:val="001F2B27"/>
    <w:rsid w:val="001F3717"/>
    <w:rsid w:val="001F37CB"/>
    <w:rsid w:val="00211C64"/>
    <w:rsid w:val="002120E7"/>
    <w:rsid w:val="00217D46"/>
    <w:rsid w:val="00222730"/>
    <w:rsid w:val="0022433B"/>
    <w:rsid w:val="00225091"/>
    <w:rsid w:val="002313EA"/>
    <w:rsid w:val="00233DA7"/>
    <w:rsid w:val="00244F96"/>
    <w:rsid w:val="00250B3C"/>
    <w:rsid w:val="00251095"/>
    <w:rsid w:val="00251B10"/>
    <w:rsid w:val="0025516C"/>
    <w:rsid w:val="00257105"/>
    <w:rsid w:val="00274AF9"/>
    <w:rsid w:val="0028006B"/>
    <w:rsid w:val="002827EA"/>
    <w:rsid w:val="00293D99"/>
    <w:rsid w:val="002964F2"/>
    <w:rsid w:val="002A005D"/>
    <w:rsid w:val="002C7C4B"/>
    <w:rsid w:val="002D16BA"/>
    <w:rsid w:val="002D2E10"/>
    <w:rsid w:val="002D4286"/>
    <w:rsid w:val="002D4F83"/>
    <w:rsid w:val="002D6593"/>
    <w:rsid w:val="002E0B3A"/>
    <w:rsid w:val="002E219B"/>
    <w:rsid w:val="002E3F3F"/>
    <w:rsid w:val="002F3DB8"/>
    <w:rsid w:val="002F563D"/>
    <w:rsid w:val="002F7776"/>
    <w:rsid w:val="002F7D72"/>
    <w:rsid w:val="00300DA1"/>
    <w:rsid w:val="00307DE8"/>
    <w:rsid w:val="00327582"/>
    <w:rsid w:val="00330AF2"/>
    <w:rsid w:val="003318B0"/>
    <w:rsid w:val="003376C5"/>
    <w:rsid w:val="00340CA3"/>
    <w:rsid w:val="00347044"/>
    <w:rsid w:val="00357A9C"/>
    <w:rsid w:val="00357D5C"/>
    <w:rsid w:val="00364B2E"/>
    <w:rsid w:val="00366F5C"/>
    <w:rsid w:val="003734AC"/>
    <w:rsid w:val="00382FE3"/>
    <w:rsid w:val="00383C2A"/>
    <w:rsid w:val="00384276"/>
    <w:rsid w:val="003868BC"/>
    <w:rsid w:val="00392C7F"/>
    <w:rsid w:val="00392FE2"/>
    <w:rsid w:val="00395991"/>
    <w:rsid w:val="003971E3"/>
    <w:rsid w:val="00397C62"/>
    <w:rsid w:val="003B3419"/>
    <w:rsid w:val="003C031C"/>
    <w:rsid w:val="003C0A11"/>
    <w:rsid w:val="003D16DC"/>
    <w:rsid w:val="003E5857"/>
    <w:rsid w:val="003F09D7"/>
    <w:rsid w:val="003F6B95"/>
    <w:rsid w:val="003F6EB0"/>
    <w:rsid w:val="00406C2E"/>
    <w:rsid w:val="00445280"/>
    <w:rsid w:val="004561B8"/>
    <w:rsid w:val="004709DD"/>
    <w:rsid w:val="004777E7"/>
    <w:rsid w:val="00484144"/>
    <w:rsid w:val="00484410"/>
    <w:rsid w:val="00487A21"/>
    <w:rsid w:val="004A06E2"/>
    <w:rsid w:val="004A23A7"/>
    <w:rsid w:val="004B0142"/>
    <w:rsid w:val="004B19B0"/>
    <w:rsid w:val="004B6782"/>
    <w:rsid w:val="004C2F28"/>
    <w:rsid w:val="004C3E7B"/>
    <w:rsid w:val="004C5BA6"/>
    <w:rsid w:val="004C6219"/>
    <w:rsid w:val="004C7F1F"/>
    <w:rsid w:val="004D346F"/>
    <w:rsid w:val="004E3BB2"/>
    <w:rsid w:val="004E7691"/>
    <w:rsid w:val="004F6EB4"/>
    <w:rsid w:val="0050389F"/>
    <w:rsid w:val="00506077"/>
    <w:rsid w:val="005100C2"/>
    <w:rsid w:val="005123D2"/>
    <w:rsid w:val="00512484"/>
    <w:rsid w:val="00514AC5"/>
    <w:rsid w:val="005175C1"/>
    <w:rsid w:val="00523070"/>
    <w:rsid w:val="005245FA"/>
    <w:rsid w:val="00531147"/>
    <w:rsid w:val="0053238C"/>
    <w:rsid w:val="00535314"/>
    <w:rsid w:val="00537BCF"/>
    <w:rsid w:val="00544AC6"/>
    <w:rsid w:val="00547E80"/>
    <w:rsid w:val="00552455"/>
    <w:rsid w:val="00556C78"/>
    <w:rsid w:val="00575431"/>
    <w:rsid w:val="00576DB5"/>
    <w:rsid w:val="00590023"/>
    <w:rsid w:val="00590933"/>
    <w:rsid w:val="005A3F4C"/>
    <w:rsid w:val="005A4BA3"/>
    <w:rsid w:val="005B5A17"/>
    <w:rsid w:val="005B674A"/>
    <w:rsid w:val="005C51F7"/>
    <w:rsid w:val="005C6416"/>
    <w:rsid w:val="005C770F"/>
    <w:rsid w:val="005D20D7"/>
    <w:rsid w:val="005D2153"/>
    <w:rsid w:val="005D2597"/>
    <w:rsid w:val="005D57A7"/>
    <w:rsid w:val="005E1BF2"/>
    <w:rsid w:val="005E3FBA"/>
    <w:rsid w:val="005E5E64"/>
    <w:rsid w:val="005F2A7E"/>
    <w:rsid w:val="00607605"/>
    <w:rsid w:val="00610F74"/>
    <w:rsid w:val="0061406A"/>
    <w:rsid w:val="00623FB0"/>
    <w:rsid w:val="00624300"/>
    <w:rsid w:val="00624349"/>
    <w:rsid w:val="00630F22"/>
    <w:rsid w:val="00637BDD"/>
    <w:rsid w:val="006474D9"/>
    <w:rsid w:val="00666B75"/>
    <w:rsid w:val="0067322A"/>
    <w:rsid w:val="00680857"/>
    <w:rsid w:val="0068193C"/>
    <w:rsid w:val="00693DE3"/>
    <w:rsid w:val="0069411B"/>
    <w:rsid w:val="006970B2"/>
    <w:rsid w:val="006A5655"/>
    <w:rsid w:val="006B07F9"/>
    <w:rsid w:val="006D3471"/>
    <w:rsid w:val="006D6F09"/>
    <w:rsid w:val="006E0585"/>
    <w:rsid w:val="006E213E"/>
    <w:rsid w:val="006E63C3"/>
    <w:rsid w:val="006E63D1"/>
    <w:rsid w:val="006F63F4"/>
    <w:rsid w:val="006F745F"/>
    <w:rsid w:val="00700188"/>
    <w:rsid w:val="00701106"/>
    <w:rsid w:val="007067B2"/>
    <w:rsid w:val="00707168"/>
    <w:rsid w:val="00717EE5"/>
    <w:rsid w:val="00733E55"/>
    <w:rsid w:val="0073637F"/>
    <w:rsid w:val="00745F22"/>
    <w:rsid w:val="007513E1"/>
    <w:rsid w:val="0075342D"/>
    <w:rsid w:val="007563ED"/>
    <w:rsid w:val="00757F8B"/>
    <w:rsid w:val="00760470"/>
    <w:rsid w:val="00762DC2"/>
    <w:rsid w:val="00766990"/>
    <w:rsid w:val="0076763C"/>
    <w:rsid w:val="007762DE"/>
    <w:rsid w:val="007778CD"/>
    <w:rsid w:val="0078085F"/>
    <w:rsid w:val="00794C81"/>
    <w:rsid w:val="007A4F25"/>
    <w:rsid w:val="007A68CC"/>
    <w:rsid w:val="007B483A"/>
    <w:rsid w:val="007C359B"/>
    <w:rsid w:val="007C7FAA"/>
    <w:rsid w:val="007F1332"/>
    <w:rsid w:val="007F3FF1"/>
    <w:rsid w:val="007F5037"/>
    <w:rsid w:val="007F7122"/>
    <w:rsid w:val="007F7E35"/>
    <w:rsid w:val="00803FF2"/>
    <w:rsid w:val="008132DA"/>
    <w:rsid w:val="008174BE"/>
    <w:rsid w:val="00823B54"/>
    <w:rsid w:val="00824505"/>
    <w:rsid w:val="008255C6"/>
    <w:rsid w:val="008263E3"/>
    <w:rsid w:val="0083381B"/>
    <w:rsid w:val="00833E08"/>
    <w:rsid w:val="0084083C"/>
    <w:rsid w:val="00843B6D"/>
    <w:rsid w:val="008461E9"/>
    <w:rsid w:val="00846B21"/>
    <w:rsid w:val="00856B5B"/>
    <w:rsid w:val="008610C9"/>
    <w:rsid w:val="00862CD1"/>
    <w:rsid w:val="0087149B"/>
    <w:rsid w:val="00871AD9"/>
    <w:rsid w:val="00877754"/>
    <w:rsid w:val="008778C4"/>
    <w:rsid w:val="0088544C"/>
    <w:rsid w:val="00886180"/>
    <w:rsid w:val="00892425"/>
    <w:rsid w:val="008A2BDA"/>
    <w:rsid w:val="008A349D"/>
    <w:rsid w:val="008C3302"/>
    <w:rsid w:val="008E0C96"/>
    <w:rsid w:val="008E145A"/>
    <w:rsid w:val="008E3845"/>
    <w:rsid w:val="008F4A4D"/>
    <w:rsid w:val="008F5172"/>
    <w:rsid w:val="008F51CB"/>
    <w:rsid w:val="008F5461"/>
    <w:rsid w:val="009030CE"/>
    <w:rsid w:val="00906A0F"/>
    <w:rsid w:val="00907AA6"/>
    <w:rsid w:val="0091409B"/>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80D41"/>
    <w:rsid w:val="00990A8A"/>
    <w:rsid w:val="00992B19"/>
    <w:rsid w:val="00995BC6"/>
    <w:rsid w:val="0099707F"/>
    <w:rsid w:val="009A1E34"/>
    <w:rsid w:val="009B1202"/>
    <w:rsid w:val="009B7D61"/>
    <w:rsid w:val="009D5C66"/>
    <w:rsid w:val="009D7F38"/>
    <w:rsid w:val="009E4E77"/>
    <w:rsid w:val="009F2F1E"/>
    <w:rsid w:val="00A01365"/>
    <w:rsid w:val="00A055E2"/>
    <w:rsid w:val="00A059AA"/>
    <w:rsid w:val="00A066E7"/>
    <w:rsid w:val="00A12A68"/>
    <w:rsid w:val="00A250E3"/>
    <w:rsid w:val="00A4251B"/>
    <w:rsid w:val="00A458DF"/>
    <w:rsid w:val="00A46BC5"/>
    <w:rsid w:val="00A55A54"/>
    <w:rsid w:val="00A6487A"/>
    <w:rsid w:val="00A71528"/>
    <w:rsid w:val="00A72D3E"/>
    <w:rsid w:val="00A95A18"/>
    <w:rsid w:val="00A9666F"/>
    <w:rsid w:val="00AA272E"/>
    <w:rsid w:val="00AA6407"/>
    <w:rsid w:val="00AB6721"/>
    <w:rsid w:val="00AB6DA4"/>
    <w:rsid w:val="00AB7571"/>
    <w:rsid w:val="00AC5992"/>
    <w:rsid w:val="00AD3DB0"/>
    <w:rsid w:val="00AD3EA3"/>
    <w:rsid w:val="00AD6AAA"/>
    <w:rsid w:val="00AE3366"/>
    <w:rsid w:val="00AE722C"/>
    <w:rsid w:val="00AE7A00"/>
    <w:rsid w:val="00AF7C3C"/>
    <w:rsid w:val="00B019BA"/>
    <w:rsid w:val="00B04A0C"/>
    <w:rsid w:val="00B120BC"/>
    <w:rsid w:val="00B1299C"/>
    <w:rsid w:val="00B13840"/>
    <w:rsid w:val="00B13E52"/>
    <w:rsid w:val="00B15E61"/>
    <w:rsid w:val="00B25EBD"/>
    <w:rsid w:val="00B32E48"/>
    <w:rsid w:val="00B332B4"/>
    <w:rsid w:val="00B442E2"/>
    <w:rsid w:val="00B5317F"/>
    <w:rsid w:val="00B623DA"/>
    <w:rsid w:val="00B82286"/>
    <w:rsid w:val="00B822C5"/>
    <w:rsid w:val="00B83F54"/>
    <w:rsid w:val="00B859CD"/>
    <w:rsid w:val="00B87243"/>
    <w:rsid w:val="00B917E0"/>
    <w:rsid w:val="00BA26CD"/>
    <w:rsid w:val="00BB142D"/>
    <w:rsid w:val="00BC1FAB"/>
    <w:rsid w:val="00BF3E45"/>
    <w:rsid w:val="00BF48EC"/>
    <w:rsid w:val="00BF6701"/>
    <w:rsid w:val="00C120C9"/>
    <w:rsid w:val="00C13A34"/>
    <w:rsid w:val="00C16149"/>
    <w:rsid w:val="00C17174"/>
    <w:rsid w:val="00C17BC9"/>
    <w:rsid w:val="00C24F2C"/>
    <w:rsid w:val="00C33455"/>
    <w:rsid w:val="00C363FB"/>
    <w:rsid w:val="00C452F2"/>
    <w:rsid w:val="00C47B8B"/>
    <w:rsid w:val="00C530B0"/>
    <w:rsid w:val="00C53982"/>
    <w:rsid w:val="00C56731"/>
    <w:rsid w:val="00C6034C"/>
    <w:rsid w:val="00C60D56"/>
    <w:rsid w:val="00C6526C"/>
    <w:rsid w:val="00C71CFA"/>
    <w:rsid w:val="00C75CF8"/>
    <w:rsid w:val="00C768F8"/>
    <w:rsid w:val="00C77D95"/>
    <w:rsid w:val="00C910F4"/>
    <w:rsid w:val="00CA6AA1"/>
    <w:rsid w:val="00CB1C77"/>
    <w:rsid w:val="00CB1DEF"/>
    <w:rsid w:val="00CB34F2"/>
    <w:rsid w:val="00CC022F"/>
    <w:rsid w:val="00CC183C"/>
    <w:rsid w:val="00CC3CD9"/>
    <w:rsid w:val="00CC7459"/>
    <w:rsid w:val="00CD04B1"/>
    <w:rsid w:val="00CD286D"/>
    <w:rsid w:val="00CD44D9"/>
    <w:rsid w:val="00CD4531"/>
    <w:rsid w:val="00CD5385"/>
    <w:rsid w:val="00CD7E21"/>
    <w:rsid w:val="00CE39F7"/>
    <w:rsid w:val="00CE6FC9"/>
    <w:rsid w:val="00CE7389"/>
    <w:rsid w:val="00D04751"/>
    <w:rsid w:val="00D06B2A"/>
    <w:rsid w:val="00D11E7C"/>
    <w:rsid w:val="00D21775"/>
    <w:rsid w:val="00D24A48"/>
    <w:rsid w:val="00D25FD9"/>
    <w:rsid w:val="00D374A8"/>
    <w:rsid w:val="00D37846"/>
    <w:rsid w:val="00D44D39"/>
    <w:rsid w:val="00D52FF1"/>
    <w:rsid w:val="00D54468"/>
    <w:rsid w:val="00D54B93"/>
    <w:rsid w:val="00D61050"/>
    <w:rsid w:val="00D61241"/>
    <w:rsid w:val="00D6267F"/>
    <w:rsid w:val="00D63F7D"/>
    <w:rsid w:val="00D64C42"/>
    <w:rsid w:val="00D72666"/>
    <w:rsid w:val="00D808B0"/>
    <w:rsid w:val="00D9027A"/>
    <w:rsid w:val="00D92D6A"/>
    <w:rsid w:val="00D92F6A"/>
    <w:rsid w:val="00D94528"/>
    <w:rsid w:val="00D94DFE"/>
    <w:rsid w:val="00DA5579"/>
    <w:rsid w:val="00DB1CA5"/>
    <w:rsid w:val="00DB1E56"/>
    <w:rsid w:val="00DC6771"/>
    <w:rsid w:val="00DC6EFA"/>
    <w:rsid w:val="00DC7DB2"/>
    <w:rsid w:val="00DC7FDB"/>
    <w:rsid w:val="00DE29C9"/>
    <w:rsid w:val="00DE3FF2"/>
    <w:rsid w:val="00DE6AEE"/>
    <w:rsid w:val="00E0079E"/>
    <w:rsid w:val="00E00F5E"/>
    <w:rsid w:val="00E024E8"/>
    <w:rsid w:val="00E05798"/>
    <w:rsid w:val="00E16C92"/>
    <w:rsid w:val="00E17F7E"/>
    <w:rsid w:val="00E2062D"/>
    <w:rsid w:val="00E26C14"/>
    <w:rsid w:val="00E3456B"/>
    <w:rsid w:val="00E37E42"/>
    <w:rsid w:val="00E46FD8"/>
    <w:rsid w:val="00E539D6"/>
    <w:rsid w:val="00E644BF"/>
    <w:rsid w:val="00EA0B24"/>
    <w:rsid w:val="00EA6CE9"/>
    <w:rsid w:val="00EB133A"/>
    <w:rsid w:val="00ED1443"/>
    <w:rsid w:val="00EE4FAC"/>
    <w:rsid w:val="00EF21C3"/>
    <w:rsid w:val="00F01EE3"/>
    <w:rsid w:val="00F02252"/>
    <w:rsid w:val="00F153C5"/>
    <w:rsid w:val="00F227EF"/>
    <w:rsid w:val="00F247B6"/>
    <w:rsid w:val="00F41EEB"/>
    <w:rsid w:val="00F455CD"/>
    <w:rsid w:val="00F541B2"/>
    <w:rsid w:val="00F603A0"/>
    <w:rsid w:val="00F67CDF"/>
    <w:rsid w:val="00F823CE"/>
    <w:rsid w:val="00F93FE3"/>
    <w:rsid w:val="00FA3B24"/>
    <w:rsid w:val="00FB04DA"/>
    <w:rsid w:val="00FB26BE"/>
    <w:rsid w:val="00FB3A40"/>
    <w:rsid w:val="00FC0A4C"/>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3D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3D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3D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3D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3D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3D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spacing w:after="0" w:line="480" w:lineRule="auto"/>
      <w:ind w:left="720" w:hanging="720"/>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doi.org/10.1111/cen.12644" TargetMode="External"/><Relationship Id="rId2" Type="http://schemas.openxmlformats.org/officeDocument/2006/relationships/hyperlink" Target="https://doi.org/10.3171/2014.11.FOCUS14694" TargetMode="External"/><Relationship Id="rId1" Type="http://schemas.openxmlformats.org/officeDocument/2006/relationships/hyperlink" Target="https://doi-org.proxy.lib.umich.edu/10.1210/jendso/bvab176" TargetMode="External"/><Relationship Id="rId6" Type="http://schemas.openxmlformats.org/officeDocument/2006/relationships/hyperlink" Target="https://pmc.ncbi.nlm.nih.gov/articles/PMC5552413/" TargetMode="External"/><Relationship Id="rId5" Type="http://schemas.openxmlformats.org/officeDocument/2006/relationships/hyperlink" Target="https://pmc.ncbi.nlm.nih.gov/articles/PMC5552413/" TargetMode="External"/><Relationship Id="rId4" Type="http://schemas.openxmlformats.org/officeDocument/2006/relationships/hyperlink" Target="https://doi.org/10.1038/pr.2017.58"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291</TotalTime>
  <Pages>9</Pages>
  <Words>5696</Words>
  <Characters>32468</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108</cp:revision>
  <dcterms:created xsi:type="dcterms:W3CDTF">2025-09-05T13:57:00Z</dcterms:created>
  <dcterms:modified xsi:type="dcterms:W3CDTF">2025-11-21T19:13:00Z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id="7luFiACx"/&gt;&lt;style id="http://www.zotero.org/styles/apa" locale="en-US" hasBibliography="1" bibliographyStyleHasBeenSet="1"/&gt;&lt;prefs&gt;&lt;pref name="fieldType" value="Field"/&gt;&lt;/prefs&gt;&lt;/data&gt;</vt:lpwstr>
  </property>
</Properties>
</file>