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7464D" w14:textId="725DAD91" w:rsidR="005B674A" w:rsidRDefault="0084083C" w:rsidP="0084083C">
      <w:r>
        <w:t>Treyton Carr, Irit Hochberg, and Dave Bridges</w:t>
      </w:r>
    </w:p>
    <w:p w14:paraId="54A8C49B" w14:textId="77777777" w:rsidR="0084083C" w:rsidRDefault="0084083C" w:rsidP="0084083C"/>
    <w:p w14:paraId="5B079A0E" w14:textId="1D9E2059" w:rsidR="0084083C" w:rsidRDefault="0084083C" w:rsidP="0084083C">
      <w:pPr>
        <w:pStyle w:val="Heading1"/>
      </w:pPr>
      <w:r>
        <w:t>Introduction</w:t>
      </w:r>
    </w:p>
    <w:p w14:paraId="1E449A07" w14:textId="77777777" w:rsidR="000B5B1C" w:rsidRDefault="0084083C" w:rsidP="0084083C">
      <w:r>
        <w:t>Cushing’s disease</w:t>
      </w:r>
      <w:r w:rsidR="00892425">
        <w:t xml:space="preserve"> is a </w:t>
      </w:r>
      <w:commentRangeStart w:id="0"/>
      <w:r w:rsidR="00892425">
        <w:t xml:space="preserve">rare </w:t>
      </w:r>
      <w:commentRangeEnd w:id="0"/>
      <w:r w:rsidR="000B5B1C">
        <w:rPr>
          <w:rStyle w:val="CommentReference"/>
          <w:sz w:val="24"/>
          <w:szCs w:val="24"/>
        </w:rPr>
        <w:commentReference w:id="0"/>
      </w:r>
      <w:r w:rsidR="00892425">
        <w:t>endocrine disorder</w:t>
      </w:r>
      <w:r w:rsidR="00995BC6">
        <w:t xml:space="preserve"> caused by the overproduction of cortisol, resulting in chronic </w:t>
      </w:r>
      <w:commentRangeStart w:id="1"/>
      <w:r w:rsidR="00995BC6">
        <w:t>hypercortisolism</w:t>
      </w:r>
      <w:commentRangeEnd w:id="1"/>
      <w:r w:rsidR="000B5B1C">
        <w:rPr>
          <w:rStyle w:val="CommentReference"/>
          <w:sz w:val="24"/>
          <w:szCs w:val="24"/>
        </w:rPr>
        <w:commentReference w:id="1"/>
      </w:r>
      <w:r w:rsidR="00995BC6">
        <w:t>.</w:t>
      </w:r>
      <w:r w:rsidR="00892425">
        <w:t xml:space="preserve"> The sickness affects women disproportionally to </w:t>
      </w:r>
      <w:commentRangeStart w:id="2"/>
      <w:commentRangeStart w:id="3"/>
      <w:r w:rsidR="00892425">
        <w:t xml:space="preserve">men </w:t>
      </w:r>
      <w:commentRangeEnd w:id="2"/>
      <w:r w:rsidR="00375BB6">
        <w:rPr>
          <w:rStyle w:val="CommentReference"/>
          <w:sz w:val="24"/>
          <w:szCs w:val="24"/>
        </w:rPr>
        <w:commentReference w:id="2"/>
      </w:r>
      <w:commentRangeEnd w:id="3"/>
      <w:r w:rsidR="00B87551">
        <w:rPr>
          <w:rStyle w:val="CommentReference"/>
          <w:sz w:val="24"/>
          <w:szCs w:val="24"/>
        </w:rPr>
        <w:commentReference w:id="3"/>
      </w:r>
      <w:r w:rsidR="00892425">
        <w:t xml:space="preserve">and is most often caused by a tumor on the anterior pituitary gland, or the adrenal </w:t>
      </w:r>
      <w:commentRangeStart w:id="4"/>
      <w:commentRangeStart w:id="5"/>
      <w:r w:rsidR="00892425">
        <w:t>gland</w:t>
      </w:r>
      <w:commentRangeEnd w:id="4"/>
      <w:r w:rsidR="000B5B1C">
        <w:rPr>
          <w:rStyle w:val="CommentReference"/>
          <w:sz w:val="24"/>
          <w:szCs w:val="24"/>
        </w:rPr>
        <w:commentReference w:id="4"/>
      </w:r>
      <w:commentRangeEnd w:id="5"/>
      <w:r w:rsidR="000B5B1C">
        <w:rPr>
          <w:rStyle w:val="CommentReference"/>
          <w:sz w:val="24"/>
          <w:szCs w:val="24"/>
        </w:rPr>
        <w:commentReference w:id="5"/>
      </w:r>
      <w:r w:rsidR="00892425">
        <w:t xml:space="preserve">. </w:t>
      </w:r>
    </w:p>
    <w:p w14:paraId="48B0E046" w14:textId="77777777" w:rsidR="000B5B1C" w:rsidRDefault="000B5B1C" w:rsidP="0084083C"/>
    <w:p w14:paraId="66F2A335" w14:textId="7A570A94" w:rsidR="000B5B1C" w:rsidRDefault="000B5B1C" w:rsidP="0084083C">
      <w:r>
        <w:t xml:space="preserve">One interesting aspect of Cushings’ Disease is that it causes both weight gain and an increase in weight-related co-morbidities.  </w:t>
      </w:r>
      <w:commentRangeStart w:id="6"/>
      <w:r>
        <w:t>XXXXX weight</w:t>
      </w:r>
      <w:commentRangeEnd w:id="6"/>
      <w:r>
        <w:rPr>
          <w:rStyle w:val="CommentReference"/>
          <w:sz w:val="24"/>
          <w:szCs w:val="24"/>
        </w:rPr>
        <w:commentReference w:id="6"/>
      </w:r>
      <w:r>
        <w:t>P</w:t>
      </w:r>
    </w:p>
    <w:p w14:paraId="1E9E619B" w14:textId="77777777" w:rsidR="000B5B1C" w:rsidRDefault="000B5B1C" w:rsidP="0084083C"/>
    <w:p w14:paraId="40136796" w14:textId="77777777" w:rsidR="00172EC2" w:rsidRDefault="000B5B1C" w:rsidP="0084083C">
      <w:commentRangeStart w:id="7"/>
      <w:commentRangeStart w:id="8"/>
      <w:r>
        <w:t>Aside from body weight the</w:t>
      </w:r>
      <w:r w:rsidR="00892425">
        <w:t xml:space="preserve"> effects of sustained elevation of cortisol in the body can present in a variety of ways in humans. These can include high blood pressure, diabetes, and </w:t>
      </w:r>
      <w:r>
        <w:t>liver disease</w:t>
      </w:r>
      <w:r w:rsidR="00892425">
        <w:t xml:space="preserve">. </w:t>
      </w:r>
      <w:commentRangeEnd w:id="7"/>
      <w:r w:rsidR="00375BB6">
        <w:rPr>
          <w:rStyle w:val="CommentReference"/>
          <w:sz w:val="24"/>
          <w:szCs w:val="24"/>
        </w:rPr>
        <w:commentReference w:id="7"/>
      </w:r>
      <w:commentRangeEnd w:id="8"/>
      <w:r w:rsidR="00375BB6">
        <w:rPr>
          <w:rStyle w:val="CommentReference"/>
          <w:sz w:val="24"/>
          <w:szCs w:val="24"/>
        </w:rPr>
        <w:commentReference w:id="8"/>
      </w:r>
    </w:p>
    <w:p w14:paraId="3389D029" w14:textId="30184B96" w:rsidR="0084083C" w:rsidRDefault="00892425" w:rsidP="0084083C">
      <w:r>
        <w:t xml:space="preserve">Many of these symptoms are </w:t>
      </w:r>
      <w:r w:rsidR="00172EC2">
        <w:t xml:space="preserve">also </w:t>
      </w:r>
      <w:r>
        <w:t>caused by obesity</w:t>
      </w:r>
      <w:r w:rsidR="00172EC2">
        <w:t>.  Therefore</w:t>
      </w:r>
      <w:r w:rsidR="00375BB6">
        <w:t>,</w:t>
      </w:r>
      <w:r w:rsidR="00172EC2">
        <w:t xml:space="preserve"> </w:t>
      </w:r>
      <w:r>
        <w:t xml:space="preserve">it is difficult to discern from the obesity-dependent from the obesity-independent mechanisms of Cushing’s disease. </w:t>
      </w:r>
      <w:r w:rsidR="00172EC2">
        <w:t>This retrospective observational study evaluated patients with Cushing’s disease from 2020-2025 via electronic medical records and evaluated these co-morbidities in patients with or without obesity.</w:t>
      </w:r>
    </w:p>
    <w:p w14:paraId="2172536D" w14:textId="77777777" w:rsidR="0084083C" w:rsidRDefault="0084083C" w:rsidP="0084083C"/>
    <w:p w14:paraId="44339A00" w14:textId="5DEFC8CD" w:rsidR="00B859CD" w:rsidRDefault="00B859CD" w:rsidP="00EB133A">
      <w:pPr>
        <w:pStyle w:val="Heading1"/>
      </w:pPr>
      <w:r>
        <w:t>Methods</w:t>
      </w:r>
    </w:p>
    <w:p w14:paraId="39AC5F09" w14:textId="7CE14945" w:rsidR="00B859CD" w:rsidRPr="00B859CD" w:rsidRDefault="00B859CD" w:rsidP="00B859CD">
      <w:pPr>
        <w:rPr>
          <w:b/>
          <w:bCs/>
        </w:rPr>
      </w:pPr>
      <w:r w:rsidRPr="00B859CD">
        <w:rPr>
          <w:b/>
          <w:bCs/>
        </w:rPr>
        <w:t>Study Participants</w:t>
      </w:r>
      <w:r>
        <w:rPr>
          <w:b/>
          <w:bCs/>
        </w:rPr>
        <w:t xml:space="preserve">. </w:t>
      </w:r>
      <w:r>
        <w:t xml:space="preserve">This study was reviewed by the University of Michigan </w:t>
      </w:r>
      <w:r w:rsidR="00445280">
        <w:t>Institutional</w:t>
      </w:r>
      <w:r>
        <w:t xml:space="preserve"> Review Board (</w:t>
      </w:r>
      <w:r w:rsidR="00445280" w:rsidRPr="00445280">
        <w:t>HUM00247814</w:t>
      </w:r>
      <w:r w:rsidR="00445280">
        <w:t xml:space="preserve">) </w:t>
      </w:r>
      <w:r>
        <w:t xml:space="preserve">and </w:t>
      </w:r>
      <w:r w:rsidR="00445280">
        <w:t>adjudicated as not regulated.</w:t>
      </w:r>
    </w:p>
    <w:p w14:paraId="7FA34512" w14:textId="74DDF0DC" w:rsidR="00B859CD" w:rsidRDefault="00B859CD" w:rsidP="00B859CD">
      <w:r>
        <w:t xml:space="preserve">To identify patients with Cushing’s disease, we evaluated electronic health records </w:t>
      </w:r>
      <w:r w:rsidR="00575431">
        <w:t>for participants at</w:t>
      </w:r>
      <w:r>
        <w:t xml:space="preserve"> Michigan Medicine dating back to January 1, 2000, searching for diagnoses of Cushing’s disease including ICD Codes (</w:t>
      </w:r>
      <w:r w:rsidR="00995BC6">
        <w:t>E24.0, 255.0</w:t>
      </w:r>
      <w:r>
        <w:t>)</w:t>
      </w:r>
      <w:r w:rsidR="004561B8">
        <w:t xml:space="preserve">.  </w:t>
      </w:r>
      <w:r w:rsidR="00E16C92">
        <w:t xml:space="preserve"> </w:t>
      </w:r>
      <w:r w:rsidR="004561B8">
        <w:t>To identify when patients were treated</w:t>
      </w:r>
      <w:r w:rsidR="000C0BDB">
        <w:t xml:space="preserve"> via surgery,</w:t>
      </w:r>
      <w:r w:rsidR="004561B8">
        <w:t xml:space="preserve"> we included procedure codes </w:t>
      </w:r>
      <w:commentRangeStart w:id="9"/>
      <w:commentRangeStart w:id="10"/>
      <w:r w:rsidR="004561B8">
        <w:t>YYY</w:t>
      </w:r>
      <w:commentRangeEnd w:id="9"/>
      <w:r w:rsidR="008610C9">
        <w:rPr>
          <w:rStyle w:val="CommentReference"/>
          <w:sz w:val="24"/>
          <w:szCs w:val="24"/>
        </w:rPr>
        <w:commentReference w:id="9"/>
      </w:r>
      <w:commentRangeEnd w:id="10"/>
      <w:r w:rsidR="00995BC6">
        <w:rPr>
          <w:rStyle w:val="CommentReference"/>
          <w:sz w:val="24"/>
          <w:szCs w:val="24"/>
        </w:rPr>
        <w:commentReference w:id="10"/>
      </w:r>
      <w:r w:rsidR="004561B8">
        <w:t>.</w:t>
      </w:r>
      <w:r w:rsidR="004B0142">
        <w:t xml:space="preserve">  We excluded participants if they </w:t>
      </w:r>
      <w:r w:rsidR="00995BC6">
        <w:t>did not have a Cushing’s disease diagnosis, treatment date, lab history, or relevant demographic data documented.</w:t>
      </w:r>
      <w:r w:rsidR="00927FED">
        <w:t xml:space="preserve"> Race and ethnicity were self-reported, with groups of &lt;10 aggregated into the other category.</w:t>
      </w:r>
      <w:r w:rsidR="003318B0">
        <w:t xml:space="preserve"> </w:t>
      </w:r>
    </w:p>
    <w:p w14:paraId="3EB20B21" w14:textId="16AF4C65" w:rsidR="004B0142" w:rsidRDefault="00E2062D" w:rsidP="004B0142">
      <w:r>
        <w:lastRenderedPageBreak/>
        <w:t xml:space="preserve">To identify controls, </w:t>
      </w:r>
      <w:r w:rsidR="007A4F25">
        <w:t>we used</w:t>
      </w:r>
      <w:r w:rsidR="004B0142">
        <w:t xml:space="preserve"> the </w:t>
      </w:r>
      <w:r w:rsidR="007A4F25">
        <w:t xml:space="preserve"> MatchIt </w:t>
      </w:r>
      <w:r w:rsidR="004B0142">
        <w:t xml:space="preserve">package </w:t>
      </w:r>
      <w:r w:rsidR="007A4F25">
        <w:t xml:space="preserve">(version </w:t>
      </w:r>
      <w:r w:rsidR="00AB7571">
        <w:t xml:space="preserve">4.7.1; </w:t>
      </w:r>
      <w:r w:rsidR="00AB7571">
        <w:fldChar w:fldCharType="begin"/>
      </w:r>
      <w:r w:rsidR="00AB7571">
        <w:instrText xml:space="preserve"> ADDIN ZOTERO_ITEM CSL_CITATION {"citationID":"Pl5Gc3F1","properties":{"formattedCitation":"(Ho et al., 2011)","plainCitation":"(Ho et al., 2011)","noteIndex":0},"citationItems":[{"id":12196,"uris":["http://zotero.org/users/7317906/items/H5CAAL6F"],"itemData":{"id":12196,"type":"article-journal","abstract":"MatchIt implements the suggestions of Ho, Imai, King, and Stuart (2007) for improving parametric statistical models by preprocessing data with nonparametric matching methods. MatchIt implements a wide range of sophisticated matching methods, making it possible to greatly reduce the dependence of causal inferences on hard-to-justify, but commonly made, statistical modeling assumptions. The software also easily fits into existing research practices since, after preprocessing data with MatchIt, researchers can use whatever parametric model they would have used without MatchIt, but produce inferences with substantially more robustness and less sensitivity to modeling assumptions. MatchIt is an R program, and also works seamlessly with Zelig.","container-title":"Journal of Statistical Software","DOI":"10.18637/jss.v042.i08","ISSN":"1548-7660","language":"en","license":"Copyright (c) 2006 Daniel Ho, Kosuke Imai, Gary King, Elizabeth A. Stuart","page":"1-28","source":"www.jstatsoft.org","title":"MatchIt: Nonparametric Preprocessing for Parametric Causal Inference","title-short":"MatchIt","volume":"42","author":[{"family":"Ho","given":"Daniel"},{"family":"Imai","given":"Kosuke"},{"family":"King","given":"Gary"},{"family":"Stuart","given":"Elizabeth A."}],"issued":{"date-parts":[["2011",6,14]]},"citation-key":"hoMatchItNonparametricPreprocessing2011"}}],"schema":"https://github.com/citation-style-language/schema/raw/master/csl-citation.json"} </w:instrText>
      </w:r>
      <w:r w:rsidR="00AB7571">
        <w:fldChar w:fldCharType="separate"/>
      </w:r>
      <w:r w:rsidR="00AB7571">
        <w:rPr>
          <w:noProof/>
        </w:rPr>
        <w:t>(Ho et al., 2011)</w:t>
      </w:r>
      <w:r w:rsidR="00AB7571">
        <w:fldChar w:fldCharType="end"/>
      </w:r>
      <w:r w:rsidR="007A4F25">
        <w:t>)</w:t>
      </w:r>
      <w:r w:rsidR="004B0142">
        <w:t>. F</w:t>
      </w:r>
      <w:r>
        <w:t xml:space="preserve">or </w:t>
      </w:r>
      <w:r w:rsidR="007A4F25" w:rsidRPr="007A4F25">
        <w:t xml:space="preserve">each outcome we identified all Cushing’s cases </w:t>
      </w:r>
      <w:r w:rsidR="004B0142">
        <w:t xml:space="preserve">with that measurement </w:t>
      </w:r>
      <w:r w:rsidR="007A4F25" w:rsidRPr="007A4F25">
        <w:t xml:space="preserve">and potential controls with that measurement available. </w:t>
      </w:r>
      <w:r w:rsidR="002F7776">
        <w:t>For Cushing’s cases to be included they had to have had the laboratory measure</w:t>
      </w:r>
      <w:r w:rsidR="000C0BDB">
        <w:t>d</w:t>
      </w:r>
      <w:r w:rsidR="002F7776">
        <w:t xml:space="preserve"> </w:t>
      </w:r>
      <w:r w:rsidR="0053238C">
        <w:t xml:space="preserve">30 days or fewer </w:t>
      </w:r>
      <w:r w:rsidR="002F7776">
        <w:t xml:space="preserve">prior to surgical treatment.  </w:t>
      </w:r>
      <w:r w:rsidR="007A4F25" w:rsidRPr="007A4F25">
        <w:t>We performed nearest</w:t>
      </w:r>
      <w:r w:rsidR="007A4F25" w:rsidRPr="007A4F25">
        <w:rPr>
          <w:rFonts w:ascii="Cambria Math" w:hAnsi="Cambria Math" w:cs="Cambria Math"/>
        </w:rPr>
        <w:t>‐</w:t>
      </w:r>
      <w:r w:rsidR="007A4F25" w:rsidRPr="007A4F25">
        <w:t xml:space="preserve">neighbor propensity score matching (ratio = </w:t>
      </w:r>
      <w:r w:rsidR="007A4F25">
        <w:t>10:1</w:t>
      </w:r>
      <w:r w:rsidR="007A4F25" w:rsidRPr="007A4F25">
        <w:t xml:space="preserve">) with age in the </w:t>
      </w:r>
      <w:r w:rsidR="007A4F25">
        <w:t>propensity score</w:t>
      </w:r>
      <w:r w:rsidR="007A4F25" w:rsidRPr="007A4F25">
        <w:t xml:space="preserve"> model and exact matching on gender and race/ethnicity</w:t>
      </w:r>
      <w:r w:rsidR="000655A6">
        <w:t xml:space="preserve"> from a pool of </w:t>
      </w:r>
      <w:r w:rsidR="000655A6" w:rsidRPr="000655A6">
        <w:t>70</w:t>
      </w:r>
      <w:r w:rsidR="000655A6">
        <w:t>,</w:t>
      </w:r>
      <w:r w:rsidR="000655A6" w:rsidRPr="000655A6">
        <w:t>327</w:t>
      </w:r>
      <w:r w:rsidR="00EA0B24">
        <w:t xml:space="preserve"> </w:t>
      </w:r>
      <w:r w:rsidR="000655A6">
        <w:t>Michigan Medicine patients</w:t>
      </w:r>
      <w:r w:rsidR="007A4F25" w:rsidRPr="007A4F25">
        <w:t xml:space="preserve">. This procedure was repeated separately for each outcome </w:t>
      </w:r>
      <w:r w:rsidR="007A4F25">
        <w:t xml:space="preserve">as our </w:t>
      </w:r>
      <w:r w:rsidR="007A4F25" w:rsidRPr="007A4F25">
        <w:t>primary analys</w:t>
      </w:r>
      <w:r w:rsidR="007A4F25">
        <w:t>e</w:t>
      </w:r>
      <w:r w:rsidR="007A4F25" w:rsidRPr="007A4F25">
        <w:t xml:space="preserve">s. </w:t>
      </w:r>
      <w:r w:rsidR="007A4F25">
        <w:t xml:space="preserve"> The</w:t>
      </w:r>
      <w:r w:rsidR="0053238C">
        <w:t xml:space="preserve"> maximal</w:t>
      </w:r>
      <w:r w:rsidR="007A4F25">
        <w:t xml:space="preserve"> post-matching standardized mean difference for </w:t>
      </w:r>
      <w:r w:rsidR="0053238C">
        <w:t>a</w:t>
      </w:r>
      <w:r w:rsidR="007A4F25">
        <w:t xml:space="preserve">ge </w:t>
      </w:r>
      <w:r w:rsidR="0053238C">
        <w:t>was</w:t>
      </w:r>
      <w:r w:rsidR="007A4F25">
        <w:t xml:space="preserve"> &lt;0.</w:t>
      </w:r>
      <w:r w:rsidR="0053238C">
        <w:t>05</w:t>
      </w:r>
      <w:r w:rsidR="007A4F25">
        <w:t xml:space="preserve"> for all outcomes, indicating adequate balance.</w:t>
      </w:r>
      <w:r w:rsidR="00AB7571">
        <w:t xml:space="preserve">  </w:t>
      </w:r>
      <w:r w:rsidR="004B0142" w:rsidRPr="007A4F25">
        <w:t xml:space="preserve">As a sensitivity analysis we also created a single matched cohort using participants with </w:t>
      </w:r>
      <w:r w:rsidR="00575431">
        <w:t>any of the laboratory results we tested (glucose, HbA1c, ALT, blood pressure, r LDL-cholesterol)</w:t>
      </w:r>
      <w:r w:rsidR="004B0142" w:rsidRPr="007A4F25">
        <w:t xml:space="preserve"> and </w:t>
      </w:r>
      <w:commentRangeStart w:id="11"/>
      <w:r w:rsidR="004B0142" w:rsidRPr="007A4F25">
        <w:t xml:space="preserve">repeated all outcome models </w:t>
      </w:r>
      <w:r w:rsidR="004C3E7B">
        <w:t>with that dataset</w:t>
      </w:r>
      <w:r w:rsidR="004B0142" w:rsidRPr="007A4F25">
        <w:t>.</w:t>
      </w:r>
      <w:commentRangeEnd w:id="11"/>
      <w:r w:rsidR="00575431">
        <w:rPr>
          <w:rStyle w:val="CommentReference"/>
          <w:sz w:val="24"/>
          <w:szCs w:val="24"/>
        </w:rPr>
        <w:commentReference w:id="11"/>
      </w:r>
      <w:r w:rsidR="003318B0">
        <w:t xml:space="preserve"> In our search, we only included patients with BMI’s within the 5-75 range, and between 5-75 years of age. Finally, we also only included patients within the 2022-2025 year range. This was done to create a data pull request that was less than 100,000 people, which was necessary with the Data Direct software used.***talk about this more</w:t>
      </w:r>
    </w:p>
    <w:p w14:paraId="62D170DB" w14:textId="25F14D4B" w:rsidR="00AB7571" w:rsidRDefault="002120E7" w:rsidP="00B859CD">
      <w:r>
        <w:t>BMI was not included in the propensity score because we aimed to evaluate obesity as a moderator of the effects of Cushing’s disease</w:t>
      </w:r>
      <w:r w:rsidR="004B0142">
        <w:t>. Subsequent</w:t>
      </w:r>
      <w:r>
        <w:t xml:space="preserve"> analyses were stratified by obesity (BMI ≥30 kg/m²). Within each obesity stratum, BMI was evaluated descriptively</w:t>
      </w:r>
      <w:r w:rsidR="004B0142">
        <w:t>,</w:t>
      </w:r>
      <w:r>
        <w:t xml:space="preserve"> and </w:t>
      </w:r>
      <w:r w:rsidR="004B0142">
        <w:t xml:space="preserve">also </w:t>
      </w:r>
      <w:r>
        <w:t>included as a covariate in sensitivity models.</w:t>
      </w:r>
    </w:p>
    <w:p w14:paraId="0D85CC8F" w14:textId="24AB56C4" w:rsidR="00AB7571" w:rsidRPr="00B859CD" w:rsidRDefault="00AB7571" w:rsidP="00B859CD">
      <w:r w:rsidRPr="004B0142">
        <w:rPr>
          <w:b/>
          <w:bCs/>
        </w:rPr>
        <w:t>Statistical Analyses.</w:t>
      </w:r>
      <w:r>
        <w:t xml:space="preserve">  Statistical significance</w:t>
      </w:r>
      <w:r w:rsidR="00222730">
        <w:t xml:space="preserve"> for this stud</w:t>
      </w:r>
      <w:r>
        <w:t xml:space="preserve"> was set at p&lt;0.05.  All analyses were performed using R version 4.4.0 </w:t>
      </w:r>
      <w:r>
        <w:fldChar w:fldCharType="begin"/>
      </w:r>
      <w:r>
        <w:instrText xml:space="preserve"> ADDIN ZOTERO_ITEM CSL_CITATION {"citationID":"UlCX6dpA","properties":{"formattedCitation":"(R Core Team, 2019)","plainCitation":"(R Core Team, 2019)","noteIndex":0},"citationItems":[{"id":8230,"uris":["http://zotero.org/users/7317906/items/3HZT7KXK"],"itemData":{"id":8230,"type":"document","note":"Citation Key: base\npublisher-place: Vienna, Austria","publisher":"R Foundation for Statistical Computing","title":"R: A Language and Environment for Statistical Computing","URL":"http://www.r-project.org/","author":[{"literal":"R Core Team"}],"accessed":{"date-parts":[["2010",10,22]]},"issued":{"date-parts":[["2019"]]},"citation-key":"base"}}],"schema":"https://github.com/citation-style-language/schema/raw/master/csl-citation.json"} </w:instrText>
      </w:r>
      <w:r>
        <w:fldChar w:fldCharType="separate"/>
      </w:r>
      <w:r>
        <w:rPr>
          <w:noProof/>
        </w:rPr>
        <w:t>(R Core Team, 2019)</w:t>
      </w:r>
      <w:r>
        <w:fldChar w:fldCharType="end"/>
      </w:r>
      <w:r w:rsidR="00DC7FDB">
        <w:t xml:space="preserve">.  For participant demographics, Kruskal-Wallis or Mann-Whitney tests were used as both BMI and participant Age were not normally distributed (p&lt;0.05 via Shapiro-Wilk tests).  </w:t>
      </w:r>
      <w:r w:rsidR="000C0BDB">
        <w:t>χ</w:t>
      </w:r>
      <w:r w:rsidR="000C0BDB" w:rsidRPr="000C0BDB">
        <w:rPr>
          <w:vertAlign w:val="superscript"/>
        </w:rPr>
        <w:t>2</w:t>
      </w:r>
      <w:r w:rsidR="00DC7FDB">
        <w:t xml:space="preserve"> tests were used to compare counts across groups</w:t>
      </w:r>
      <w:r w:rsidR="005E3FBA">
        <w:t xml:space="preserve"> unless counts were expected to be under five per group, in which case Fisher’s exact test was used</w:t>
      </w:r>
      <w:r w:rsidR="00DC7FDB">
        <w:t>.</w:t>
      </w:r>
    </w:p>
    <w:p w14:paraId="5C7ECF21" w14:textId="42D6C440" w:rsidR="006F63F4" w:rsidRDefault="00EB133A" w:rsidP="00EB133A">
      <w:pPr>
        <w:pStyle w:val="Heading1"/>
      </w:pPr>
      <w:r>
        <w:t>Results</w:t>
      </w:r>
    </w:p>
    <w:p w14:paraId="7ED2150B" w14:textId="77777777" w:rsidR="004B0142" w:rsidRPr="00EB133A" w:rsidRDefault="004B0142" w:rsidP="004B0142">
      <w:pPr>
        <w:pStyle w:val="Heading2"/>
        <w:rPr>
          <w:b/>
          <w:bCs/>
        </w:rPr>
      </w:pPr>
      <w:r w:rsidRPr="00EB133A">
        <w:rPr>
          <w:rStyle w:val="Strong"/>
          <w:b w:val="0"/>
          <w:bCs w:val="0"/>
        </w:rPr>
        <w:t>Study population</w:t>
      </w:r>
    </w:p>
    <w:p w14:paraId="066971CF" w14:textId="56952D17" w:rsidR="00EB133A" w:rsidRDefault="004561B8">
      <w:commentRangeStart w:id="12"/>
      <w:r>
        <w:t xml:space="preserve">As shown in Figure 1, we identified YYYY participants with diagnoses of Cushing’s disease.  </w:t>
      </w:r>
      <w:r w:rsidR="00E16C92">
        <w:t xml:space="preserve">This included YYYY adrenal tumors and ZZZ pituitary tumors.  </w:t>
      </w:r>
      <w:r>
        <w:t>Their average age at diagnosis was XXX (+/- XXX).  They</w:t>
      </w:r>
      <w:commentRangeEnd w:id="12"/>
      <w:r w:rsidR="00846B21">
        <w:rPr>
          <w:rStyle w:val="CommentReference"/>
          <w:sz w:val="24"/>
          <w:szCs w:val="24"/>
        </w:rPr>
        <w:commentReference w:id="12"/>
      </w:r>
      <w:r w:rsidR="00FB26BE">
        <w:t xml:space="preserve"> </w:t>
      </w:r>
    </w:p>
    <w:p w14:paraId="7017BF89" w14:textId="77777777" w:rsidR="009259D6" w:rsidRDefault="009259D6"/>
    <w:p w14:paraId="7B909945" w14:textId="3F8FCDCA" w:rsidR="00EB133A" w:rsidRDefault="005A4BA3" w:rsidP="00EB133A">
      <w:pPr>
        <w:pStyle w:val="Heading2"/>
        <w:rPr>
          <w:rStyle w:val="Strong"/>
          <w:b w:val="0"/>
          <w:bCs w:val="0"/>
        </w:rPr>
      </w:pPr>
      <w:r>
        <w:rPr>
          <w:rStyle w:val="Strong"/>
          <w:b w:val="0"/>
          <w:bCs w:val="0"/>
        </w:rPr>
        <w:lastRenderedPageBreak/>
        <w:t>Participant characteristics</w:t>
      </w:r>
      <w:r w:rsidR="008132DA">
        <w:rPr>
          <w:rStyle w:val="Strong"/>
          <w:b w:val="0"/>
          <w:bCs w:val="0"/>
        </w:rPr>
        <w:t xml:space="preserve"> </w:t>
      </w:r>
      <w:r w:rsidR="0068193C">
        <w:rPr>
          <w:rStyle w:val="Strong"/>
          <w:b w:val="0"/>
          <w:bCs w:val="0"/>
        </w:rPr>
        <w:t xml:space="preserve">associated with </w:t>
      </w:r>
      <w:r w:rsidR="00EB133A" w:rsidRPr="00EB133A">
        <w:rPr>
          <w:rStyle w:val="Strong"/>
          <w:b w:val="0"/>
          <w:bCs w:val="0"/>
        </w:rPr>
        <w:t xml:space="preserve">Cushing’s </w:t>
      </w:r>
      <w:r w:rsidR="008132DA">
        <w:rPr>
          <w:rStyle w:val="Strong"/>
          <w:b w:val="0"/>
          <w:bCs w:val="0"/>
        </w:rPr>
        <w:t xml:space="preserve">disease </w:t>
      </w:r>
    </w:p>
    <w:p w14:paraId="1C40C547" w14:textId="0D15B9F7" w:rsidR="00B15E61" w:rsidRDefault="00B15E61" w:rsidP="00B15E61">
      <w:r>
        <w:t xml:space="preserve">We performed outcome-specific propensity matching to identify appropriate controls, starting from those with generating exact matches for gender, race and ethnicity.  We then algorithmically matched for age, generating 10 controls for each case.  Matching was </w:t>
      </w:r>
      <w:r w:rsidR="00680857">
        <w:t xml:space="preserve">effective </w:t>
      </w:r>
      <w:r>
        <w:t xml:space="preserve"> with a </w:t>
      </w:r>
      <w:r w:rsidR="00680857">
        <w:t>standardized mean difference</w:t>
      </w:r>
      <w:r>
        <w:t xml:space="preserve"> for age of &lt;0.05 for each outcome (see </w:t>
      </w:r>
      <w:r w:rsidR="008132DA">
        <w:t xml:space="preserve">Table 1, </w:t>
      </w:r>
      <w:r w:rsidR="007F7122">
        <w:t xml:space="preserve">Supplementary </w:t>
      </w:r>
      <w:r>
        <w:t xml:space="preserve">Figure </w:t>
      </w:r>
      <w:r w:rsidR="007F7122">
        <w:t>1</w:t>
      </w:r>
      <w:r>
        <w:t xml:space="preserve"> and Supplementary Table S1).</w:t>
      </w:r>
    </w:p>
    <w:p w14:paraId="64FC7B7D" w14:textId="0A7EECDB" w:rsidR="005A4BA3" w:rsidRDefault="00FE6593" w:rsidP="00B15E61">
      <w:r w:rsidRPr="00FE6593">
        <w:t xml:space="preserve">Primary descriptive characteristics are </w:t>
      </w:r>
      <w:r w:rsidR="008132DA">
        <w:t>provided</w:t>
      </w:r>
      <w:r w:rsidRPr="00FE6593">
        <w:t xml:space="preserve"> for all participants with any available laboratory measurement</w:t>
      </w:r>
      <w:r w:rsidR="00934570">
        <w:t xml:space="preserve"> </w:t>
      </w:r>
      <w:r w:rsidR="00934570" w:rsidRPr="00FE6593">
        <w:t>(Table 1)</w:t>
      </w:r>
      <w:r w:rsidRPr="00FE6593">
        <w:t xml:space="preserve">. </w:t>
      </w:r>
      <w:r w:rsidR="00843B6D">
        <w:t>Outcome-specific matched sets are described in Supplementary Tables S2</w:t>
      </w:r>
      <w:r w:rsidR="00D54468">
        <w:t>A-E</w:t>
      </w:r>
      <w:r w:rsidR="00843B6D">
        <w:t>.</w:t>
      </w:r>
      <w:r w:rsidR="00934570">
        <w:t xml:space="preserve">   Here we reproduce several notable characteristics, including a higher prevalence of Cushing’s disease in females (284 vs 72</w:t>
      </w:r>
      <w:r w:rsidR="0084083C">
        <w:t>, p&lt;0.00</w:t>
      </w:r>
      <w:r w:rsidR="0084083C" w:rsidRPr="0084083C">
        <w:t>1</w:t>
      </w:r>
      <w:r w:rsidR="00934570" w:rsidRPr="0084083C">
        <w:t>)</w:t>
      </w:r>
      <w:r w:rsidR="0084083C" w:rsidRPr="0084083C">
        <w:t>, consistent with the prior literature</w:t>
      </w:r>
      <w:r w:rsidR="0084083C">
        <w:t xml:space="preserve"> </w:t>
      </w:r>
      <w:r w:rsidR="0084083C">
        <w:fldChar w:fldCharType="begin"/>
      </w:r>
      <w:r w:rsidR="00A46BC5">
        <w:instrText xml:space="preserve"> ADDIN ZOTERO_ITEM CSL_CITATION {"citationID":"5iZIPs39","properties":{"formattedCitation":"(Alqeeq et al., 2024; Broder et al., 2015; Etxabe &amp; Vazquez, 1994; Matthiasdottir et al., 2024; Steffensen et al., 2010)","plainCitation":"(Alqeeq et al., 2024; Broder et al., 2015; Etxabe &amp; Vazquez, 1994; Matthiasdottir et al., 2024; Steffensen et al., 2010)","noteIndex":0},"citationItems":[{"id":27029,"uris":["http://zotero.org/users/7317906/items/5UXH2J3G"],"itemData":{"id":27029,"type":"article-journal","abstract":"BACKGROUND AND OBJECTIVES: Cushing's disease is a rare endocrine disorder. This review aimed to examine sex-specific differences in Cushing's disease.\nDESIGN AND SETTINGS: A meta-analysis was performed on published articles discussing the gender impact of Cushing's disease.\nMETHODS: A systematic search was conducted to identify studies from Medline, Embase, CENTRAL and Scopus. Nine studies enrolling 1047 patients diagnosed with Cushing's disease were included in this meta-analysis.\nRESULTS: Male patients presented at a younger age (MD [mean difference]=-5.43; 95% CI [-5.78, -5.08]; P&lt;.00001) than females. Male patients had a significantly higher prevalence of osteoporosis (RR [risk ratio]=1.75; 95% CI [1.36, 225]; P&lt;.0001) and hypokalemia (RR=1.66; 95% CI [1.27, 2.16]; P=.0002). In addition, males had significantly higher rates of negative magnetic resonance imaging (RR=1.53; 95% CI [1.18, 2.0]; P=.002). No sex difference was observed in the prevalence of diabetes (RR=0.92; 95% CI [0.70, 1.22]); P=.57) and dyslipidemia (RR=1.33; 95% CI [0.88, 2.0]; P=.17).\nCONCLUSION: Cushing's disease has a worse clinical presentation in males and more diagnostic difficulties compared to females.","container-title":"Annals of Saudi Medicine","DOI":"10.5144/0256-4947.2024.55","ISSN":"0975-4466","issue":"1","journalAbbreviation":"Ann Saudi Med","language":"eng","note":"PMID: 38311874\nPMCID: PMC10839456","page":"55-65","source":"PubMed","title":"Sex-related differences in Cushing's disease: a systematic review and meta-analysis","title-short":"Sex-related differences in Cushing's disease","volume":"44","author":[{"family":"Alqeeq","given":"Basel F."},{"family":"Ayyad","given":"Mohammed"},{"family":"Almadhoun","given":"Waseem J."},{"family":"Aboabdo","given":"Mohammad"},{"family":"Aldahdouh","given":"Mosheer S."},{"family":"Al-Tawil","given":"Mohammed"},{"family":"Al-Ghazali","given":"Ahmed M."}],"issued":{"date-parts":[["2024"]]},"citation-key":"alqeeqSexrelatedDifferencesCushings2024"}},{"id":27016,"uris":["http://zotero.org/users/7317906/items/RNS3FR6N"],"itemData":{"id":27016,"type":"article-journal","abstract":"PURPOSE: To estimate the incidence of Cushing's syndrome (CS) and Cushing's disease (CD) in the US.\nMETHODS: MarketScan Commercial database 2007-2010 (age &lt;65 years) was used. CS patients were defined with ≥2 claims of CS diagnosis, while CD patients were defined with CS plus a benign pituitary adenoma diagnosis or hypophysectomy in the same calendar year. Annual incidence was calculated by dividing the number of CS or CD cases by the total number of members with the same enrollment requirement during the calendar years.\nRESULTS: CS incidence rates per million person-years were 48.6 in 2009 and 39.5 in 2010. The lowest rates of CS were in ≤17-year-olds and highest rates were in 35 to 44-year-olds. CD incidence rates were 7.6 in 2009 and 6.2 in 2010. The lowest rates of CD were in ≤17-year-olds and highest rates were in 18 to 24-year-olds. The rates varied by sex (2.3-2.7 in males, 9.8-12.1 in females). In females, lowest rates ranged 2.5-4.0 in ≤17-year-olds and highest 16.7-27.2 in 18-24 year olds. In males, there were too few cases to report estimates by age.\nCONCLUSIONS: In the first large US-based study, the annual incidence of CS in individuals &lt;65 years old was nearly 49 cases per million, substantially higher than previous estimates, which were based primarily on European data. Using similar methods, we estimated the incidence of CD at nearly 8 cases per million US population. These estimates, if confirmed in other epidemiologic databases, represent a new data reference in these rare conditions.","container-title":"Pituitary","DOI":"10.1007/s11102-014-0569-6","ISSN":"1573-7403","issue":"3","journalAbbreviation":"Pituitary","language":"eng","note":"PMID: 24803324","page":"283-289","source":"PubMed","title":"Incidence of Cushing's syndrome and Cushing's disease in commercially-insured patients &lt;65 years old in the United States","volume":"18","author":[{"family":"Broder","given":"Michael S."},{"family":"Neary","given":"Maureen P."},{"family":"Chang","given":"Eunice"},{"family":"Cherepanov","given":"Dasha"},{"family":"Ludlam","given":"William H."}],"issued":{"date-parts":[["2015",6]]},"citation-key":"broderIncidenceCushingsSyndrome2015"}},{"id":1348,"uris":["http://zotero.org/users/7317906/items/V5L6B4RJ"],"itemData":{"id":1348,"type":"article-journal","abstract":"OBJECTIVE: Although Cushing's disease is a well documented clinical entity, there is no epidemiological information about it. The present study tries to obtain this information. DESIGN AND PATIENTS: Forty-nine patients affected by Cushing's disease living in Vizcaya (Spain) between 1975 and 1992 were considered for an epidemiological study. RESULTS: The prevalence of known cases at the end of 1992 was 39.1 per million inhabitants. The average incidence of newly diagnosed cases was 2.4 cases per million people per year. Cushing's disease was more frequent in women (n = 46) than in men (n = 3), with a ratio of 15:1. Diabetes mellitus and hypertension were observed in 38.7 and 55.1% of patients, respectively. Remission of Cushing's disease was achieved in 36 out of 41 patients (87.5%). In general, the mortality was higher than that expected for the control population (standardized mortality ratio, SMR 3.8, 95% confidence interval, CI 2.5-17.9, P &lt; 0.03). Concerning the cause of death, the SMR of vascular disease was 5 (95% CI 3.4-48.6, P &lt; 0.05). Higher age, persistence of hypertension and abnormalities of glucose metabolism after treatment, were independent predictors of mortality (multivariate analyses, P &lt; 0.01). CONCLUSIONS: Prevalence of Cushing's disease was 39.1 cases/million inhabitants and average incidence was 2.4 cases/million per year. Mortality was elevated, due to vascular disease, associated with higher age, persistence of hypertension and impaired glucose metabolism.","container-title":"Clin Endocrinol (Oxf)","DOI":"10.1111/j.1365-2265.1994.tb02486.x","ISSN":"0300-0664","issue":"4","note":"PMID: 8187313\nISBN: 0300-0664 (Print)\\r0300-0664 (Linking)","page":"479-484","title":"Morbidity and mortality in Cushing's disease: an epidemiological approach","volume":"40","author":[{"family":"Etxabe","given":"J"},{"family":"Vazquez","given":"J A"}],"issued":{"date-parts":[["1994"]]},"citation-key":"etxabeMorbidityMortalityCushings1994"}},{"id":27026,"uris":["http://zotero.org/users/7317906/items/X2VBVW53"],"itemData":{"id":27026,"type":"article-journal","abstract":"Introduction: In 2011, we reported the overall incidence of Cushing’s disease (CD) in Iceland from 1955 through 2009 to be 1.5 cases per million per year with highest incidence in the last decade of the study, a higher incidence then earlier reported. We now present a follow-up study reporting the epidemiology of the disease in Iceland during the 10-year period from 2010 to 2019. Methods: In this nationwide retrospective study, clinical information on patients diagnosed with CD was obtained from electronic medical records, reviewed by consulting endocrinologists. Results: Seventeen patients were diagnosed with CD, 12 women (71%) and 5 men (29%) giving an overall incidence of 5.2 cases per million per year. The mean age at diagnosis was 46 years (range 13–85 years). Biochemical analysis was recorded for all patients and 12 patients (71%) had visible pituitary adenoma on imaging studies. Sixteen patients (94%) were treated with transsphenoidal surgery of which 4 patients (24%) had gamma knife radiosurgery and three (18%) bilateral adrenalectomy after pituitary surgery. Two patients died during the study period. Conclusion: The overall incidence of CD of 5.2 cases per million per year is higher than previously reported, indicating the importance of awareness of CD. As all patients with CD are diagnosed and/or treated at the only University Hospital in Iceland, housing the only department of endocrinology as well as neurosurgery, we are confident that all cases diagnosed during the study period were included in the study.","container-title":"Neuroendocrinology","DOI":"10.1159/000540205","ISSN":"0028-3835","issue":"10","journalAbbreviation":"Neuroendocrinology","page":"950-957","source":"Silverchair","title":"Cushing’s Disease May Have Higher Incidence than Previously Thought: A Nationwide Study in Iceland 2010–2019","title-short":"Cushing’s Disease May Have Higher Incidence than Previously Thought","volume":"114","author":[{"family":"Matthiasdottir","given":"Anna Mjoll"},{"family":"Hardarson","given":"Thorgeir Orri"},{"family":"Arnardottir","given":"Steinunn"},{"family":"Sigurjonsdottir","given":"Helga Agusta"}],"issued":{"date-parts":[["2024",7,22]]},"citation-key":"matthiasdottirCushingsDiseaseMay2024"}},{"id":27019,"uris":["http://zotero.org/users/7317906/items/RTX3YT8D"],"itemData":{"id":27019,"type":"article-journal","abstract":"Overt Cushing’s syndrome is a rare disorder with an annual incidence of 2–3/million of which benign adrenal adenomas account for 0.6/million. The female:male ratio is 3:1. Preliminary data indicate a high proportion of subclinical Cushing’s syndrome in certain risk populations such as patients with type 2 diabetes or osteoporosis. The clinical implications of these observations are presently unclear. Surgery remains first line treatment for overt disease and initial cure or remission is obtained in 65–85% of patients with Cushing’s disease. Late recurrences, however, occur in up to 20% and the risk does not seem to plateau even after 20 years of follow-up. A 2- to 3-fold increase in mortality is observed in most studies, and this excess mortality seems confined to patients in whom initial cure was not obtained. Cushing’s syndrome continues to pose diagnostic and therapeutic challenges and life-long follow-up is mandatory.","container-title":"Neuroendocrinology","DOI":"10.1159/000314297","ISSN":"0028-3835","issue":"Suppl. 1","journalAbbreviation":"Neuroendocrinology","page":"1-5","source":"Silverchair","title":"Epidemiology of Cushing’s Syndrome","volume":"92","author":[{"family":"Steffensen","given":"Charlotte"},{"family":"Bak","given":"Ann Mosegaard"},{"family":"Zøylner Rubeck","given":"Kristine"},{"family":"Jørgensen","given":"Jens Otto Lunde"}],"issued":{"date-parts":[["2010",9,10]]},"citation-key":"steffensenEpidemiologyCushingsSyndrome2010"}}],"schema":"https://github.com/citation-style-language/schema/raw/master/csl-citation.json"} </w:instrText>
      </w:r>
      <w:r w:rsidR="0084083C">
        <w:fldChar w:fldCharType="separate"/>
      </w:r>
      <w:r w:rsidR="00A46BC5">
        <w:rPr>
          <w:noProof/>
        </w:rPr>
        <w:t>(Alqeeq et al., 2024; Broder et al., 2015; Etxabe &amp; Vazquez, 1994; Matthiasdottir et al., 2024; Steffensen et al., 2010)</w:t>
      </w:r>
      <w:r w:rsidR="0084083C">
        <w:fldChar w:fldCharType="end"/>
      </w:r>
      <w:r w:rsidR="0084083C" w:rsidRPr="0084083C">
        <w:t>.  As expected we also observed</w:t>
      </w:r>
      <w:r w:rsidR="0084083C">
        <w:rPr>
          <w:rStyle w:val="CommentReference"/>
        </w:rPr>
        <w:t xml:space="preserve"> </w:t>
      </w:r>
      <w:r w:rsidR="00934570">
        <w:t>a higher body mass index for patients with Cushing’s disease (both p&lt;0.001).</w:t>
      </w:r>
      <w:r w:rsidR="00B019BA">
        <w:t xml:space="preserve">  </w:t>
      </w:r>
      <w:commentRangeStart w:id="13"/>
      <w:commentRangeStart w:id="14"/>
      <w:commentRangeStart w:id="15"/>
      <w:commentRangeStart w:id="16"/>
      <w:r w:rsidR="00AA272E">
        <w:t>Prior to matching for Race and Ethnicity, we noted that participants</w:t>
      </w:r>
      <w:r w:rsidR="00B019BA">
        <w:t xml:space="preserve"> with Cushing’s disease were more likely to </w:t>
      </w:r>
      <w:r w:rsidR="00AA272E">
        <w:t>identify as Non-Hispanic White (87%) than the overall Michigan Medicine participant population (75% Non-Hispanic White</w:t>
      </w:r>
      <w:r w:rsidR="007F5037">
        <w:t>, p</w:t>
      </w:r>
      <w:r w:rsidR="006970B2">
        <w:t>&lt;0.001</w:t>
      </w:r>
      <w:r w:rsidR="00AA272E">
        <w:t>).</w:t>
      </w:r>
      <w:r w:rsidR="001525EE">
        <w:t xml:space="preserve">  Correspondingly</w:t>
      </w:r>
      <w:r w:rsidR="00CD4531">
        <w:t>,</w:t>
      </w:r>
      <w:r w:rsidR="001525EE">
        <w:t xml:space="preserve"> participants with Cushing’s disease were less likely to identify as Asian </w:t>
      </w:r>
      <w:r w:rsidR="00CE6FC9">
        <w:t xml:space="preserve">(p&lt;0.001) </w:t>
      </w:r>
      <w:r w:rsidR="001525EE">
        <w:t>or Black</w:t>
      </w:r>
      <w:commentRangeEnd w:id="13"/>
      <w:r w:rsidR="00B87243">
        <w:rPr>
          <w:rStyle w:val="CommentReference"/>
          <w:sz w:val="24"/>
          <w:szCs w:val="24"/>
        </w:rPr>
        <w:commentReference w:id="13"/>
      </w:r>
      <w:commentRangeEnd w:id="14"/>
      <w:r w:rsidR="001F1825">
        <w:rPr>
          <w:rStyle w:val="CommentReference"/>
          <w:sz w:val="24"/>
          <w:szCs w:val="24"/>
        </w:rPr>
        <w:commentReference w:id="14"/>
      </w:r>
      <w:commentRangeEnd w:id="15"/>
      <w:r w:rsidR="00B623DA">
        <w:rPr>
          <w:rStyle w:val="CommentReference"/>
          <w:sz w:val="24"/>
          <w:szCs w:val="24"/>
        </w:rPr>
        <w:commentReference w:id="15"/>
      </w:r>
      <w:commentRangeEnd w:id="16"/>
      <w:r w:rsidR="004C5BA6">
        <w:rPr>
          <w:rStyle w:val="CommentReference"/>
          <w:sz w:val="24"/>
          <w:szCs w:val="24"/>
        </w:rPr>
        <w:commentReference w:id="16"/>
      </w:r>
      <w:r w:rsidR="00CE6FC9">
        <w:t xml:space="preserve"> (p=0.01</w:t>
      </w:r>
      <w:r w:rsidR="00E05798">
        <w:t>8</w:t>
      </w:r>
      <w:r w:rsidR="00CE6FC9">
        <w:t>)</w:t>
      </w:r>
      <w:r w:rsidR="001525EE">
        <w:t>.</w:t>
      </w:r>
      <w:r w:rsidR="00A46BC5">
        <w:t xml:space="preserve">  This is consistent with other reports on the prevalence of Cushing’s disease across racial groups </w:t>
      </w:r>
      <w:r w:rsidR="00A46BC5">
        <w:fldChar w:fldCharType="begin"/>
      </w:r>
      <w:r w:rsidR="00B623DA">
        <w:instrText xml:space="preserve"> ADDIN ZOTERO_ITEM CSL_CITATION {"citationID":"Zf5euBGy","properties":{"formattedCitation":"(Ioachimescu et al., 2022; Omotosho et al., 2024)","plainCitation":"(Ioachimescu et al., 2022; Omotosho et al., 2024)","noteIndex":0},"citationItems":[{"id":27032,"uris":["http://zotero.org/users/7317906/items/EVS87VVY"],"itemData":{"id":27032,"type":"article-journal","abstract":"Acromegaly (ACM) and Cushing’s disease (CD) are caused by functioning pituitary adenomas secreting growth hormone and ACTH respectively.To determine the impact of race on presentation and postoperative outcomes in adults with ACM and CD, which has not yet been evaluated.This is a retrospective study of consecutive patients operated at a large-volume pituitary center. We evaluated (1) racial distribution of patients residing in the metropolitan area (Metro, N</w:instrText>
      </w:r>
      <w:r w:rsidR="00B623DA">
        <w:rPr>
          <w:rFonts w:ascii="Arial" w:hAnsi="Arial" w:cs="Arial"/>
        </w:rPr>
        <w:instrText> </w:instrText>
      </w:r>
      <w:r w:rsidR="00B623DA">
        <w:instrText>=</w:instrText>
      </w:r>
      <w:r w:rsidR="00B623DA">
        <w:rPr>
          <w:rFonts w:ascii="Arial" w:hAnsi="Arial" w:cs="Arial"/>
        </w:rPr>
        <w:instrText> </w:instrText>
      </w:r>
      <w:r w:rsidR="00B623DA">
        <w:instrText>124) vs 2010 US census data, and(2) presentation and postoperative outcomes in Black vs White for patients from the entire catchment area (N</w:instrText>
      </w:r>
      <w:r w:rsidR="00B623DA">
        <w:rPr>
          <w:rFonts w:ascii="Arial" w:hAnsi="Arial" w:cs="Arial"/>
        </w:rPr>
        <w:instrText> </w:instrText>
      </w:r>
      <w:r w:rsidR="00B623DA">
        <w:instrText>=</w:instrText>
      </w:r>
      <w:r w:rsidR="00B623DA">
        <w:rPr>
          <w:rFonts w:ascii="Arial" w:hAnsi="Arial" w:cs="Arial"/>
        </w:rPr>
        <w:instrText> </w:instrText>
      </w:r>
      <w:r w:rsidR="00B623DA">
        <w:instrText>241).For Metro area (32.4% Black population), Black patients represented 16.75% ACM (P</w:instrText>
      </w:r>
      <w:r w:rsidR="00B623DA">
        <w:rPr>
          <w:rFonts w:ascii="Arial" w:hAnsi="Arial" w:cs="Arial"/>
        </w:rPr>
        <w:instrText> </w:instrText>
      </w:r>
      <w:r w:rsidR="00B623DA">
        <w:instrText>=</w:instrText>
      </w:r>
      <w:r w:rsidR="00B623DA">
        <w:rPr>
          <w:rFonts w:ascii="Arial" w:hAnsi="Arial" w:cs="Arial"/>
        </w:rPr>
        <w:instrText> </w:instrText>
      </w:r>
      <w:r w:rsidR="00B623DA">
        <w:instrText>.006) and 29.2% CD (P</w:instrText>
      </w:r>
      <w:r w:rsidR="00B623DA">
        <w:rPr>
          <w:rFonts w:ascii="Arial" w:hAnsi="Arial" w:cs="Arial"/>
        </w:rPr>
        <w:instrText> </w:instrText>
      </w:r>
      <w:r w:rsidR="00B623DA">
        <w:instrText>=</w:instrText>
      </w:r>
      <w:r w:rsidR="00B623DA">
        <w:rPr>
          <w:rFonts w:ascii="Arial" w:hAnsi="Arial" w:cs="Arial"/>
        </w:rPr>
        <w:instrText> </w:instrText>
      </w:r>
      <w:r w:rsidR="00B623DA">
        <w:instrText>.56). Among the total 112 patients with ACM, presentations with headaches or incidentaloma were more common in Black patients (76.9% vs 31% White, P</w:instrText>
      </w:r>
      <w:r w:rsidR="00B623DA">
        <w:rPr>
          <w:rFonts w:ascii="Arial" w:hAnsi="Arial" w:cs="Arial"/>
        </w:rPr>
        <w:instrText> </w:instrText>
      </w:r>
      <w:r w:rsidR="00B623DA">
        <w:instrText>=</w:instrText>
      </w:r>
      <w:r w:rsidR="00B623DA">
        <w:rPr>
          <w:rFonts w:ascii="Arial" w:hAnsi="Arial" w:cs="Arial"/>
        </w:rPr>
        <w:instrText> </w:instrText>
      </w:r>
      <w:r w:rsidR="00B623DA">
        <w:instrText>.01). Black patients had a higher prevalence of diabetes (54% vs 16% White, P</w:instrText>
      </w:r>
      <w:r w:rsidR="00B623DA">
        <w:rPr>
          <w:rFonts w:ascii="Arial" w:hAnsi="Arial" w:cs="Arial"/>
        </w:rPr>
        <w:instrText> </w:instrText>
      </w:r>
      <w:r w:rsidR="00B623DA">
        <w:instrText>=</w:instrText>
      </w:r>
      <w:r w:rsidR="00B623DA">
        <w:rPr>
          <w:rFonts w:ascii="Arial" w:hAnsi="Arial" w:cs="Arial"/>
        </w:rPr>
        <w:instrText> </w:instrText>
      </w:r>
      <w:r w:rsidR="00B623DA">
        <w:instrText>.005), significantly lower insulin-like growth factor (IGF)-1 deviation from normal (P</w:instrText>
      </w:r>
      <w:r w:rsidR="00B623DA">
        <w:rPr>
          <w:rFonts w:ascii="Arial" w:hAnsi="Arial" w:cs="Arial"/>
        </w:rPr>
        <w:instrText> </w:instrText>
      </w:r>
      <w:r w:rsidR="00B623DA">
        <w:instrText>=</w:instrText>
      </w:r>
      <w:r w:rsidR="00B623DA">
        <w:rPr>
          <w:rFonts w:ascii="Arial" w:hAnsi="Arial" w:cs="Arial"/>
        </w:rPr>
        <w:instrText> </w:instrText>
      </w:r>
      <w:r w:rsidR="00B623DA">
        <w:instrText>.03) and borderline lower median growth hormone levels (P</w:instrText>
      </w:r>
      <w:r w:rsidR="00B623DA">
        <w:rPr>
          <w:rFonts w:ascii="Arial" w:hAnsi="Arial" w:cs="Arial"/>
        </w:rPr>
        <w:instrText> </w:instrText>
      </w:r>
      <w:r w:rsidR="00B623DA">
        <w:instrText>=</w:instrText>
      </w:r>
      <w:r w:rsidR="00B623DA">
        <w:rPr>
          <w:rFonts w:ascii="Arial" w:hAnsi="Arial" w:cs="Arial"/>
        </w:rPr>
        <w:instrText> </w:instrText>
      </w:r>
      <w:r w:rsidR="00B623DA">
        <w:instrText>.09). Mean tumor diameter and proportion of tumors with cavernous sinus invasion were similar. Three-month biochemical remission (46% Black, 55% White, P</w:instrText>
      </w:r>
      <w:r w:rsidR="00B623DA">
        <w:rPr>
          <w:rFonts w:ascii="Arial" w:hAnsi="Arial" w:cs="Arial"/>
        </w:rPr>
        <w:instrText> </w:instrText>
      </w:r>
      <w:r w:rsidR="00B623DA">
        <w:instrText>=</w:instrText>
      </w:r>
      <w:r w:rsidR="00B623DA">
        <w:rPr>
          <w:rFonts w:ascii="Arial" w:hAnsi="Arial" w:cs="Arial"/>
        </w:rPr>
        <w:instrText> </w:instrText>
      </w:r>
      <w:r w:rsidR="00B623DA">
        <w:instrText>.76) and long-term IGF-1 control by multimodality therapy (92.3% Black, 80.5% White, P</w:instrText>
      </w:r>
      <w:r w:rsidR="00B623DA">
        <w:rPr>
          <w:rFonts w:ascii="Arial" w:hAnsi="Arial" w:cs="Arial"/>
        </w:rPr>
        <w:instrText> </w:instrText>
      </w:r>
      <w:r w:rsidR="00B623DA">
        <w:instrText>=</w:instrText>
      </w:r>
      <w:r w:rsidR="00B623DA">
        <w:rPr>
          <w:rFonts w:ascii="Arial" w:hAnsi="Arial" w:cs="Arial"/>
        </w:rPr>
        <w:instrText> </w:instrText>
      </w:r>
      <w:r w:rsidR="00B623DA">
        <w:instrText>.45) were similar. Among the total 129 patients with CD, Black patients had more hypopituitarism (69% vs 45% White, P</w:instrText>
      </w:r>
      <w:r w:rsidR="00B623DA">
        <w:rPr>
          <w:rFonts w:ascii="Arial" w:hAnsi="Arial" w:cs="Arial"/>
        </w:rPr>
        <w:instrText> </w:instrText>
      </w:r>
      <w:r w:rsidR="00B623DA">
        <w:instrText>=</w:instrText>
      </w:r>
      <w:r w:rsidR="00B623DA">
        <w:rPr>
          <w:rFonts w:ascii="Arial" w:hAnsi="Arial" w:cs="Arial"/>
        </w:rPr>
        <w:instrText> </w:instrText>
      </w:r>
      <w:r w:rsidR="00B623DA">
        <w:instrText>.04) and macroadenomas (33% vs 15% White, P</w:instrText>
      </w:r>
      <w:r w:rsidR="00B623DA">
        <w:rPr>
          <w:rFonts w:ascii="Arial" w:hAnsi="Arial" w:cs="Arial"/>
        </w:rPr>
        <w:instrText> </w:instrText>
      </w:r>
      <w:r w:rsidR="00B623DA">
        <w:instrText>=</w:instrText>
      </w:r>
      <w:r w:rsidR="00B623DA">
        <w:rPr>
          <w:rFonts w:ascii="Arial" w:hAnsi="Arial" w:cs="Arial"/>
        </w:rPr>
        <w:instrText> </w:instrText>
      </w:r>
      <w:r w:rsidR="00B623DA">
        <w:instrText>.05). At 3 months, remission rate was borderline higher in White (92% vs 78% Black, P</w:instrText>
      </w:r>
      <w:r w:rsidR="00B623DA">
        <w:rPr>
          <w:rFonts w:ascii="Arial" w:hAnsi="Arial" w:cs="Arial"/>
        </w:rPr>
        <w:instrText> </w:instrText>
      </w:r>
      <w:r w:rsidR="00B623DA">
        <w:instrText>=</w:instrText>
      </w:r>
      <w:r w:rsidR="00B623DA">
        <w:rPr>
          <w:rFonts w:ascii="Arial" w:hAnsi="Arial" w:cs="Arial"/>
        </w:rPr>
        <w:instrText> </w:instrText>
      </w:r>
      <w:r w:rsidR="00B623DA">
        <w:instrText xml:space="preserve">0.08), which was attributed to macroadenomas by logistic regression.We identified disparities regarding racial distribution, and clinical and biochemical characteristics in ACM, suggesting late or missed diagnosis in Black patients. Large nationwide studies are necessary to confirm our findings.","container-title":"Journal of the Endocrine Society","DOI":"10.1210/jendso/bvab176","ISSN":"2472-1972","issue":"1","journalAbbreviation":"J. Endocr. Soc.","page":"bvab176","source":"Silverchair","title":"Racial Disparities in Acromegaly and Cushing’s Disease: A Referral Center Study in 241 Patients","title-short":"Racial Disparities in Acromegaly and Cushing’s Disease","volume":"6","author":[{"family":"Ioachimescu","given":"Adriana G"},{"family":"Goswami","given":"Neevedita"},{"family":"Handa","given":"Talin"},{"family":"Pappy","given":"Adlai"},{"family":"Veledar","given":"Emir"},{"family":"Oyesiku","given":"Nelson M"}],"issued":{"date-parts":[["2022",1,1]]},"citation-key":"ioachimescuRacialDisparitiesAcromegaly2022"}},{"id":27042,"uris":["http://zotero.org/users/7317906/items/H96MA6T6"],"itemData":{"id":27042,"type":"article-journal","abstract":"Y.B. Omotosho: None. R. McGlotten: None. P. Chittiboina: None. L. Nieman: None.Background: Early recognition and treatment of Cushing’s syndrome (CS) is important to reduce mortality, forestall additional co-morbidities, and improve long-term quality of life. Little is known about how adverse social determinants of health (SDOH) influence the achievement of this goal.Objective: To investigate the impact of race (Black vs White) and UFC on the time to definitive diagnosis and treatment of Cushing’s disease (CD).Methods: This is a retrospective cohort study of 114 patients (pts) (including all Non-Hispanic Blacks) evaluated at the National Institutes of Health between 1990-2022, who had CD based on pathology (ACTH-positive tumor immunohistochemistry) or biochemical remission after transsphenoidal surgery (TSS). 38 Non-Hispanic Black patients met entry criteria. They were matched 1:2 by age (within five years) and sex. We excluded patients with cyclic CS, recurrent CD, previous pituitary surgery or radiation therapy and/or a delay between diagnostic evaluation and surgery of more than 4 weeks. We limited cohorts to only Non-Hispanic Blacks and Whites for this pilot study and plan to extend this to smaller race/ethnicity groups in the future. The onset of clinical symptoms was documented as self-reported by the patients. We analyzed the difference between the year of symptom onset and the date TSS was performed, to obtain an estimated duration of diagnosis. The highest 24h urine cortisol (UFC) value for each patient was noted. Non-normal data are described as median [interquartile range]. Group comparisons used the Wilcoxon rank sum test for the time to etiologic diagnosis, age, and UFC. Statistical analyses were done using R/RStudio statistical software. P value &amp;lt;0.05 was considered significant. Results: Each racial group included 76.3% females and 23.7% males. The median age at TSS was 39.5 years [30.0 – 50.8] for Blacks and 41.5 years [31.8 - 53.3] for Whites (P= 0.7). The median UFC was 326 mcg/24h [156 - 491] for Blacks and 264 [166 - 609] for Whites (P= 0.8). The median duration from symptom onset to CD diagnosis was 3.67 years [2.76 - 6.29] for Blacks and for 2.56 years [1.57 - 4.13] for Whites. Analysis of the differences in time to diagnosis between both groups confirmed a significant disparity with blacks having a median delay of 1.1 years more than whites (P= 0.001). Discussion: We do not have information on other SDOH in our patients, such as access to providers, education level, or their perception of the medical community. The present data suggest that racial background serves as a limiting factor in the diagnosis and differential diagnosis of CS, and that differences in severity of hypercortisolism do not explain this disparity. More work is needed to understand the reasons for this disparity as we continue to strive towards health equity.Monday, June 3, 2024","container-title":"Journal of the Endocrine Society","DOI":"10.1210/jendso/bvae163.2408","ISSN":"2472-1972","issue":"Supplement_1","journalAbbreviation":"J. Endocr. Soc.","page":"bvae163.2408","source":"Silverchair","title":"MON-113 Racial Disparity in the Time to Diagnosis of Cushing’s Disease","volume":"8","author":[{"family":"Omotosho","given":"Y B"},{"family":"McGlotten","given":"R"},{"family":"Chittiboina","given":"P"},{"family":"Nieman","given":"L"}],"issued":{"date-parts":[["2024",10,1]]},"citation-key":"omotoshoMON113RacialDisparity2024"}}],"schema":"https://github.com/citation-style-language/schema/raw/master/csl-citation.json"} </w:instrText>
      </w:r>
      <w:r w:rsidR="00A46BC5">
        <w:fldChar w:fldCharType="separate"/>
      </w:r>
      <w:r w:rsidR="00B623DA">
        <w:rPr>
          <w:noProof/>
        </w:rPr>
        <w:t>(Ioachimescu et al., 2022; Omotosho et al., 2024)</w:t>
      </w:r>
      <w:r w:rsidR="00A46BC5">
        <w:fldChar w:fldCharType="end"/>
      </w:r>
      <w:r w:rsidR="00B623DA">
        <w:t>.</w:t>
      </w:r>
    </w:p>
    <w:p w14:paraId="4576A7FB" w14:textId="11103215" w:rsidR="008132DA" w:rsidRDefault="00B332B4" w:rsidP="00B15E61">
      <w:r>
        <w:t>As we expected, participants with Cushing’s disease had a higher BMI than the controls</w:t>
      </w:r>
      <w:r w:rsidR="00CB1C77">
        <w:t>, with 64% of participants with Cushing’s disease having a BMI above 30 kg/m</w:t>
      </w:r>
      <w:r w:rsidR="00CB1C77" w:rsidRPr="00CB1C77">
        <w:rPr>
          <w:vertAlign w:val="superscript"/>
        </w:rPr>
        <w:t>2</w:t>
      </w:r>
      <w:r w:rsidR="00803FF2">
        <w:t xml:space="preserve">, compared to </w:t>
      </w:r>
      <w:r w:rsidR="00274AF9">
        <w:t>40</w:t>
      </w:r>
      <w:r w:rsidR="00803FF2">
        <w:t>% controls (p&lt;0.001).</w:t>
      </w:r>
      <w:r>
        <w:t xml:space="preserve">  </w:t>
      </w:r>
      <w:r w:rsidR="00AD6AAA">
        <w:t xml:space="preserve">To understand the </w:t>
      </w:r>
      <w:r>
        <w:t xml:space="preserve">cross-sectional </w:t>
      </w:r>
      <w:r w:rsidR="00AD6AAA">
        <w:t>relationship between obesity and Cushing’s disease, we</w:t>
      </w:r>
      <w:r w:rsidR="008132DA">
        <w:t xml:space="preserve"> stratified our participants </w:t>
      </w:r>
      <w:r w:rsidR="00E3456B">
        <w:t>with a BMI above or below 30 kg/m</w:t>
      </w:r>
      <w:r w:rsidR="00E3456B" w:rsidRPr="00E3456B">
        <w:rPr>
          <w:vertAlign w:val="superscript"/>
        </w:rPr>
        <w:t>2</w:t>
      </w:r>
      <w:r w:rsidR="008132DA">
        <w:t xml:space="preserve">, </w:t>
      </w:r>
      <w:r w:rsidR="006E213E">
        <w:t>across</w:t>
      </w:r>
      <w:r w:rsidR="008132DA">
        <w:t xml:space="preserve"> both cases and controls</w:t>
      </w:r>
      <w:r w:rsidR="00733E55">
        <w:t>.  As shown in Table 2, and as expected given our stratification, the four groups differed in several characteristics</w:t>
      </w:r>
      <w:r w:rsidR="004E7691">
        <w:t xml:space="preserve">, </w:t>
      </w:r>
      <w:r w:rsidR="00CC3CD9">
        <w:t>which</w:t>
      </w:r>
      <w:r w:rsidR="004E7691">
        <w:t xml:space="preserve"> will be adjusted for in multivariable models below</w:t>
      </w:r>
      <w:r w:rsidR="00733E55">
        <w:t>.</w:t>
      </w:r>
      <w:r w:rsidR="00CC3CD9">
        <w:t xml:space="preserve">  For example, among</w:t>
      </w:r>
      <w:r w:rsidR="00000C79">
        <w:t xml:space="preserve"> the subgroup of</w:t>
      </w:r>
      <w:r w:rsidR="00CC3CD9">
        <w:t xml:space="preserve"> participants with a BMI &gt; 30 mg/m</w:t>
      </w:r>
      <w:r w:rsidR="00CC3CD9" w:rsidRPr="00CC3CD9">
        <w:rPr>
          <w:vertAlign w:val="superscript"/>
        </w:rPr>
        <w:t>2</w:t>
      </w:r>
      <w:r w:rsidR="00CC3CD9">
        <w:t>, participants with Cushing’s disease had a higher BMI than controls</w:t>
      </w:r>
      <w:r w:rsidR="00693DE3">
        <w:t xml:space="preserve"> (p=0.0024 by a Mann-Whitney test)</w:t>
      </w:r>
      <w:r w:rsidR="00CC3CD9">
        <w:t xml:space="preserve">.  </w:t>
      </w:r>
      <w:r w:rsidR="00AD3DB0" w:rsidRPr="00AD3DB0">
        <w:t>Females with Cushing’s disease were more likely to have a BMI over 30 kg/m</w:t>
      </w:r>
      <w:r w:rsidR="00AD3DB0" w:rsidRPr="00AD3DB0">
        <w:rPr>
          <w:vertAlign w:val="superscript"/>
        </w:rPr>
        <w:t>2</w:t>
      </w:r>
      <w:r w:rsidR="00AD3DB0">
        <w:t xml:space="preserve"> (68% </w:t>
      </w:r>
      <w:r w:rsidR="00AD3DB0" w:rsidRPr="00AD3DB0">
        <w:t xml:space="preserve">of </w:t>
      </w:r>
      <w:r w:rsidR="00AD3DB0">
        <w:t xml:space="preserve">females </w:t>
      </w:r>
      <w:r w:rsidR="00225091">
        <w:t>compared to</w:t>
      </w:r>
      <w:r w:rsidR="00AD3DB0">
        <w:t xml:space="preserve"> 51% of males with Cushing’s disease, p=0.015).  </w:t>
      </w:r>
      <w:r w:rsidR="00307DE8">
        <w:t>Among participants with Cushing’s disease, Asian (6</w:t>
      </w:r>
      <w:r w:rsidR="00BF3E45">
        <w:t xml:space="preserve"> out of </w:t>
      </w:r>
      <w:r w:rsidR="00307DE8">
        <w:t xml:space="preserve">10) and Hispanic or Latino </w:t>
      </w:r>
      <w:r w:rsidR="00B822C5">
        <w:t>(6</w:t>
      </w:r>
      <w:r w:rsidR="00BF3E45">
        <w:t xml:space="preserve"> out of </w:t>
      </w:r>
      <w:r w:rsidR="00B822C5">
        <w:t xml:space="preserve">8) </w:t>
      </w:r>
      <w:r w:rsidR="00307DE8">
        <w:t>participants were more likely have a BMI under 30 kg/m</w:t>
      </w:r>
      <w:r w:rsidR="00307DE8">
        <w:rPr>
          <w:vertAlign w:val="superscript"/>
        </w:rPr>
        <w:t xml:space="preserve">2 </w:t>
      </w:r>
      <w:r w:rsidR="00307DE8">
        <w:t xml:space="preserve">compared to </w:t>
      </w:r>
      <w:r w:rsidR="00B822C5">
        <w:t xml:space="preserve">the overall average </w:t>
      </w:r>
      <w:r w:rsidR="00307DE8">
        <w:t>(</w:t>
      </w:r>
      <w:r w:rsidR="00B822C5">
        <w:t>36%</w:t>
      </w:r>
      <w:r w:rsidR="00C24F2C">
        <w:t>, p=0.027 and 0.176 respectively via Fisher’s exact test</w:t>
      </w:r>
      <w:r w:rsidR="00700188">
        <w:t>s</w:t>
      </w:r>
      <w:r w:rsidR="00307DE8">
        <w:t xml:space="preserve">).  </w:t>
      </w:r>
      <w:r w:rsidR="000C5590">
        <w:t>The</w:t>
      </w:r>
      <w:r w:rsidR="00CC3CD9">
        <w:t xml:space="preserve"> average age of </w:t>
      </w:r>
      <w:r w:rsidR="00927FED">
        <w:t xml:space="preserve">participants with </w:t>
      </w:r>
      <w:r w:rsidR="00CC3CD9">
        <w:t>Cushing’s</w:t>
      </w:r>
      <w:r w:rsidR="00927FED">
        <w:t xml:space="preserve"> disease</w:t>
      </w:r>
      <w:r w:rsidR="00CC3CD9">
        <w:t xml:space="preserve"> with or without obesity was similar</w:t>
      </w:r>
      <w:r w:rsidR="0015020F">
        <w:t xml:space="preserve"> after stratification</w:t>
      </w:r>
      <w:r w:rsidR="00CC3CD9">
        <w:t>.</w:t>
      </w:r>
    </w:p>
    <w:p w14:paraId="57E74E91" w14:textId="30A15CD5" w:rsidR="00EB133A" w:rsidRDefault="00F455CD" w:rsidP="00EB133A">
      <w:pPr>
        <w:pStyle w:val="NormalWeb"/>
        <w:rPr>
          <w:rStyle w:val="Heading2Char"/>
        </w:rPr>
      </w:pPr>
      <w:r>
        <w:rPr>
          <w:rStyle w:val="Heading2Char"/>
        </w:rPr>
        <w:t>Modification of Cushing’s disease-related traits by obesity status</w:t>
      </w:r>
    </w:p>
    <w:p w14:paraId="262B7255" w14:textId="397315CB" w:rsidR="00F455CD" w:rsidRDefault="00F455CD" w:rsidP="00161005">
      <w:r>
        <w:lastRenderedPageBreak/>
        <w:t>To identify how obesity alters metabolic outcomes related to Cushing’s disease, we evaluated the effects of Cushing’s disease on several key metabolic variables including glycemica (fasting glucose and HbA1c), liver enzymes, LDL-C and blood pressure (Figure 2 and Table 3A).  As described below we noted substantial effect modification by obesity status in these fully adjusted models for liver enzymes and blood pressure (Table 3B).</w:t>
      </w:r>
    </w:p>
    <w:p w14:paraId="02781A25" w14:textId="77777777" w:rsidR="00717EE5" w:rsidRDefault="00717EE5" w:rsidP="00547E80">
      <w:pPr>
        <w:pStyle w:val="Heading3"/>
      </w:pPr>
      <w:commentRangeStart w:id="17"/>
      <w:commentRangeStart w:id="18"/>
      <w:r>
        <w:t>Dysglycemia</w:t>
      </w:r>
    </w:p>
    <w:p w14:paraId="6B1BCFC7" w14:textId="6F36A7FB" w:rsidR="00794C81" w:rsidRPr="00794C81" w:rsidRDefault="00794C81" w:rsidP="004C5BA6">
      <w:r>
        <w:t>As aforementioned, our first metabolic variable of interest was the fasting glucose levels of our obese and non-obese populations. As shown in Table 3a, we observed a</w:t>
      </w:r>
      <w:r w:rsidR="00C75CF8">
        <w:t xml:space="preserve"> significant </w:t>
      </w:r>
      <w:r>
        <w:t xml:space="preserve">increase in </w:t>
      </w:r>
      <w:r w:rsidR="004C5BA6">
        <w:t xml:space="preserve">fasting </w:t>
      </w:r>
      <w:r>
        <w:t xml:space="preserve">blood glucose levels </w:t>
      </w:r>
      <w:r w:rsidR="00C75CF8">
        <w:t xml:space="preserve">among </w:t>
      </w:r>
      <w:r w:rsidR="004C5BA6">
        <w:t>participants</w:t>
      </w:r>
      <w:r w:rsidR="00C75CF8">
        <w:t xml:space="preserve"> with Cushing’s disease, regardless of </w:t>
      </w:r>
      <w:commentRangeStart w:id="19"/>
      <w:r w:rsidR="00C75CF8">
        <w:t>obesity status</w:t>
      </w:r>
      <w:r w:rsidR="00514AC5">
        <w:t xml:space="preserve"> (p</w:t>
      </w:r>
      <w:r w:rsidR="00995BC6">
        <w:t>&lt;0.01</w:t>
      </w:r>
      <w:r w:rsidR="00514AC5">
        <w:t xml:space="preserve">, </w:t>
      </w:r>
      <w:r w:rsidR="00995BC6">
        <w:t>&lt;0.01</w:t>
      </w:r>
      <w:r w:rsidR="00514AC5">
        <w:t>)</w:t>
      </w:r>
      <w:r w:rsidR="00C75CF8">
        <w:t xml:space="preserve">. </w:t>
      </w:r>
      <w:commentRangeEnd w:id="19"/>
      <w:r w:rsidR="00547E80">
        <w:rPr>
          <w:rStyle w:val="CommentReference"/>
          <w:sz w:val="24"/>
          <w:szCs w:val="24"/>
        </w:rPr>
        <w:commentReference w:id="19"/>
      </w:r>
      <w:r w:rsidR="00C75CF8">
        <w:t>The non-obese population had a slightly larger increase (26.95 vs. 26.18) than the obese population, but this was not a large enough difference to provide any significant evidence of an effect modification for obesity. Also in Table 3a, our collected HbA1c data indicated a</w:t>
      </w:r>
      <w:r w:rsidR="00514AC5">
        <w:t xml:space="preserve"> slightly insignificant increase in HbA1c levels between the non-obese, and the non-obese with Cushing’s population (p=0.056). However, there was evidence of a significant increase in HbA1c levels of our obese, and obese with Cushing’s population (p</w:t>
      </w:r>
      <w:r w:rsidR="00995BC6">
        <w:t>&lt;0.01</w:t>
      </w:r>
      <w:r w:rsidR="00514AC5">
        <w:t>). This leads us to believe that there is evidence for obesity being a positive modifier in patients with Cushing’s disease****.</w:t>
      </w:r>
    </w:p>
    <w:p w14:paraId="561F3983" w14:textId="28E16CE8" w:rsidR="00F455CD" w:rsidRDefault="00F455CD" w:rsidP="00547E80">
      <w:pPr>
        <w:pStyle w:val="Heading3"/>
      </w:pPr>
      <w:r>
        <w:t>MASLD and liver enzymes</w:t>
      </w:r>
    </w:p>
    <w:p w14:paraId="0C7D6550" w14:textId="0DAC032B" w:rsidR="00C75CF8" w:rsidRPr="00547E80" w:rsidRDefault="003868BC" w:rsidP="00547E80">
      <w:r>
        <w:t xml:space="preserve">To </w:t>
      </w:r>
      <w:r w:rsidR="00547E80">
        <w:t>assess</w:t>
      </w:r>
      <w:r>
        <w:t xml:space="preserve"> </w:t>
      </w:r>
      <w:r w:rsidR="00547E80">
        <w:t>MASLD</w:t>
      </w:r>
      <w:r>
        <w:t xml:space="preserve"> we looked at </w:t>
      </w:r>
      <w:commentRangeStart w:id="20"/>
      <w:r>
        <w:t xml:space="preserve">ALT </w:t>
      </w:r>
      <w:commentRangeEnd w:id="20"/>
      <w:r w:rsidR="00547E80">
        <w:rPr>
          <w:rStyle w:val="CommentReference"/>
          <w:sz w:val="24"/>
          <w:szCs w:val="24"/>
        </w:rPr>
        <w:commentReference w:id="20"/>
      </w:r>
      <w:r>
        <w:t>test results for our population. In both our obese, and non-obese populations, we saw an increase in ALT levels regardless of Cushing’s disease status</w:t>
      </w:r>
      <w:r w:rsidR="00547E80">
        <w:t xml:space="preserve"> </w:t>
      </w:r>
      <w:commentRangeStart w:id="21"/>
      <w:r>
        <w:t>(p</w:t>
      </w:r>
      <w:r w:rsidR="00995BC6">
        <w:t>&lt;0.01</w:t>
      </w:r>
      <w:r>
        <w:t xml:space="preserve">, </w:t>
      </w:r>
      <w:r w:rsidR="00995BC6">
        <w:t>&lt;0.01</w:t>
      </w:r>
      <w:r>
        <w:t xml:space="preserve">). </w:t>
      </w:r>
      <w:commentRangeEnd w:id="21"/>
      <w:r w:rsidR="00547E80">
        <w:rPr>
          <w:rStyle w:val="CommentReference"/>
          <w:sz w:val="24"/>
          <w:szCs w:val="24"/>
        </w:rPr>
        <w:commentReference w:id="21"/>
      </w:r>
      <w:r>
        <w:t>However, the increase in the obese population’s control group and Cushing’s patient population was far greater than the non-obese group’s increase (33.07 vs. 69.23). This suggests that obesity could have a positive effect modification on ALT levels.</w:t>
      </w:r>
    </w:p>
    <w:p w14:paraId="26DFC1F7" w14:textId="377F7EFB" w:rsidR="00F455CD" w:rsidRDefault="00F455CD" w:rsidP="00547E80">
      <w:pPr>
        <w:pStyle w:val="Heading3"/>
      </w:pPr>
      <w:r>
        <w:t>Blood Pressure</w:t>
      </w:r>
      <w:commentRangeEnd w:id="17"/>
      <w:r w:rsidR="002E0B3A">
        <w:rPr>
          <w:rStyle w:val="CommentReference"/>
          <w:sz w:val="28"/>
          <w:szCs w:val="28"/>
        </w:rPr>
        <w:commentReference w:id="17"/>
      </w:r>
      <w:commentRangeEnd w:id="18"/>
      <w:r w:rsidR="00A250E3">
        <w:rPr>
          <w:rStyle w:val="CommentReference"/>
          <w:sz w:val="28"/>
          <w:szCs w:val="28"/>
        </w:rPr>
        <w:commentReference w:id="18"/>
      </w:r>
    </w:p>
    <w:p w14:paraId="50829F1A" w14:textId="2FD8F4D3" w:rsidR="003868BC" w:rsidRPr="00F455CD" w:rsidRDefault="00A250E3" w:rsidP="00547E80">
      <w:r>
        <w:t xml:space="preserve">We </w:t>
      </w:r>
      <w:r w:rsidR="00547E80">
        <w:t xml:space="preserve">parameterized blood pressure readings as systolic, diastolic and mean arterial pressure </w:t>
      </w:r>
      <w:r>
        <w:t xml:space="preserve"> (Table 3A). In our data regarding the mean arteriole pressure, we did see a significant increase in our non-obese population between the patients with and without Cushing’s disease (p=0.010). We did not, however, </w:t>
      </w:r>
      <w:r w:rsidR="00547E80">
        <w:t>observe</w:t>
      </w:r>
      <w:r>
        <w:t xml:space="preserve"> this same significant increase in the obese population (p=0.072). We saw this same relationship in our diastolic blood measurement, with a significant increase in the non-obese population, but not a significant increase in the obese population (p</w:t>
      </w:r>
      <w:r w:rsidR="00995BC6">
        <w:t>&lt;0.01</w:t>
      </w:r>
      <w:r>
        <w:t xml:space="preserve">, </w:t>
      </w:r>
      <w:r w:rsidR="00995BC6">
        <w:t>&lt;0.01</w:t>
      </w:r>
      <w:r>
        <w:t>). This pattern changed in our recorded measurements for systolic blood pressure. In this metric, we saw a significant increase in both the non-obese and obese populations between the control and Cushing’s patient populations (p</w:t>
      </w:r>
      <w:r w:rsidR="00995BC6">
        <w:t>&lt;0.01</w:t>
      </w:r>
      <w:r>
        <w:t xml:space="preserve">, </w:t>
      </w:r>
      <w:r w:rsidR="00995BC6">
        <w:t>&lt;0.01</w:t>
      </w:r>
      <w:r>
        <w:t xml:space="preserve">). This increase was much larger in the non-obese population </w:t>
      </w:r>
      <w:r>
        <w:lastRenderedPageBreak/>
        <w:t>(10.88 vs. 4.50), which suggests that obesity could be a negative effect modifier in regards to systolic blood pressure.</w:t>
      </w:r>
    </w:p>
    <w:p w14:paraId="5FBE0530" w14:textId="06123D21" w:rsidR="00EB133A" w:rsidRDefault="00EB133A" w:rsidP="00EB133A">
      <w:pPr>
        <w:pStyle w:val="NormalWeb"/>
        <w:numPr>
          <w:ilvl w:val="0"/>
          <w:numId w:val="3"/>
        </w:numPr>
      </w:pPr>
      <w:r>
        <w:t>Refer to Table 3</w:t>
      </w:r>
      <w:r w:rsidR="008F51CB">
        <w:t>A/B</w:t>
      </w:r>
      <w:r>
        <w:t xml:space="preserve"> and Figure </w:t>
      </w:r>
      <w:r w:rsidR="008F51CB">
        <w:t>2</w:t>
      </w:r>
      <w:r w:rsidR="002E219B">
        <w:t xml:space="preserve"> and 3 (not done yet)</w:t>
      </w:r>
      <w:r>
        <w:t>.</w:t>
      </w:r>
    </w:p>
    <w:p w14:paraId="2505785D" w14:textId="0B94B029" w:rsidR="00EB133A" w:rsidRDefault="00EB133A" w:rsidP="00EB133A">
      <w:pPr>
        <w:pStyle w:val="NormalWeb"/>
      </w:pPr>
      <w:r w:rsidRPr="00EB133A">
        <w:rPr>
          <w:rStyle w:val="Heading2Char"/>
        </w:rPr>
        <w:t>Sensitivity and secondary analyses</w:t>
      </w:r>
    </w:p>
    <w:p w14:paraId="4F7724D9" w14:textId="6555D82E" w:rsidR="002E219B" w:rsidRDefault="002E219B" w:rsidP="00EB133A">
      <w:pPr>
        <w:pStyle w:val="NormalWeb"/>
        <w:numPr>
          <w:ilvl w:val="0"/>
          <w:numId w:val="5"/>
        </w:numPr>
      </w:pPr>
      <w:r>
        <w:t>Not done yet</w:t>
      </w:r>
    </w:p>
    <w:p w14:paraId="5DE75FD3" w14:textId="04BFDC68" w:rsidR="00EB133A" w:rsidRDefault="00EB133A" w:rsidP="00EB133A">
      <w:pPr>
        <w:pStyle w:val="NormalWeb"/>
        <w:numPr>
          <w:ilvl w:val="0"/>
          <w:numId w:val="5"/>
        </w:numPr>
      </w:pPr>
      <w:r>
        <w:t>Refer to Table 4 and supplemental figures/tables.</w:t>
      </w:r>
    </w:p>
    <w:p w14:paraId="43F6897E" w14:textId="20145D5D" w:rsidR="004B0142" w:rsidRDefault="004B0142" w:rsidP="00EB133A">
      <w:pPr>
        <w:pStyle w:val="NormalWeb"/>
        <w:numPr>
          <w:ilvl w:val="0"/>
          <w:numId w:val="5"/>
        </w:numPr>
      </w:pPr>
      <w:r>
        <w:t>Full model propensity mapping</w:t>
      </w:r>
    </w:p>
    <w:p w14:paraId="09B8670F" w14:textId="4C0F69D0" w:rsidR="00552455" w:rsidRDefault="00552455" w:rsidP="00EB133A">
      <w:pPr>
        <w:pStyle w:val="NormalWeb"/>
        <w:numPr>
          <w:ilvl w:val="0"/>
          <w:numId w:val="5"/>
        </w:numPr>
      </w:pPr>
      <w:r>
        <w:t>No covariates</w:t>
      </w:r>
    </w:p>
    <w:p w14:paraId="51C13DB4" w14:textId="7EF5F95D" w:rsidR="002D6593" w:rsidRDefault="002D6593" w:rsidP="00EB133A">
      <w:pPr>
        <w:pStyle w:val="NormalWeb"/>
        <w:numPr>
          <w:ilvl w:val="0"/>
          <w:numId w:val="5"/>
        </w:numPr>
      </w:pPr>
      <w:r>
        <w:t>BMI instead of Obesity, ns(BMI, df=3) instead of Obesity</w:t>
      </w:r>
    </w:p>
    <w:p w14:paraId="42FF89E9" w14:textId="1D04F0BD" w:rsidR="004A06E2" w:rsidRDefault="004A06E2" w:rsidP="00EB133A">
      <w:pPr>
        <w:pStyle w:val="NormalWeb"/>
        <w:numPr>
          <w:ilvl w:val="0"/>
          <w:numId w:val="5"/>
        </w:numPr>
      </w:pPr>
      <w:r>
        <w:t>Cushings x Sex</w:t>
      </w:r>
    </w:p>
    <w:p w14:paraId="0F5D9DD6" w14:textId="337FCC66" w:rsidR="004A06E2" w:rsidRDefault="004A06E2" w:rsidP="00EB133A">
      <w:pPr>
        <w:pStyle w:val="NormalWeb"/>
        <w:numPr>
          <w:ilvl w:val="0"/>
          <w:numId w:val="5"/>
        </w:numPr>
      </w:pPr>
      <w:r>
        <w:t>Different matching ratios</w:t>
      </w:r>
    </w:p>
    <w:p w14:paraId="6FDF5E5A" w14:textId="127FE382" w:rsidR="00552455" w:rsidRDefault="00552455" w:rsidP="00EB133A">
      <w:pPr>
        <w:pStyle w:val="NormalWeb"/>
        <w:numPr>
          <w:ilvl w:val="0"/>
          <w:numId w:val="5"/>
        </w:numPr>
      </w:pPr>
      <w:r>
        <w:t>IPTW</w:t>
      </w:r>
    </w:p>
    <w:p w14:paraId="7A0DC80F" w14:textId="4FED67FE" w:rsidR="005D57A7" w:rsidRDefault="005D57A7" w:rsidP="00EB133A">
      <w:pPr>
        <w:pStyle w:val="Heading1"/>
      </w:pPr>
      <w:r>
        <w:t>Discussion</w:t>
      </w:r>
    </w:p>
    <w:p w14:paraId="64033048" w14:textId="77777777" w:rsidR="0084083C" w:rsidRDefault="0084083C" w:rsidP="0084083C">
      <w:pPr>
        <w:pStyle w:val="ListParagraph"/>
      </w:pPr>
    </w:p>
    <w:p w14:paraId="64AD0067" w14:textId="71019021" w:rsidR="005D57A7" w:rsidRDefault="005D57A7" w:rsidP="005D57A7">
      <w:pPr>
        <w:pStyle w:val="ListParagraph"/>
        <w:numPr>
          <w:ilvl w:val="0"/>
          <w:numId w:val="6"/>
        </w:numPr>
      </w:pPr>
      <w:r>
        <w:t>Consistency with prior studies on ALT/AST and blood glucose</w:t>
      </w:r>
    </w:p>
    <w:p w14:paraId="6D88CB01" w14:textId="71246078" w:rsidR="005D57A7" w:rsidRDefault="005D57A7" w:rsidP="005D57A7">
      <w:pPr>
        <w:pStyle w:val="ListParagraph"/>
        <w:numPr>
          <w:ilvl w:val="0"/>
          <w:numId w:val="6"/>
        </w:numPr>
      </w:pPr>
      <w:r>
        <w:t>Why is blood pressure protective (is this true of general analyses)</w:t>
      </w:r>
    </w:p>
    <w:p w14:paraId="44A12D8F" w14:textId="6DBF5D42" w:rsidR="001A5301" w:rsidRDefault="001A5301" w:rsidP="005D57A7">
      <w:pPr>
        <w:pStyle w:val="ListParagraph"/>
        <w:numPr>
          <w:ilvl w:val="0"/>
          <w:numId w:val="6"/>
        </w:numPr>
      </w:pPr>
      <w:r>
        <w:t>Gender difference is interesting – increasing fivefold (probably something biological and not a social aspect of doctor frequency)</w:t>
      </w:r>
    </w:p>
    <w:p w14:paraId="6A6DD923" w14:textId="5DDB585D" w:rsidR="00547E80" w:rsidRDefault="00547E80" w:rsidP="005D57A7">
      <w:pPr>
        <w:pStyle w:val="ListParagraph"/>
        <w:numPr>
          <w:ilvl w:val="0"/>
          <w:numId w:val="6"/>
        </w:numPr>
      </w:pPr>
      <w:r>
        <w:t>Race could be under-diagnosis (given previous papers of time to treatment)</w:t>
      </w:r>
    </w:p>
    <w:p w14:paraId="2CAD0053" w14:textId="4478397D" w:rsidR="001A5301" w:rsidRDefault="008255C6" w:rsidP="005D57A7">
      <w:pPr>
        <w:pStyle w:val="ListParagraph"/>
        <w:numPr>
          <w:ilvl w:val="0"/>
          <w:numId w:val="6"/>
        </w:numPr>
      </w:pPr>
      <w:r>
        <w:t>Control population has more recent labs</w:t>
      </w:r>
    </w:p>
    <w:p w14:paraId="2F3BC10A" w14:textId="621FFE69" w:rsidR="008255C6" w:rsidRDefault="004B6782" w:rsidP="005D57A7">
      <w:pPr>
        <w:pStyle w:val="ListParagraph"/>
        <w:numPr>
          <w:ilvl w:val="0"/>
          <w:numId w:val="6"/>
        </w:numPr>
      </w:pPr>
      <w:r>
        <w:t>BMI Higher in cushings case</w:t>
      </w:r>
    </w:p>
    <w:p w14:paraId="600F076F" w14:textId="77971886" w:rsidR="004B6782" w:rsidRDefault="00B442E2" w:rsidP="005D57A7">
      <w:pPr>
        <w:pStyle w:val="ListParagraph"/>
        <w:numPr>
          <w:ilvl w:val="0"/>
          <w:numId w:val="6"/>
        </w:numPr>
      </w:pPr>
      <w:r>
        <w:t>Limitations:</w:t>
      </w:r>
    </w:p>
    <w:p w14:paraId="38489A13" w14:textId="5352F233" w:rsidR="00B442E2" w:rsidRDefault="00B442E2" w:rsidP="00B442E2">
      <w:pPr>
        <w:pStyle w:val="ListParagraph"/>
        <w:numPr>
          <w:ilvl w:val="1"/>
          <w:numId w:val="6"/>
        </w:numPr>
      </w:pPr>
      <w:r>
        <w:t>Lost a seemingly large amount of people in the patient selection process between diagnoses, and treatments.</w:t>
      </w:r>
    </w:p>
    <w:p w14:paraId="46610DFB" w14:textId="0F23577B" w:rsidR="00B442E2" w:rsidRDefault="00B442E2" w:rsidP="00B442E2">
      <w:pPr>
        <w:pStyle w:val="ListParagraph"/>
        <w:numPr>
          <w:ilvl w:val="1"/>
          <w:numId w:val="6"/>
        </w:numPr>
      </w:pPr>
      <w:r>
        <w:t>Possibly disproportionate number of white patients in our population, fewer patients from other ethic/racial backgrounds.</w:t>
      </w:r>
    </w:p>
    <w:p w14:paraId="0FEE6F11" w14:textId="14106388" w:rsidR="00B442E2" w:rsidRDefault="00B442E2" w:rsidP="00B442E2">
      <w:pPr>
        <w:pStyle w:val="ListParagraph"/>
        <w:numPr>
          <w:ilvl w:val="1"/>
          <w:numId w:val="6"/>
        </w:numPr>
      </w:pPr>
      <w:r>
        <w:t>**When selecting our control groups, we could only pull from ~5 years ago due to DataDirect only being able to pull 100k people at one time.</w:t>
      </w:r>
    </w:p>
    <w:p w14:paraId="63C73B69" w14:textId="416D60C7" w:rsidR="00B442E2" w:rsidRDefault="00B442E2" w:rsidP="00B442E2">
      <w:pPr>
        <w:pStyle w:val="ListParagraph"/>
        <w:numPr>
          <w:ilvl w:val="1"/>
          <w:numId w:val="6"/>
        </w:numPr>
      </w:pPr>
      <w:r>
        <w:t>Relatively small n value for some lab results such as LDL cholesterol, osteoporosis (although we probably just will not use any of that data in our final paper anyways)</w:t>
      </w:r>
    </w:p>
    <w:p w14:paraId="0C709652" w14:textId="438808ED" w:rsidR="00B442E2" w:rsidRPr="005D57A7" w:rsidRDefault="00AD501A" w:rsidP="00B442E2">
      <w:pPr>
        <w:pStyle w:val="ListParagraph"/>
        <w:numPr>
          <w:ilvl w:val="1"/>
          <w:numId w:val="6"/>
        </w:numPr>
      </w:pPr>
      <w:r>
        <w:t>Who gets tested</w:t>
      </w:r>
    </w:p>
    <w:p w14:paraId="19AA1532" w14:textId="731B5160" w:rsidR="00EB133A" w:rsidRDefault="00AB7571" w:rsidP="00EB133A">
      <w:pPr>
        <w:pStyle w:val="Heading1"/>
      </w:pPr>
      <w:r>
        <w:lastRenderedPageBreak/>
        <w:t>References</w:t>
      </w:r>
    </w:p>
    <w:p w14:paraId="3CC2FCB8" w14:textId="77777777" w:rsidR="00B623DA" w:rsidRPr="00B623DA" w:rsidRDefault="00AB7571" w:rsidP="00B623DA">
      <w:pPr>
        <w:pStyle w:val="Bibliography"/>
        <w:rPr>
          <w:rFonts w:ascii="Aptos"/>
        </w:rPr>
      </w:pPr>
      <w:r>
        <w:fldChar w:fldCharType="begin"/>
      </w:r>
      <w:r>
        <w:instrText xml:space="preserve"> ADDIN ZOTERO_BIBL {"uncited":[],"omitted":[],"custom":[]} CSL_BIBLIOGRAPHY </w:instrText>
      </w:r>
      <w:r>
        <w:fldChar w:fldCharType="separate"/>
      </w:r>
      <w:r w:rsidR="00B623DA" w:rsidRPr="00B623DA">
        <w:rPr>
          <w:rFonts w:ascii="Aptos"/>
        </w:rPr>
        <w:t xml:space="preserve">Alqeeq, B. F., Ayyad, M., Almadhoun, W. J., Aboabdo, M., Aldahdouh, M. S., Al-Tawil, M., &amp; Al-Ghazali, A. M. (2024). Sex-related differences in Cushing’s disease: A systematic review and meta-analysis. </w:t>
      </w:r>
      <w:r w:rsidR="00B623DA" w:rsidRPr="00B623DA">
        <w:rPr>
          <w:rFonts w:ascii="Aptos"/>
          <w:i/>
          <w:iCs/>
        </w:rPr>
        <w:t>Annals of Saudi Medicine</w:t>
      </w:r>
      <w:r w:rsidR="00B623DA" w:rsidRPr="00B623DA">
        <w:rPr>
          <w:rFonts w:ascii="Aptos"/>
        </w:rPr>
        <w:t xml:space="preserve">, </w:t>
      </w:r>
      <w:r w:rsidR="00B623DA" w:rsidRPr="00B623DA">
        <w:rPr>
          <w:rFonts w:ascii="Aptos"/>
          <w:i/>
          <w:iCs/>
        </w:rPr>
        <w:t>44</w:t>
      </w:r>
      <w:r w:rsidR="00B623DA" w:rsidRPr="00B623DA">
        <w:rPr>
          <w:rFonts w:ascii="Aptos"/>
        </w:rPr>
        <w:t>(1), 55–65. https://doi.org/10.5144/0256-4947.2024.55</w:t>
      </w:r>
    </w:p>
    <w:p w14:paraId="1F6604F9" w14:textId="77777777" w:rsidR="00B623DA" w:rsidRPr="00B623DA" w:rsidRDefault="00B623DA" w:rsidP="00B623DA">
      <w:pPr>
        <w:pStyle w:val="Bibliography"/>
        <w:rPr>
          <w:rFonts w:ascii="Aptos"/>
        </w:rPr>
      </w:pPr>
      <w:r w:rsidRPr="00B623DA">
        <w:rPr>
          <w:rFonts w:ascii="Aptos"/>
        </w:rPr>
        <w:t xml:space="preserve">Broder, M. S., Neary, M. P., Chang, E., Cherepanov, D., &amp; Ludlam, W. H. (2015). Incidence of Cushing’s syndrome and Cushing’s disease in commercially-insured patients &lt;65 years old in the United States. </w:t>
      </w:r>
      <w:r w:rsidRPr="00B623DA">
        <w:rPr>
          <w:rFonts w:ascii="Aptos"/>
          <w:i/>
          <w:iCs/>
        </w:rPr>
        <w:t>Pituitary</w:t>
      </w:r>
      <w:r w:rsidRPr="00B623DA">
        <w:rPr>
          <w:rFonts w:ascii="Aptos"/>
        </w:rPr>
        <w:t xml:space="preserve">, </w:t>
      </w:r>
      <w:r w:rsidRPr="00B623DA">
        <w:rPr>
          <w:rFonts w:ascii="Aptos"/>
          <w:i/>
          <w:iCs/>
        </w:rPr>
        <w:t>18</w:t>
      </w:r>
      <w:r w:rsidRPr="00B623DA">
        <w:rPr>
          <w:rFonts w:ascii="Aptos"/>
        </w:rPr>
        <w:t>(3), 283–289. https://doi.org/10.1007/s11102-014-0569-6</w:t>
      </w:r>
    </w:p>
    <w:p w14:paraId="27D98E0A" w14:textId="77777777" w:rsidR="00B623DA" w:rsidRPr="00B623DA" w:rsidRDefault="00B623DA" w:rsidP="00B623DA">
      <w:pPr>
        <w:pStyle w:val="Bibliography"/>
        <w:rPr>
          <w:rFonts w:ascii="Aptos"/>
        </w:rPr>
      </w:pPr>
      <w:r w:rsidRPr="00B623DA">
        <w:rPr>
          <w:rFonts w:ascii="Aptos"/>
        </w:rPr>
        <w:t xml:space="preserve">Etxabe, J., &amp; Vazquez, J. A. (1994). Morbidity and mortality in Cushing’s disease: An epidemiological approach. </w:t>
      </w:r>
      <w:r w:rsidRPr="00B623DA">
        <w:rPr>
          <w:rFonts w:ascii="Aptos"/>
          <w:i/>
          <w:iCs/>
        </w:rPr>
        <w:t>Clin Endocrinol (Oxf)</w:t>
      </w:r>
      <w:r w:rsidRPr="00B623DA">
        <w:rPr>
          <w:rFonts w:ascii="Aptos"/>
        </w:rPr>
        <w:t xml:space="preserve">, </w:t>
      </w:r>
      <w:r w:rsidRPr="00B623DA">
        <w:rPr>
          <w:rFonts w:ascii="Aptos"/>
          <w:i/>
          <w:iCs/>
        </w:rPr>
        <w:t>40</w:t>
      </w:r>
      <w:r w:rsidRPr="00B623DA">
        <w:rPr>
          <w:rFonts w:ascii="Aptos"/>
        </w:rPr>
        <w:t>(4), 479–484. https://doi.org/10.1111/j.1365-2265.1994.tb02486.x</w:t>
      </w:r>
    </w:p>
    <w:p w14:paraId="602AD758" w14:textId="77777777" w:rsidR="00B623DA" w:rsidRPr="00B623DA" w:rsidRDefault="00B623DA" w:rsidP="00B623DA">
      <w:pPr>
        <w:pStyle w:val="Bibliography"/>
        <w:rPr>
          <w:rFonts w:ascii="Aptos"/>
        </w:rPr>
      </w:pPr>
      <w:r w:rsidRPr="00B623DA">
        <w:rPr>
          <w:rFonts w:ascii="Aptos"/>
        </w:rPr>
        <w:t xml:space="preserve">Ho, D., Imai, K., King, G., &amp; Stuart, E. A. (2011). MatchIt: Nonparametric Preprocessing for Parametric Causal Inference. </w:t>
      </w:r>
      <w:r w:rsidRPr="00B623DA">
        <w:rPr>
          <w:rFonts w:ascii="Aptos"/>
          <w:i/>
          <w:iCs/>
        </w:rPr>
        <w:t>Journal of Statistical Software</w:t>
      </w:r>
      <w:r w:rsidRPr="00B623DA">
        <w:rPr>
          <w:rFonts w:ascii="Aptos"/>
        </w:rPr>
        <w:t xml:space="preserve">, </w:t>
      </w:r>
      <w:r w:rsidRPr="00B623DA">
        <w:rPr>
          <w:rFonts w:ascii="Aptos"/>
          <w:i/>
          <w:iCs/>
        </w:rPr>
        <w:t>42</w:t>
      </w:r>
      <w:r w:rsidRPr="00B623DA">
        <w:rPr>
          <w:rFonts w:ascii="Aptos"/>
        </w:rPr>
        <w:t>, 1–28. https://doi.org/10.18637/jss.v042.i08</w:t>
      </w:r>
    </w:p>
    <w:p w14:paraId="66943045" w14:textId="77777777" w:rsidR="00B623DA" w:rsidRPr="00B623DA" w:rsidRDefault="00B623DA" w:rsidP="00B623DA">
      <w:pPr>
        <w:pStyle w:val="Bibliography"/>
        <w:rPr>
          <w:rFonts w:ascii="Aptos"/>
        </w:rPr>
      </w:pPr>
      <w:r w:rsidRPr="00B623DA">
        <w:rPr>
          <w:rFonts w:ascii="Aptos"/>
        </w:rPr>
        <w:t xml:space="preserve">Ioachimescu, A. G., Goswami, N., Handa, T., Pappy, A., Veledar, E., &amp; Oyesiku, N. M. (2022). Racial Disparities in Acromegaly and Cushing’s Disease: A Referral Center Study in 241 Patients. </w:t>
      </w:r>
      <w:r w:rsidRPr="00B623DA">
        <w:rPr>
          <w:rFonts w:ascii="Aptos"/>
          <w:i/>
          <w:iCs/>
        </w:rPr>
        <w:t>Journal of the Endocrine Society</w:t>
      </w:r>
      <w:r w:rsidRPr="00B623DA">
        <w:rPr>
          <w:rFonts w:ascii="Aptos"/>
        </w:rPr>
        <w:t xml:space="preserve">, </w:t>
      </w:r>
      <w:r w:rsidRPr="00B623DA">
        <w:rPr>
          <w:rFonts w:ascii="Aptos"/>
          <w:i/>
          <w:iCs/>
        </w:rPr>
        <w:t>6</w:t>
      </w:r>
      <w:r w:rsidRPr="00B623DA">
        <w:rPr>
          <w:rFonts w:ascii="Aptos"/>
        </w:rPr>
        <w:t>(1), bvab176. https://doi.org/10.1210/jendso/bvab176</w:t>
      </w:r>
    </w:p>
    <w:p w14:paraId="5E0CB715" w14:textId="77777777" w:rsidR="00B623DA" w:rsidRPr="00B623DA" w:rsidRDefault="00B623DA" w:rsidP="00B623DA">
      <w:pPr>
        <w:pStyle w:val="Bibliography"/>
        <w:rPr>
          <w:rFonts w:ascii="Aptos"/>
        </w:rPr>
      </w:pPr>
      <w:r w:rsidRPr="00B623DA">
        <w:rPr>
          <w:rFonts w:ascii="Aptos"/>
        </w:rPr>
        <w:t xml:space="preserve">Matthiasdottir, A. M., Hardarson, T. O., Arnardottir, S., &amp; Sigurjonsdottir, H. A. (2024). Cushing’s Disease May Have Higher Incidence than Previously Thought: A </w:t>
      </w:r>
      <w:r w:rsidRPr="00B623DA">
        <w:rPr>
          <w:rFonts w:ascii="Aptos"/>
        </w:rPr>
        <w:lastRenderedPageBreak/>
        <w:t xml:space="preserve">Nationwide Study in Iceland 2010–2019. </w:t>
      </w:r>
      <w:r w:rsidRPr="00B623DA">
        <w:rPr>
          <w:rFonts w:ascii="Aptos"/>
          <w:i/>
          <w:iCs/>
        </w:rPr>
        <w:t>Neuroendocrinology</w:t>
      </w:r>
      <w:r w:rsidRPr="00B623DA">
        <w:rPr>
          <w:rFonts w:ascii="Aptos"/>
        </w:rPr>
        <w:t xml:space="preserve">, </w:t>
      </w:r>
      <w:r w:rsidRPr="00B623DA">
        <w:rPr>
          <w:rFonts w:ascii="Aptos"/>
          <w:i/>
          <w:iCs/>
        </w:rPr>
        <w:t>114</w:t>
      </w:r>
      <w:r w:rsidRPr="00B623DA">
        <w:rPr>
          <w:rFonts w:ascii="Aptos"/>
        </w:rPr>
        <w:t>(10), 950–957. https://doi.org/10.1159/000540205</w:t>
      </w:r>
    </w:p>
    <w:p w14:paraId="28D88FAD" w14:textId="77777777" w:rsidR="00B623DA" w:rsidRPr="00B623DA" w:rsidRDefault="00B623DA" w:rsidP="00B623DA">
      <w:pPr>
        <w:pStyle w:val="Bibliography"/>
        <w:rPr>
          <w:rFonts w:ascii="Aptos"/>
        </w:rPr>
      </w:pPr>
      <w:r w:rsidRPr="00B623DA">
        <w:rPr>
          <w:rFonts w:ascii="Aptos"/>
        </w:rPr>
        <w:t xml:space="preserve">Omotosho, Y. B., McGlotten, R., Chittiboina, P., &amp; Nieman, L. (2024). MON-113 Racial Disparity in the Time to Diagnosis of Cushing’s Disease. </w:t>
      </w:r>
      <w:r w:rsidRPr="00B623DA">
        <w:rPr>
          <w:rFonts w:ascii="Aptos"/>
          <w:i/>
          <w:iCs/>
        </w:rPr>
        <w:t>Journal of the Endocrine Society</w:t>
      </w:r>
      <w:r w:rsidRPr="00B623DA">
        <w:rPr>
          <w:rFonts w:ascii="Aptos"/>
        </w:rPr>
        <w:t xml:space="preserve">, </w:t>
      </w:r>
      <w:r w:rsidRPr="00B623DA">
        <w:rPr>
          <w:rFonts w:ascii="Aptos"/>
          <w:i/>
          <w:iCs/>
        </w:rPr>
        <w:t>8</w:t>
      </w:r>
      <w:r w:rsidRPr="00B623DA">
        <w:rPr>
          <w:rFonts w:ascii="Aptos"/>
        </w:rPr>
        <w:t>(Supplement_1), bvae163.2408. https://doi.org/10.1210/jendso/bvae163.2408</w:t>
      </w:r>
    </w:p>
    <w:p w14:paraId="170C9AAB" w14:textId="77777777" w:rsidR="00B623DA" w:rsidRPr="00B623DA" w:rsidRDefault="00B623DA" w:rsidP="00B623DA">
      <w:pPr>
        <w:pStyle w:val="Bibliography"/>
        <w:rPr>
          <w:rFonts w:ascii="Aptos"/>
        </w:rPr>
      </w:pPr>
      <w:r w:rsidRPr="00B623DA">
        <w:rPr>
          <w:rFonts w:ascii="Aptos"/>
        </w:rPr>
        <w:t xml:space="preserve">R Core Team. (2019). </w:t>
      </w:r>
      <w:r w:rsidRPr="00B623DA">
        <w:rPr>
          <w:rFonts w:ascii="Aptos"/>
          <w:i/>
          <w:iCs/>
        </w:rPr>
        <w:t>R: A Language and Environment for Statistical Computing</w:t>
      </w:r>
      <w:r w:rsidRPr="00B623DA">
        <w:rPr>
          <w:rFonts w:ascii="Aptos"/>
        </w:rPr>
        <w:t>. R Foundation for Statistical Computing. http://www.r-project.org/</w:t>
      </w:r>
    </w:p>
    <w:p w14:paraId="59965C26" w14:textId="77777777" w:rsidR="00B623DA" w:rsidRPr="00B623DA" w:rsidRDefault="00B623DA" w:rsidP="00B623DA">
      <w:pPr>
        <w:pStyle w:val="Bibliography"/>
        <w:rPr>
          <w:rFonts w:ascii="Aptos"/>
        </w:rPr>
      </w:pPr>
      <w:r w:rsidRPr="00B623DA">
        <w:rPr>
          <w:rFonts w:ascii="Aptos"/>
        </w:rPr>
        <w:t xml:space="preserve">Steffensen, C., Bak, A. M., Zøylner Rubeck, K., &amp; Jørgensen, J. O. L. (2010). Epidemiology of Cushing’s Syndrome. </w:t>
      </w:r>
      <w:r w:rsidRPr="00B623DA">
        <w:rPr>
          <w:rFonts w:ascii="Aptos"/>
          <w:i/>
          <w:iCs/>
        </w:rPr>
        <w:t>Neuroendocrinology</w:t>
      </w:r>
      <w:r w:rsidRPr="00B623DA">
        <w:rPr>
          <w:rFonts w:ascii="Aptos"/>
        </w:rPr>
        <w:t xml:space="preserve">, </w:t>
      </w:r>
      <w:r w:rsidRPr="00B623DA">
        <w:rPr>
          <w:rFonts w:ascii="Aptos"/>
          <w:i/>
          <w:iCs/>
        </w:rPr>
        <w:t>92</w:t>
      </w:r>
      <w:r w:rsidRPr="00B623DA">
        <w:rPr>
          <w:rFonts w:ascii="Aptos"/>
        </w:rPr>
        <w:t>(Suppl. 1), 1–5. https://doi.org/10.1159/000314297</w:t>
      </w:r>
    </w:p>
    <w:p w14:paraId="26F9D85B" w14:textId="785A0953" w:rsidR="00AB7571" w:rsidRPr="00AB7571" w:rsidRDefault="00AB7571" w:rsidP="00B623DA">
      <w:pPr>
        <w:pStyle w:val="Bibliography"/>
      </w:pPr>
      <w:r>
        <w:fldChar w:fldCharType="end"/>
      </w:r>
    </w:p>
    <w:p w14:paraId="54D2437B" w14:textId="128E1D7D" w:rsidR="00EB133A" w:rsidRDefault="00EB133A" w:rsidP="00EB133A">
      <w:pPr>
        <w:pStyle w:val="Heading1"/>
      </w:pPr>
      <w:r>
        <w:t xml:space="preserve">Figure </w:t>
      </w:r>
      <w:r w:rsidR="00D44D39">
        <w:t xml:space="preserve">and Table </w:t>
      </w:r>
      <w:r>
        <w:t>Legends</w:t>
      </w:r>
    </w:p>
    <w:p w14:paraId="11D6C00B" w14:textId="3B3B0083" w:rsidR="005A3F4C" w:rsidRDefault="005A3F4C" w:rsidP="00EB133A">
      <w:pPr>
        <w:pStyle w:val="NormalWeb"/>
        <w:rPr>
          <w:b/>
          <w:bCs/>
        </w:rPr>
      </w:pPr>
      <w:r>
        <w:rPr>
          <w:b/>
          <w:bCs/>
        </w:rPr>
        <w:t xml:space="preserve">Figure 1: </w:t>
      </w:r>
      <w:r w:rsidR="00340CA3">
        <w:rPr>
          <w:b/>
          <w:bCs/>
        </w:rPr>
        <w:t>Participant flow diagram</w:t>
      </w:r>
      <w:r>
        <w:rPr>
          <w:b/>
          <w:bCs/>
        </w:rPr>
        <w:t>.</w:t>
      </w:r>
    </w:p>
    <w:p w14:paraId="30350933" w14:textId="095876B5" w:rsidR="00944106" w:rsidRPr="000C0011" w:rsidRDefault="00944106" w:rsidP="00EB133A">
      <w:pPr>
        <w:pStyle w:val="NormalWeb"/>
      </w:pPr>
      <w:r>
        <w:rPr>
          <w:b/>
          <w:bCs/>
        </w:rPr>
        <w:t xml:space="preserve">Figure 2: </w:t>
      </w:r>
      <w:r w:rsidR="000C0011">
        <w:rPr>
          <w:b/>
          <w:bCs/>
        </w:rPr>
        <w:t xml:space="preserve">Effects of Cushing’s disease and Obesity on Laboratory Values.  </w:t>
      </w:r>
      <w:r w:rsidR="000C0011">
        <w:t>Laboratory values were within 30 days of Cushing’s disease surgery for cases.  Obesity was defined as a BMI above or below 30 kg/m</w:t>
      </w:r>
      <w:r w:rsidR="000C0011" w:rsidRPr="000C0011">
        <w:rPr>
          <w:vertAlign w:val="superscript"/>
        </w:rPr>
        <w:t>2</w:t>
      </w:r>
      <w:r w:rsidR="000C0011">
        <w:t xml:space="preserve">.  </w:t>
      </w:r>
      <w:r w:rsidR="000C0011" w:rsidRPr="000C0011">
        <w:t>Data are presented as mean</w:t>
      </w:r>
      <w:r w:rsidR="00AB6721">
        <w:t>s with a 95% confidence interval</w:t>
      </w:r>
      <w:r w:rsidR="003971E3">
        <w:t>, with ligh</w:t>
      </w:r>
      <w:r w:rsidR="00666B75">
        <w:t>t</w:t>
      </w:r>
      <w:r w:rsidR="003971E3">
        <w:t>er grey indicating data from participants with Cushing’s disease</w:t>
      </w:r>
      <w:r w:rsidR="000C0011">
        <w:t>.</w:t>
      </w:r>
      <w:r w:rsidR="007F3FF1">
        <w:t xml:space="preserve">   Table 3 reports adjusted p-values for effects of Cushing’s disease and the interaction between disease and obesity.</w:t>
      </w:r>
    </w:p>
    <w:p w14:paraId="46509E87" w14:textId="0D88813A" w:rsidR="00A059AA" w:rsidRDefault="00A059AA" w:rsidP="00EB133A">
      <w:pPr>
        <w:pStyle w:val="NormalWeb"/>
      </w:pPr>
      <w:r>
        <w:rPr>
          <w:b/>
          <w:bCs/>
        </w:rPr>
        <w:t>Table 1: Participant characteristics</w:t>
      </w:r>
      <w:r w:rsidR="00027DE9">
        <w:rPr>
          <w:b/>
          <w:bCs/>
        </w:rPr>
        <w:t xml:space="preserve"> after </w:t>
      </w:r>
      <w:r w:rsidR="00383C2A">
        <w:rPr>
          <w:b/>
          <w:bCs/>
        </w:rPr>
        <w:t xml:space="preserve">covariate </w:t>
      </w:r>
      <w:r w:rsidR="00027DE9">
        <w:rPr>
          <w:b/>
          <w:bCs/>
        </w:rPr>
        <w:t>matching.</w:t>
      </w:r>
      <w:r w:rsidR="00027DE9">
        <w:t xml:space="preserve">  Participants were matched for age, gender and race/ethnicity but not BMI.  This table represents the matched set for </w:t>
      </w:r>
      <w:r w:rsidR="00487A21">
        <w:t xml:space="preserve">patients with </w:t>
      </w:r>
      <w:r w:rsidR="00027DE9">
        <w:t xml:space="preserve">Cushing’s </w:t>
      </w:r>
      <w:r w:rsidR="00487A21">
        <w:t>disease</w:t>
      </w:r>
      <w:r w:rsidR="00027DE9">
        <w:t xml:space="preserve"> with any laboratory value we considered.  Supplementary Tables S2A-E describe outcome-specific matched </w:t>
      </w:r>
      <w:r w:rsidR="00487A21">
        <w:t>characteristics</w:t>
      </w:r>
      <w:r w:rsidR="00027DE9">
        <w:t>.</w:t>
      </w:r>
    </w:p>
    <w:p w14:paraId="4A154099" w14:textId="75663952" w:rsidR="00733E55" w:rsidRDefault="00733E55" w:rsidP="00EB133A">
      <w:pPr>
        <w:pStyle w:val="NormalWeb"/>
      </w:pPr>
      <w:r w:rsidRPr="00733E55">
        <w:rPr>
          <w:b/>
          <w:bCs/>
        </w:rPr>
        <w:t>Table 2: Participant characteristics after stratification by obesity</w:t>
      </w:r>
      <w:r>
        <w:t>.  Values are mean ± SD or n (%). Groups were stratified by Cushing’s status and obesity; no matching was performed across these strata. Kruskal-Wallis or χ² compare across the four groups to generate p-values.</w:t>
      </w:r>
    </w:p>
    <w:p w14:paraId="5E7282D0" w14:textId="430F4997" w:rsidR="00666B75" w:rsidRPr="00666B75" w:rsidRDefault="00666B75" w:rsidP="00EB133A">
      <w:pPr>
        <w:pStyle w:val="NormalWeb"/>
      </w:pPr>
      <w:r>
        <w:rPr>
          <w:b/>
          <w:bCs/>
        </w:rPr>
        <w:lastRenderedPageBreak/>
        <w:t xml:space="preserve">Table 3: Effect sizes and statistical significance for each outcome.  </w:t>
      </w:r>
      <w:r>
        <w:t xml:space="preserve">A) Sub-group specific effects of Cushing’s disease after adjusting for age, gender and race/ethnicity for each outcome.  B) Summary of interactions between obesity and Cushing’s disease on each outcome, after adjusting for age, gender, and race/ethnicity.  </w:t>
      </w:r>
      <w:r w:rsidR="002E0B3A">
        <w:t xml:space="preserve">Data are presented as mean with 95% confidence intervals.  </w:t>
      </w:r>
      <w:r>
        <w:t xml:space="preserve">For both </w:t>
      </w:r>
      <w:r w:rsidR="009B1202">
        <w:t xml:space="preserve">of these </w:t>
      </w:r>
      <w:r w:rsidR="006E0585">
        <w:t>tables</w:t>
      </w:r>
      <w:r>
        <w:t>, LDL-C was not adjusted for race/ethnicity due to small sample size.</w:t>
      </w:r>
    </w:p>
    <w:p w14:paraId="1B67D71C" w14:textId="5A957180" w:rsidR="004C3E7B" w:rsidRPr="004C3E7B" w:rsidRDefault="00A059AA" w:rsidP="00EB133A">
      <w:pPr>
        <w:pStyle w:val="NormalWeb"/>
      </w:pPr>
      <w:r>
        <w:rPr>
          <w:b/>
          <w:bCs/>
        </w:rPr>
        <w:t>Supplementary Figure</w:t>
      </w:r>
      <w:r w:rsidR="004C3E7B" w:rsidRPr="004C3E7B">
        <w:rPr>
          <w:b/>
          <w:bCs/>
        </w:rPr>
        <w:t xml:space="preserve"> </w:t>
      </w:r>
      <w:r>
        <w:rPr>
          <w:b/>
          <w:bCs/>
        </w:rPr>
        <w:t>1</w:t>
      </w:r>
      <w:r w:rsidR="004C3E7B" w:rsidRPr="004C3E7B">
        <w:rPr>
          <w:b/>
          <w:bCs/>
        </w:rPr>
        <w:t>: Love plot</w:t>
      </w:r>
      <w:r w:rsidR="00E024E8">
        <w:rPr>
          <w:b/>
          <w:bCs/>
        </w:rPr>
        <w:t>s</w:t>
      </w:r>
      <w:r w:rsidR="004C3E7B" w:rsidRPr="004C3E7B">
        <w:rPr>
          <w:b/>
          <w:bCs/>
        </w:rPr>
        <w:t xml:space="preserve"> </w:t>
      </w:r>
      <w:r w:rsidR="00E024E8">
        <w:rPr>
          <w:b/>
          <w:bCs/>
        </w:rPr>
        <w:t>showing</w:t>
      </w:r>
      <w:r w:rsidR="004C3E7B" w:rsidRPr="004C3E7B">
        <w:rPr>
          <w:b/>
          <w:bCs/>
        </w:rPr>
        <w:t xml:space="preserve"> </w:t>
      </w:r>
      <w:r w:rsidR="00E024E8">
        <w:rPr>
          <w:b/>
          <w:bCs/>
        </w:rPr>
        <w:t>covariate balance</w:t>
      </w:r>
      <w:r w:rsidR="004C3E7B" w:rsidRPr="004C3E7B">
        <w:rPr>
          <w:b/>
          <w:bCs/>
        </w:rPr>
        <w:t xml:space="preserve"> each outcome.</w:t>
      </w:r>
      <w:r w:rsidR="004C3E7B">
        <w:t xml:space="preserve">  Plots describe the </w:t>
      </w:r>
      <w:r w:rsidR="00217D46">
        <w:t>standardized mean difference</w:t>
      </w:r>
      <w:r w:rsidR="004C3E7B">
        <w:t xml:space="preserve"> for each variable prior to- and after propensity mapping.  </w:t>
      </w:r>
      <w:r w:rsidR="00217D46">
        <w:t xml:space="preserve">Dashed line indicates the </w:t>
      </w:r>
      <w:r w:rsidR="00E024E8">
        <w:t xml:space="preserve">standardized mean </w:t>
      </w:r>
      <w:r w:rsidR="00F227EF">
        <w:t xml:space="preserve">difference </w:t>
      </w:r>
      <w:r w:rsidR="00E024E8">
        <w:t>cutoff</w:t>
      </w:r>
      <w:r w:rsidR="00217D46">
        <w:t xml:space="preserve"> of </w:t>
      </w:r>
      <w:r w:rsidR="00E024E8">
        <w:t xml:space="preserve">0.1.  </w:t>
      </w:r>
      <w:r w:rsidR="004C3E7B">
        <w:t xml:space="preserve">Note </w:t>
      </w:r>
      <w:r w:rsidR="00E024E8">
        <w:t xml:space="preserve">that </w:t>
      </w:r>
      <w:r w:rsidR="004C3E7B">
        <w:t xml:space="preserve">age, </w:t>
      </w:r>
      <w:r w:rsidR="00091D8B">
        <w:t>race/</w:t>
      </w:r>
      <w:r w:rsidR="004C3E7B">
        <w:t>ethnicity and gender were all exactly matched.</w:t>
      </w:r>
    </w:p>
    <w:p w14:paraId="6FAD538F" w14:textId="60FFD41A" w:rsidR="00EB133A" w:rsidRDefault="00FA3B24" w:rsidP="00EB133A">
      <w:pPr>
        <w:pStyle w:val="NormalWeb"/>
      </w:pPr>
      <w:r w:rsidRPr="00AB6DA4">
        <w:rPr>
          <w:b/>
          <w:bCs/>
        </w:rPr>
        <w:t xml:space="preserve">Supplementary Table S1: </w:t>
      </w:r>
      <w:r w:rsidR="00AB6DA4">
        <w:rPr>
          <w:b/>
          <w:bCs/>
        </w:rPr>
        <w:t>Covariate m</w:t>
      </w:r>
      <w:r w:rsidRPr="00AB6DA4">
        <w:rPr>
          <w:b/>
          <w:bCs/>
        </w:rPr>
        <w:t>atching diagnostics for age.</w:t>
      </w:r>
      <w:r>
        <w:t xml:space="preserve">  Averages, standard </w:t>
      </w:r>
      <w:r w:rsidR="002F7D72">
        <w:t>errors</w:t>
      </w:r>
      <w:r>
        <w:t xml:space="preserve"> and standardized mean difference for age are shown for each outcome before and after propensity matching.  Matching was exact for race and ethnicity.</w:t>
      </w:r>
    </w:p>
    <w:p w14:paraId="651164A0" w14:textId="4F0B9766" w:rsidR="00AB6DA4" w:rsidRDefault="00AB6DA4" w:rsidP="00EB133A">
      <w:pPr>
        <w:pStyle w:val="NormalWeb"/>
      </w:pPr>
      <w:r w:rsidRPr="00AB6DA4">
        <w:rPr>
          <w:b/>
          <w:bCs/>
        </w:rPr>
        <w:t>Supplementary Tables S2A-E: Outcome-specific participant characteristics after matching</w:t>
      </w:r>
      <w:r>
        <w:t>. A) Glucose, B) HbA1c, C) ALT, D) Blood Pressure and E) LDL-C</w:t>
      </w:r>
    </w:p>
    <w:p w14:paraId="74F4489A"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0451A5"/>
          <w:kern w:val="0"/>
          <w:sz w:val="18"/>
          <w:szCs w:val="18"/>
          <w14:ligatures w14:val="none"/>
        </w:rPr>
        <w:t>1.</w:t>
      </w:r>
      <w:r w:rsidRPr="00EB133A">
        <w:rPr>
          <w:rFonts w:ascii="Menlo" w:eastAsia="Times New Roman" w:hAnsi="Menlo" w:cs="Menlo"/>
          <w:color w:val="3B3B3B"/>
          <w:kern w:val="0"/>
          <w:sz w:val="18"/>
          <w:szCs w:val="18"/>
          <w14:ligatures w14:val="none"/>
        </w:rPr>
        <w:t xml:space="preserve"> </w:t>
      </w:r>
      <w:r w:rsidRPr="00EB133A">
        <w:rPr>
          <w:rFonts w:ascii="Menlo" w:eastAsia="Times New Roman" w:hAnsi="Menlo" w:cs="Menlo"/>
          <w:b/>
          <w:bCs/>
          <w:color w:val="000080"/>
          <w:kern w:val="0"/>
          <w:sz w:val="18"/>
          <w:szCs w:val="18"/>
          <w14:ligatures w14:val="none"/>
        </w:rPr>
        <w:t>**Figure 1. Study flow diagram (STROBE-style)**</w:t>
      </w:r>
      <w:r w:rsidRPr="00EB133A">
        <w:rPr>
          <w:rFonts w:ascii="Menlo" w:eastAsia="Times New Roman" w:hAnsi="Menlo" w:cs="Menlo"/>
          <w:color w:val="3B3B3B"/>
          <w:kern w:val="0"/>
          <w:sz w:val="18"/>
          <w:szCs w:val="18"/>
          <w14:ligatures w14:val="none"/>
        </w:rPr>
        <w:t xml:space="preserve">  </w:t>
      </w:r>
    </w:p>
    <w:p w14:paraId="5A924450"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3B3B3B"/>
          <w:kern w:val="0"/>
          <w:sz w:val="18"/>
          <w:szCs w:val="18"/>
          <w14:ligatures w14:val="none"/>
        </w:rPr>
        <w:t xml:space="preserve">   </w:t>
      </w:r>
      <w:r w:rsidRPr="00EB133A">
        <w:rPr>
          <w:rFonts w:ascii="Menlo" w:eastAsia="Times New Roman" w:hAnsi="Menlo" w:cs="Menlo"/>
          <w:color w:val="0451A5"/>
          <w:kern w:val="0"/>
          <w:sz w:val="18"/>
          <w:szCs w:val="18"/>
          <w14:ligatures w14:val="none"/>
        </w:rPr>
        <w:t>-</w:t>
      </w:r>
      <w:r w:rsidRPr="00EB133A">
        <w:rPr>
          <w:rFonts w:ascii="Menlo" w:eastAsia="Times New Roman" w:hAnsi="Menlo" w:cs="Menlo"/>
          <w:color w:val="3B3B3B"/>
          <w:kern w:val="0"/>
          <w:sz w:val="18"/>
          <w:szCs w:val="18"/>
          <w14:ligatures w14:val="none"/>
        </w:rPr>
        <w:t xml:space="preserve"> Source population → exclusions → final analytic sample per outcome.</w:t>
      </w:r>
    </w:p>
    <w:p w14:paraId="3853A161"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p>
    <w:p w14:paraId="7B62EACA"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0451A5"/>
          <w:kern w:val="0"/>
          <w:sz w:val="18"/>
          <w:szCs w:val="18"/>
          <w14:ligatures w14:val="none"/>
        </w:rPr>
        <w:t>2.</w:t>
      </w:r>
      <w:r w:rsidRPr="00EB133A">
        <w:rPr>
          <w:rFonts w:ascii="Menlo" w:eastAsia="Times New Roman" w:hAnsi="Menlo" w:cs="Menlo"/>
          <w:color w:val="3B3B3B"/>
          <w:kern w:val="0"/>
          <w:sz w:val="18"/>
          <w:szCs w:val="18"/>
          <w14:ligatures w14:val="none"/>
        </w:rPr>
        <w:t xml:space="preserve"> </w:t>
      </w:r>
      <w:r w:rsidRPr="00EB133A">
        <w:rPr>
          <w:rFonts w:ascii="Menlo" w:eastAsia="Times New Roman" w:hAnsi="Menlo" w:cs="Menlo"/>
          <w:b/>
          <w:bCs/>
          <w:color w:val="000080"/>
          <w:kern w:val="0"/>
          <w:sz w:val="18"/>
          <w:szCs w:val="18"/>
          <w14:ligatures w14:val="none"/>
        </w:rPr>
        <w:t>**Figure 2. Covariate balance plot (“Love plot”)**</w:t>
      </w:r>
      <w:r w:rsidRPr="00EB133A">
        <w:rPr>
          <w:rFonts w:ascii="Menlo" w:eastAsia="Times New Roman" w:hAnsi="Menlo" w:cs="Menlo"/>
          <w:color w:val="3B3B3B"/>
          <w:kern w:val="0"/>
          <w:sz w:val="18"/>
          <w:szCs w:val="18"/>
          <w14:ligatures w14:val="none"/>
        </w:rPr>
        <w:t xml:space="preserve">  </w:t>
      </w:r>
    </w:p>
    <w:p w14:paraId="1CD63E72"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3B3B3B"/>
          <w:kern w:val="0"/>
          <w:sz w:val="18"/>
          <w:szCs w:val="18"/>
          <w14:ligatures w14:val="none"/>
        </w:rPr>
        <w:t xml:space="preserve">   </w:t>
      </w:r>
      <w:r w:rsidRPr="00EB133A">
        <w:rPr>
          <w:rFonts w:ascii="Menlo" w:eastAsia="Times New Roman" w:hAnsi="Menlo" w:cs="Menlo"/>
          <w:color w:val="0451A5"/>
          <w:kern w:val="0"/>
          <w:sz w:val="18"/>
          <w:szCs w:val="18"/>
          <w14:ligatures w14:val="none"/>
        </w:rPr>
        <w:t>-</w:t>
      </w:r>
      <w:r w:rsidRPr="00EB133A">
        <w:rPr>
          <w:rFonts w:ascii="Menlo" w:eastAsia="Times New Roman" w:hAnsi="Menlo" w:cs="Menlo"/>
          <w:color w:val="3B3B3B"/>
          <w:kern w:val="0"/>
          <w:sz w:val="18"/>
          <w:szCs w:val="18"/>
          <w14:ligatures w14:val="none"/>
        </w:rPr>
        <w:t xml:space="preserve"> Standardized mean differences for matched variables before vs after matching.</w:t>
      </w:r>
    </w:p>
    <w:p w14:paraId="62266704"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p>
    <w:p w14:paraId="764AE8DB"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0451A5"/>
          <w:kern w:val="0"/>
          <w:sz w:val="18"/>
          <w:szCs w:val="18"/>
          <w14:ligatures w14:val="none"/>
        </w:rPr>
        <w:t>3.</w:t>
      </w:r>
      <w:r w:rsidRPr="00EB133A">
        <w:rPr>
          <w:rFonts w:ascii="Menlo" w:eastAsia="Times New Roman" w:hAnsi="Menlo" w:cs="Menlo"/>
          <w:color w:val="3B3B3B"/>
          <w:kern w:val="0"/>
          <w:sz w:val="18"/>
          <w:szCs w:val="18"/>
          <w14:ligatures w14:val="none"/>
        </w:rPr>
        <w:t xml:space="preserve"> </w:t>
      </w:r>
      <w:r w:rsidRPr="00EB133A">
        <w:rPr>
          <w:rFonts w:ascii="Menlo" w:eastAsia="Times New Roman" w:hAnsi="Menlo" w:cs="Menlo"/>
          <w:b/>
          <w:bCs/>
          <w:color w:val="000080"/>
          <w:kern w:val="0"/>
          <w:sz w:val="18"/>
          <w:szCs w:val="18"/>
          <w14:ligatures w14:val="none"/>
        </w:rPr>
        <w:t>**Figure 3. Primary interaction plots (Cushing’s × Obesity)**</w:t>
      </w:r>
      <w:r w:rsidRPr="00EB133A">
        <w:rPr>
          <w:rFonts w:ascii="Menlo" w:eastAsia="Times New Roman" w:hAnsi="Menlo" w:cs="Menlo"/>
          <w:color w:val="3B3B3B"/>
          <w:kern w:val="0"/>
          <w:sz w:val="18"/>
          <w:szCs w:val="18"/>
          <w14:ligatures w14:val="none"/>
        </w:rPr>
        <w:t xml:space="preserve">  </w:t>
      </w:r>
    </w:p>
    <w:p w14:paraId="32D402AF"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3B3B3B"/>
          <w:kern w:val="0"/>
          <w:sz w:val="18"/>
          <w:szCs w:val="18"/>
          <w14:ligatures w14:val="none"/>
        </w:rPr>
        <w:t xml:space="preserve">   </w:t>
      </w:r>
      <w:r w:rsidRPr="00EB133A">
        <w:rPr>
          <w:rFonts w:ascii="Menlo" w:eastAsia="Times New Roman" w:hAnsi="Menlo" w:cs="Menlo"/>
          <w:color w:val="0451A5"/>
          <w:kern w:val="0"/>
          <w:sz w:val="18"/>
          <w:szCs w:val="18"/>
          <w14:ligatures w14:val="none"/>
        </w:rPr>
        <w:t>-</w:t>
      </w:r>
      <w:r w:rsidRPr="00EB133A">
        <w:rPr>
          <w:rFonts w:ascii="Menlo" w:eastAsia="Times New Roman" w:hAnsi="Menlo" w:cs="Menlo"/>
          <w:color w:val="3B3B3B"/>
          <w:kern w:val="0"/>
          <w:sz w:val="18"/>
          <w:szCs w:val="18"/>
          <w14:ligatures w14:val="none"/>
        </w:rPr>
        <w:t xml:space="preserve"> Panels for HbA1c, SBP, DBP, LDL-C, fasting glucose.  </w:t>
      </w:r>
    </w:p>
    <w:p w14:paraId="0A77C76C"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3B3B3B"/>
          <w:kern w:val="0"/>
          <w:sz w:val="18"/>
          <w:szCs w:val="18"/>
          <w14:ligatures w14:val="none"/>
        </w:rPr>
        <w:t xml:space="preserve">   </w:t>
      </w:r>
      <w:r w:rsidRPr="00EB133A">
        <w:rPr>
          <w:rFonts w:ascii="Menlo" w:eastAsia="Times New Roman" w:hAnsi="Menlo" w:cs="Menlo"/>
          <w:color w:val="0451A5"/>
          <w:kern w:val="0"/>
          <w:sz w:val="18"/>
          <w:szCs w:val="18"/>
          <w14:ligatures w14:val="none"/>
        </w:rPr>
        <w:t>-</w:t>
      </w:r>
      <w:r w:rsidRPr="00EB133A">
        <w:rPr>
          <w:rFonts w:ascii="Menlo" w:eastAsia="Times New Roman" w:hAnsi="Menlo" w:cs="Menlo"/>
          <w:color w:val="3B3B3B"/>
          <w:kern w:val="0"/>
          <w:sz w:val="18"/>
          <w:szCs w:val="18"/>
          <w14:ligatures w14:val="none"/>
        </w:rPr>
        <w:t xml:space="preserve"> Y-axis: adjusted marginal mean (95% CI); X-axis: obesity stratum; color: Cushing’s vs Control.</w:t>
      </w:r>
    </w:p>
    <w:p w14:paraId="302A3787"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p>
    <w:p w14:paraId="5EA0FFD9"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0451A5"/>
          <w:kern w:val="0"/>
          <w:sz w:val="18"/>
          <w:szCs w:val="18"/>
          <w14:ligatures w14:val="none"/>
        </w:rPr>
        <w:t>4.</w:t>
      </w:r>
      <w:r w:rsidRPr="00EB133A">
        <w:rPr>
          <w:rFonts w:ascii="Menlo" w:eastAsia="Times New Roman" w:hAnsi="Menlo" w:cs="Menlo"/>
          <w:color w:val="3B3B3B"/>
          <w:kern w:val="0"/>
          <w:sz w:val="18"/>
          <w:szCs w:val="18"/>
          <w14:ligatures w14:val="none"/>
        </w:rPr>
        <w:t xml:space="preserve"> </w:t>
      </w:r>
      <w:r w:rsidRPr="00EB133A">
        <w:rPr>
          <w:rFonts w:ascii="Menlo" w:eastAsia="Times New Roman" w:hAnsi="Menlo" w:cs="Menlo"/>
          <w:b/>
          <w:bCs/>
          <w:color w:val="000080"/>
          <w:kern w:val="0"/>
          <w:sz w:val="18"/>
          <w:szCs w:val="18"/>
          <w14:ligatures w14:val="none"/>
        </w:rPr>
        <w:t>**Figure 4. Forest plot of interaction estimates**</w:t>
      </w:r>
      <w:r w:rsidRPr="00EB133A">
        <w:rPr>
          <w:rFonts w:ascii="Menlo" w:eastAsia="Times New Roman" w:hAnsi="Menlo" w:cs="Menlo"/>
          <w:color w:val="3B3B3B"/>
          <w:kern w:val="0"/>
          <w:sz w:val="18"/>
          <w:szCs w:val="18"/>
          <w14:ligatures w14:val="none"/>
        </w:rPr>
        <w:t xml:space="preserve">  </w:t>
      </w:r>
    </w:p>
    <w:p w14:paraId="6183FE73"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3B3B3B"/>
          <w:kern w:val="0"/>
          <w:sz w:val="18"/>
          <w:szCs w:val="18"/>
          <w14:ligatures w14:val="none"/>
        </w:rPr>
        <w:t xml:space="preserve">   </w:t>
      </w:r>
      <w:r w:rsidRPr="00EB133A">
        <w:rPr>
          <w:rFonts w:ascii="Menlo" w:eastAsia="Times New Roman" w:hAnsi="Menlo" w:cs="Menlo"/>
          <w:color w:val="0451A5"/>
          <w:kern w:val="0"/>
          <w:sz w:val="18"/>
          <w:szCs w:val="18"/>
          <w14:ligatures w14:val="none"/>
        </w:rPr>
        <w:t>-</w:t>
      </w:r>
      <w:r w:rsidRPr="00EB133A">
        <w:rPr>
          <w:rFonts w:ascii="Menlo" w:eastAsia="Times New Roman" w:hAnsi="Menlo" w:cs="Menlo"/>
          <w:color w:val="3B3B3B"/>
          <w:kern w:val="0"/>
          <w:sz w:val="18"/>
          <w:szCs w:val="18"/>
          <w14:ligatures w14:val="none"/>
        </w:rPr>
        <w:t xml:space="preserve"> For each outcome, plot difference-in-differences (interaction term) with 95% CI.</w:t>
      </w:r>
    </w:p>
    <w:p w14:paraId="1FC55AB8"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p>
    <w:p w14:paraId="71360F9F"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0451A5"/>
          <w:kern w:val="0"/>
          <w:sz w:val="18"/>
          <w:szCs w:val="18"/>
          <w14:ligatures w14:val="none"/>
        </w:rPr>
        <w:t>5.</w:t>
      </w:r>
      <w:r w:rsidRPr="00EB133A">
        <w:rPr>
          <w:rFonts w:ascii="Menlo" w:eastAsia="Times New Roman" w:hAnsi="Menlo" w:cs="Menlo"/>
          <w:color w:val="3B3B3B"/>
          <w:kern w:val="0"/>
          <w:sz w:val="18"/>
          <w:szCs w:val="18"/>
          <w14:ligatures w14:val="none"/>
        </w:rPr>
        <w:t xml:space="preserve"> </w:t>
      </w:r>
      <w:r w:rsidRPr="00EB133A">
        <w:rPr>
          <w:rFonts w:ascii="Menlo" w:eastAsia="Times New Roman" w:hAnsi="Menlo" w:cs="Menlo"/>
          <w:b/>
          <w:bCs/>
          <w:color w:val="000080"/>
          <w:kern w:val="0"/>
          <w:sz w:val="18"/>
          <w:szCs w:val="18"/>
          <w14:ligatures w14:val="none"/>
        </w:rPr>
        <w:t>**Figure 5 (optional). Outcome distributions by 2×2 groups**</w:t>
      </w:r>
      <w:r w:rsidRPr="00EB133A">
        <w:rPr>
          <w:rFonts w:ascii="Menlo" w:eastAsia="Times New Roman" w:hAnsi="Menlo" w:cs="Menlo"/>
          <w:color w:val="3B3B3B"/>
          <w:kern w:val="0"/>
          <w:sz w:val="18"/>
          <w:szCs w:val="18"/>
          <w14:ligatures w14:val="none"/>
        </w:rPr>
        <w:t xml:space="preserve">  </w:t>
      </w:r>
    </w:p>
    <w:p w14:paraId="42022B3E"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3B3B3B"/>
          <w:kern w:val="0"/>
          <w:sz w:val="18"/>
          <w:szCs w:val="18"/>
          <w14:ligatures w14:val="none"/>
        </w:rPr>
        <w:t xml:space="preserve">   </w:t>
      </w:r>
      <w:r w:rsidRPr="00EB133A">
        <w:rPr>
          <w:rFonts w:ascii="Menlo" w:eastAsia="Times New Roman" w:hAnsi="Menlo" w:cs="Menlo"/>
          <w:color w:val="0451A5"/>
          <w:kern w:val="0"/>
          <w:sz w:val="18"/>
          <w:szCs w:val="18"/>
          <w14:ligatures w14:val="none"/>
        </w:rPr>
        <w:t>-</w:t>
      </w:r>
      <w:r w:rsidRPr="00EB133A">
        <w:rPr>
          <w:rFonts w:ascii="Menlo" w:eastAsia="Times New Roman" w:hAnsi="Menlo" w:cs="Menlo"/>
          <w:color w:val="3B3B3B"/>
          <w:kern w:val="0"/>
          <w:sz w:val="18"/>
          <w:szCs w:val="18"/>
          <w14:ligatures w14:val="none"/>
        </w:rPr>
        <w:t xml:space="preserve"> Box/violin plots or ridge plots showing distribution shapes.</w:t>
      </w:r>
    </w:p>
    <w:p w14:paraId="6841B353"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p>
    <w:p w14:paraId="3B897422"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b/>
          <w:bCs/>
          <w:color w:val="800000"/>
          <w:kern w:val="0"/>
          <w:sz w:val="18"/>
          <w:szCs w:val="18"/>
          <w14:ligatures w14:val="none"/>
        </w:rPr>
        <w:t>## Recommended Tables</w:t>
      </w:r>
    </w:p>
    <w:p w14:paraId="2339154B"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p>
    <w:p w14:paraId="5FF2A906"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0451A5"/>
          <w:kern w:val="0"/>
          <w:sz w:val="18"/>
          <w:szCs w:val="18"/>
          <w14:ligatures w14:val="none"/>
        </w:rPr>
        <w:t>1.</w:t>
      </w:r>
      <w:r w:rsidRPr="00EB133A">
        <w:rPr>
          <w:rFonts w:ascii="Menlo" w:eastAsia="Times New Roman" w:hAnsi="Menlo" w:cs="Menlo"/>
          <w:color w:val="3B3B3B"/>
          <w:kern w:val="0"/>
          <w:sz w:val="18"/>
          <w:szCs w:val="18"/>
          <w14:ligatures w14:val="none"/>
        </w:rPr>
        <w:t xml:space="preserve"> </w:t>
      </w:r>
      <w:r w:rsidRPr="00EB133A">
        <w:rPr>
          <w:rFonts w:ascii="Menlo" w:eastAsia="Times New Roman" w:hAnsi="Menlo" w:cs="Menlo"/>
          <w:b/>
          <w:bCs/>
          <w:color w:val="000080"/>
          <w:kern w:val="0"/>
          <w:sz w:val="18"/>
          <w:szCs w:val="18"/>
          <w14:ligatures w14:val="none"/>
        </w:rPr>
        <w:t>**Table 1. Baseline characteristics by Cushing’s status (matched sample)**</w:t>
      </w:r>
      <w:r w:rsidRPr="00EB133A">
        <w:rPr>
          <w:rFonts w:ascii="Menlo" w:eastAsia="Times New Roman" w:hAnsi="Menlo" w:cs="Menlo"/>
          <w:color w:val="3B3B3B"/>
          <w:kern w:val="0"/>
          <w:sz w:val="18"/>
          <w:szCs w:val="18"/>
          <w14:ligatures w14:val="none"/>
        </w:rPr>
        <w:t xml:space="preserve">  </w:t>
      </w:r>
    </w:p>
    <w:p w14:paraId="7B4B2FA8"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3B3B3B"/>
          <w:kern w:val="0"/>
          <w:sz w:val="18"/>
          <w:szCs w:val="18"/>
          <w14:ligatures w14:val="none"/>
        </w:rPr>
        <w:t xml:space="preserve">   </w:t>
      </w:r>
      <w:r w:rsidRPr="00EB133A">
        <w:rPr>
          <w:rFonts w:ascii="Menlo" w:eastAsia="Times New Roman" w:hAnsi="Menlo" w:cs="Menlo"/>
          <w:color w:val="0451A5"/>
          <w:kern w:val="0"/>
          <w:sz w:val="18"/>
          <w:szCs w:val="18"/>
          <w14:ligatures w14:val="none"/>
        </w:rPr>
        <w:t>-</w:t>
      </w:r>
      <w:r w:rsidRPr="00EB133A">
        <w:rPr>
          <w:rFonts w:ascii="Menlo" w:eastAsia="Times New Roman" w:hAnsi="Menlo" w:cs="Menlo"/>
          <w:color w:val="3B3B3B"/>
          <w:kern w:val="0"/>
          <w:sz w:val="18"/>
          <w:szCs w:val="18"/>
          <w14:ligatures w14:val="none"/>
        </w:rPr>
        <w:t xml:space="preserve"> N, mean±SD or median [</w:t>
      </w:r>
      <w:r w:rsidRPr="00EB133A">
        <w:rPr>
          <w:rFonts w:ascii="Menlo" w:eastAsia="Times New Roman" w:hAnsi="Menlo" w:cs="Menlo"/>
          <w:color w:val="A31515"/>
          <w:kern w:val="0"/>
          <w:sz w:val="18"/>
          <w:szCs w:val="18"/>
          <w14:ligatures w14:val="none"/>
        </w:rPr>
        <w:t>IQR</w:t>
      </w:r>
      <w:r w:rsidRPr="00EB133A">
        <w:rPr>
          <w:rFonts w:ascii="Menlo" w:eastAsia="Times New Roman" w:hAnsi="Menlo" w:cs="Menlo"/>
          <w:color w:val="3B3B3B"/>
          <w:kern w:val="0"/>
          <w:sz w:val="18"/>
          <w:szCs w:val="18"/>
          <w14:ligatures w14:val="none"/>
        </w:rPr>
        <w:t>], standardized mean differences.</w:t>
      </w:r>
    </w:p>
    <w:p w14:paraId="0E703021"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p>
    <w:p w14:paraId="00F30B47"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0451A5"/>
          <w:kern w:val="0"/>
          <w:sz w:val="18"/>
          <w:szCs w:val="18"/>
          <w14:ligatures w14:val="none"/>
        </w:rPr>
        <w:t>2.</w:t>
      </w:r>
      <w:r w:rsidRPr="00EB133A">
        <w:rPr>
          <w:rFonts w:ascii="Menlo" w:eastAsia="Times New Roman" w:hAnsi="Menlo" w:cs="Menlo"/>
          <w:color w:val="3B3B3B"/>
          <w:kern w:val="0"/>
          <w:sz w:val="18"/>
          <w:szCs w:val="18"/>
          <w14:ligatures w14:val="none"/>
        </w:rPr>
        <w:t xml:space="preserve"> </w:t>
      </w:r>
      <w:r w:rsidRPr="00EB133A">
        <w:rPr>
          <w:rFonts w:ascii="Menlo" w:eastAsia="Times New Roman" w:hAnsi="Menlo" w:cs="Menlo"/>
          <w:b/>
          <w:bCs/>
          <w:color w:val="000080"/>
          <w:kern w:val="0"/>
          <w:sz w:val="18"/>
          <w:szCs w:val="18"/>
          <w14:ligatures w14:val="none"/>
        </w:rPr>
        <w:t>**Table 2. Characteristics by 2×2 groups (Cushing’s × Obesity)**</w:t>
      </w:r>
      <w:r w:rsidRPr="00EB133A">
        <w:rPr>
          <w:rFonts w:ascii="Menlo" w:eastAsia="Times New Roman" w:hAnsi="Menlo" w:cs="Menlo"/>
          <w:color w:val="3B3B3B"/>
          <w:kern w:val="0"/>
          <w:sz w:val="18"/>
          <w:szCs w:val="18"/>
          <w14:ligatures w14:val="none"/>
        </w:rPr>
        <w:t xml:space="preserve">  </w:t>
      </w:r>
    </w:p>
    <w:p w14:paraId="0704597F"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3B3B3B"/>
          <w:kern w:val="0"/>
          <w:sz w:val="18"/>
          <w:szCs w:val="18"/>
          <w14:ligatures w14:val="none"/>
        </w:rPr>
        <w:t xml:space="preserve">   </w:t>
      </w:r>
      <w:r w:rsidRPr="00EB133A">
        <w:rPr>
          <w:rFonts w:ascii="Menlo" w:eastAsia="Times New Roman" w:hAnsi="Menlo" w:cs="Menlo"/>
          <w:color w:val="0451A5"/>
          <w:kern w:val="0"/>
          <w:sz w:val="18"/>
          <w:szCs w:val="18"/>
          <w14:ligatures w14:val="none"/>
        </w:rPr>
        <w:t>-</w:t>
      </w:r>
      <w:r w:rsidRPr="00EB133A">
        <w:rPr>
          <w:rFonts w:ascii="Menlo" w:eastAsia="Times New Roman" w:hAnsi="Menlo" w:cs="Menlo"/>
          <w:color w:val="3B3B3B"/>
          <w:kern w:val="0"/>
          <w:sz w:val="18"/>
          <w:szCs w:val="18"/>
          <w14:ligatures w14:val="none"/>
        </w:rPr>
        <w:t xml:space="preserve"> Four columns: Lean-Control, Lean-Cushing’s, Obese-Control, Obese-Cushing’s.</w:t>
      </w:r>
    </w:p>
    <w:p w14:paraId="4CEA012E"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p>
    <w:p w14:paraId="483C0ED9"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0451A5"/>
          <w:kern w:val="0"/>
          <w:sz w:val="18"/>
          <w:szCs w:val="18"/>
          <w14:ligatures w14:val="none"/>
        </w:rPr>
        <w:t>3.</w:t>
      </w:r>
      <w:r w:rsidRPr="00EB133A">
        <w:rPr>
          <w:rFonts w:ascii="Menlo" w:eastAsia="Times New Roman" w:hAnsi="Menlo" w:cs="Menlo"/>
          <w:color w:val="3B3B3B"/>
          <w:kern w:val="0"/>
          <w:sz w:val="18"/>
          <w:szCs w:val="18"/>
          <w14:ligatures w14:val="none"/>
        </w:rPr>
        <w:t xml:space="preserve"> </w:t>
      </w:r>
      <w:r w:rsidRPr="00EB133A">
        <w:rPr>
          <w:rFonts w:ascii="Menlo" w:eastAsia="Times New Roman" w:hAnsi="Menlo" w:cs="Menlo"/>
          <w:b/>
          <w:bCs/>
          <w:color w:val="000080"/>
          <w:kern w:val="0"/>
          <w:sz w:val="18"/>
          <w:szCs w:val="18"/>
          <w14:ligatures w14:val="none"/>
        </w:rPr>
        <w:t>**Table 3. Primary adjusted results with interaction**</w:t>
      </w:r>
      <w:r w:rsidRPr="00EB133A">
        <w:rPr>
          <w:rFonts w:ascii="Menlo" w:eastAsia="Times New Roman" w:hAnsi="Menlo" w:cs="Menlo"/>
          <w:color w:val="3B3B3B"/>
          <w:kern w:val="0"/>
          <w:sz w:val="18"/>
          <w:szCs w:val="18"/>
          <w14:ligatures w14:val="none"/>
        </w:rPr>
        <w:t xml:space="preserve">  </w:t>
      </w:r>
    </w:p>
    <w:p w14:paraId="431287DA"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3B3B3B"/>
          <w:kern w:val="0"/>
          <w:sz w:val="18"/>
          <w:szCs w:val="18"/>
          <w14:ligatures w14:val="none"/>
        </w:rPr>
        <w:t xml:space="preserve">   </w:t>
      </w:r>
      <w:r w:rsidRPr="00EB133A">
        <w:rPr>
          <w:rFonts w:ascii="Menlo" w:eastAsia="Times New Roman" w:hAnsi="Menlo" w:cs="Menlo"/>
          <w:color w:val="0451A5"/>
          <w:kern w:val="0"/>
          <w:sz w:val="18"/>
          <w:szCs w:val="18"/>
          <w14:ligatures w14:val="none"/>
        </w:rPr>
        <w:t>-</w:t>
      </w:r>
      <w:r w:rsidRPr="00EB133A">
        <w:rPr>
          <w:rFonts w:ascii="Menlo" w:eastAsia="Times New Roman" w:hAnsi="Menlo" w:cs="Menlo"/>
          <w:color w:val="3B3B3B"/>
          <w:kern w:val="0"/>
          <w:sz w:val="18"/>
          <w:szCs w:val="18"/>
          <w14:ligatures w14:val="none"/>
        </w:rPr>
        <w:t xml:space="preserve"> Adjusted means by group; within-stratum differences; interaction estimate (95% CI, p-value).</w:t>
      </w:r>
    </w:p>
    <w:p w14:paraId="38F29B0D"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p>
    <w:p w14:paraId="4E3307EE"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0451A5"/>
          <w:kern w:val="0"/>
          <w:sz w:val="18"/>
          <w:szCs w:val="18"/>
          <w14:ligatures w14:val="none"/>
        </w:rPr>
        <w:t>4.</w:t>
      </w:r>
      <w:r w:rsidRPr="00EB133A">
        <w:rPr>
          <w:rFonts w:ascii="Menlo" w:eastAsia="Times New Roman" w:hAnsi="Menlo" w:cs="Menlo"/>
          <w:color w:val="3B3B3B"/>
          <w:kern w:val="0"/>
          <w:sz w:val="18"/>
          <w:szCs w:val="18"/>
          <w14:ligatures w14:val="none"/>
        </w:rPr>
        <w:t xml:space="preserve"> </w:t>
      </w:r>
      <w:r w:rsidRPr="00EB133A">
        <w:rPr>
          <w:rFonts w:ascii="Menlo" w:eastAsia="Times New Roman" w:hAnsi="Menlo" w:cs="Menlo"/>
          <w:b/>
          <w:bCs/>
          <w:color w:val="000080"/>
          <w:kern w:val="0"/>
          <w:sz w:val="18"/>
          <w:szCs w:val="18"/>
          <w14:ligatures w14:val="none"/>
        </w:rPr>
        <w:t>**Table 4. Sensitivity analyses**</w:t>
      </w:r>
      <w:r w:rsidRPr="00EB133A">
        <w:rPr>
          <w:rFonts w:ascii="Menlo" w:eastAsia="Times New Roman" w:hAnsi="Menlo" w:cs="Menlo"/>
          <w:color w:val="3B3B3B"/>
          <w:kern w:val="0"/>
          <w:sz w:val="18"/>
          <w:szCs w:val="18"/>
          <w14:ligatures w14:val="none"/>
        </w:rPr>
        <w:t xml:space="preserve">  </w:t>
      </w:r>
    </w:p>
    <w:p w14:paraId="16C416DF"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3B3B3B"/>
          <w:kern w:val="0"/>
          <w:sz w:val="18"/>
          <w:szCs w:val="18"/>
          <w14:ligatures w14:val="none"/>
        </w:rPr>
        <w:t xml:space="preserve">   </w:t>
      </w:r>
      <w:r w:rsidRPr="00EB133A">
        <w:rPr>
          <w:rFonts w:ascii="Menlo" w:eastAsia="Times New Roman" w:hAnsi="Menlo" w:cs="Menlo"/>
          <w:color w:val="0451A5"/>
          <w:kern w:val="0"/>
          <w:sz w:val="18"/>
          <w:szCs w:val="18"/>
          <w14:ligatures w14:val="none"/>
        </w:rPr>
        <w:t>-</w:t>
      </w:r>
      <w:r w:rsidRPr="00EB133A">
        <w:rPr>
          <w:rFonts w:ascii="Menlo" w:eastAsia="Times New Roman" w:hAnsi="Menlo" w:cs="Menlo"/>
          <w:color w:val="3B3B3B"/>
          <w:kern w:val="0"/>
          <w:sz w:val="18"/>
          <w:szCs w:val="18"/>
          <w14:ligatures w14:val="none"/>
        </w:rPr>
        <w:t xml:space="preserve"> Interaction estimates across alternative specifications (different calipers, continuous BMI, etc.).</w:t>
      </w:r>
    </w:p>
    <w:p w14:paraId="7BAE2194"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p>
    <w:p w14:paraId="624B3049"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b/>
          <w:bCs/>
          <w:color w:val="800000"/>
          <w:kern w:val="0"/>
          <w:sz w:val="18"/>
          <w:szCs w:val="18"/>
          <w14:ligatures w14:val="none"/>
        </w:rPr>
        <w:t>## Supplementary Material (Examples)</w:t>
      </w:r>
    </w:p>
    <w:p w14:paraId="79885495"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p>
    <w:p w14:paraId="7E21BFD4"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0451A5"/>
          <w:kern w:val="0"/>
          <w:sz w:val="18"/>
          <w:szCs w:val="18"/>
          <w14:ligatures w14:val="none"/>
        </w:rPr>
        <w:t>-</w:t>
      </w:r>
      <w:r w:rsidRPr="00EB133A">
        <w:rPr>
          <w:rFonts w:ascii="Menlo" w:eastAsia="Times New Roman" w:hAnsi="Menlo" w:cs="Menlo"/>
          <w:color w:val="3B3B3B"/>
          <w:kern w:val="0"/>
          <w:sz w:val="18"/>
          <w:szCs w:val="18"/>
          <w14:ligatures w14:val="none"/>
        </w:rPr>
        <w:t xml:space="preserve"> eFigure 1. Detailed flow diagram per outcome.</w:t>
      </w:r>
    </w:p>
    <w:p w14:paraId="6FC910D6"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0451A5"/>
          <w:kern w:val="0"/>
          <w:sz w:val="18"/>
          <w:szCs w:val="18"/>
          <w14:ligatures w14:val="none"/>
        </w:rPr>
        <w:t>-</w:t>
      </w:r>
      <w:r w:rsidRPr="00EB133A">
        <w:rPr>
          <w:rFonts w:ascii="Menlo" w:eastAsia="Times New Roman" w:hAnsi="Menlo" w:cs="Menlo"/>
          <w:color w:val="3B3B3B"/>
          <w:kern w:val="0"/>
          <w:sz w:val="18"/>
          <w:szCs w:val="18"/>
          <w14:ligatures w14:val="none"/>
        </w:rPr>
        <w:t xml:space="preserve"> eFigure 2. Additional balance plots.</w:t>
      </w:r>
    </w:p>
    <w:p w14:paraId="0F97E672"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0451A5"/>
          <w:kern w:val="0"/>
          <w:sz w:val="18"/>
          <w:szCs w:val="18"/>
          <w14:ligatures w14:val="none"/>
        </w:rPr>
        <w:t>-</w:t>
      </w:r>
      <w:r w:rsidRPr="00EB133A">
        <w:rPr>
          <w:rFonts w:ascii="Menlo" w:eastAsia="Times New Roman" w:hAnsi="Menlo" w:cs="Menlo"/>
          <w:color w:val="3B3B3B"/>
          <w:kern w:val="0"/>
          <w:sz w:val="18"/>
          <w:szCs w:val="18"/>
          <w14:ligatures w14:val="none"/>
        </w:rPr>
        <w:t xml:space="preserve"> eFigure 3. DAG of confounding.</w:t>
      </w:r>
    </w:p>
    <w:p w14:paraId="51704AE7"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0451A5"/>
          <w:kern w:val="0"/>
          <w:sz w:val="18"/>
          <w:szCs w:val="18"/>
          <w14:ligatures w14:val="none"/>
        </w:rPr>
        <w:t>-</w:t>
      </w:r>
      <w:r w:rsidRPr="00EB133A">
        <w:rPr>
          <w:rFonts w:ascii="Menlo" w:eastAsia="Times New Roman" w:hAnsi="Menlo" w:cs="Menlo"/>
          <w:color w:val="3B3B3B"/>
          <w:kern w:val="0"/>
          <w:sz w:val="18"/>
          <w:szCs w:val="18"/>
          <w14:ligatures w14:val="none"/>
        </w:rPr>
        <w:t xml:space="preserve"> eTable 1. Variable definitions.</w:t>
      </w:r>
    </w:p>
    <w:p w14:paraId="5BF64F31"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0451A5"/>
          <w:kern w:val="0"/>
          <w:sz w:val="18"/>
          <w:szCs w:val="18"/>
          <w14:ligatures w14:val="none"/>
        </w:rPr>
        <w:t>-</w:t>
      </w:r>
      <w:r w:rsidRPr="00EB133A">
        <w:rPr>
          <w:rFonts w:ascii="Menlo" w:eastAsia="Times New Roman" w:hAnsi="Menlo" w:cs="Menlo"/>
          <w:color w:val="3B3B3B"/>
          <w:kern w:val="0"/>
          <w:sz w:val="18"/>
          <w:szCs w:val="18"/>
          <w14:ligatures w14:val="none"/>
        </w:rPr>
        <w:t xml:space="preserve"> eTable 2. Full baseline table.</w:t>
      </w:r>
    </w:p>
    <w:p w14:paraId="1348EB63"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0451A5"/>
          <w:kern w:val="0"/>
          <w:sz w:val="18"/>
          <w:szCs w:val="18"/>
          <w14:ligatures w14:val="none"/>
        </w:rPr>
        <w:t>-</w:t>
      </w:r>
      <w:r w:rsidRPr="00EB133A">
        <w:rPr>
          <w:rFonts w:ascii="Menlo" w:eastAsia="Times New Roman" w:hAnsi="Menlo" w:cs="Menlo"/>
          <w:color w:val="3B3B3B"/>
          <w:kern w:val="0"/>
          <w:sz w:val="18"/>
          <w:szCs w:val="18"/>
          <w14:ligatures w14:val="none"/>
        </w:rPr>
        <w:t xml:space="preserve"> eTable 3. Unadjusted outcome comparisons.</w:t>
      </w:r>
    </w:p>
    <w:p w14:paraId="6F7AED9C"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0451A5"/>
          <w:kern w:val="0"/>
          <w:sz w:val="18"/>
          <w:szCs w:val="18"/>
          <w14:ligatures w14:val="none"/>
        </w:rPr>
        <w:t>-</w:t>
      </w:r>
      <w:r w:rsidRPr="00EB133A">
        <w:rPr>
          <w:rFonts w:ascii="Menlo" w:eastAsia="Times New Roman" w:hAnsi="Menlo" w:cs="Menlo"/>
          <w:color w:val="3B3B3B"/>
          <w:kern w:val="0"/>
          <w:sz w:val="18"/>
          <w:szCs w:val="18"/>
          <w14:ligatures w14:val="none"/>
        </w:rPr>
        <w:t xml:space="preserve"> eTable 4. Model diagnostics.</w:t>
      </w:r>
    </w:p>
    <w:p w14:paraId="59FA5FCC"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0451A5"/>
          <w:kern w:val="0"/>
          <w:sz w:val="18"/>
          <w:szCs w:val="18"/>
          <w14:ligatures w14:val="none"/>
        </w:rPr>
        <w:t>-</w:t>
      </w:r>
      <w:r w:rsidRPr="00EB133A">
        <w:rPr>
          <w:rFonts w:ascii="Menlo" w:eastAsia="Times New Roman" w:hAnsi="Menlo" w:cs="Menlo"/>
          <w:color w:val="3B3B3B"/>
          <w:kern w:val="0"/>
          <w:sz w:val="18"/>
          <w:szCs w:val="18"/>
          <w14:ligatures w14:val="none"/>
        </w:rPr>
        <w:t xml:space="preserve"> eTable 5. Missing data patterns and imputation specs.</w:t>
      </w:r>
    </w:p>
    <w:p w14:paraId="753A0520" w14:textId="77777777" w:rsidR="00EB133A" w:rsidRPr="00EB133A" w:rsidRDefault="00EB133A" w:rsidP="00EB133A">
      <w:pPr>
        <w:shd w:val="clear" w:color="auto" w:fill="FFFFFF"/>
        <w:spacing w:after="0" w:line="270" w:lineRule="atLeast"/>
        <w:rPr>
          <w:rFonts w:ascii="Menlo" w:eastAsia="Times New Roman" w:hAnsi="Menlo" w:cs="Menlo"/>
          <w:color w:val="3B3B3B"/>
          <w:kern w:val="0"/>
          <w:sz w:val="18"/>
          <w:szCs w:val="18"/>
          <w14:ligatures w14:val="none"/>
        </w:rPr>
      </w:pPr>
      <w:r w:rsidRPr="00EB133A">
        <w:rPr>
          <w:rFonts w:ascii="Menlo" w:eastAsia="Times New Roman" w:hAnsi="Menlo" w:cs="Menlo"/>
          <w:color w:val="0451A5"/>
          <w:kern w:val="0"/>
          <w:sz w:val="18"/>
          <w:szCs w:val="18"/>
          <w14:ligatures w14:val="none"/>
        </w:rPr>
        <w:t>-</w:t>
      </w:r>
      <w:r w:rsidRPr="00EB133A">
        <w:rPr>
          <w:rFonts w:ascii="Menlo" w:eastAsia="Times New Roman" w:hAnsi="Menlo" w:cs="Menlo"/>
          <w:color w:val="3B3B3B"/>
          <w:kern w:val="0"/>
          <w:sz w:val="18"/>
          <w:szCs w:val="18"/>
          <w14:ligatures w14:val="none"/>
        </w:rPr>
        <w:t xml:space="preserve"> eTable 6. Medication status stratifications.</w:t>
      </w:r>
    </w:p>
    <w:p w14:paraId="20916108" w14:textId="77777777" w:rsidR="00EB133A" w:rsidRDefault="00EB133A" w:rsidP="00EB133A">
      <w:pPr>
        <w:pStyle w:val="NormalWeb"/>
      </w:pPr>
    </w:p>
    <w:p w14:paraId="26E2D748" w14:textId="77777777" w:rsidR="00EB133A" w:rsidRDefault="00EB133A"/>
    <w:sectPr w:rsidR="00EB133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e Bridges" w:date="2025-11-10T11:05:00Z" w:initials="DB">
    <w:p w14:paraId="066BB264" w14:textId="77777777" w:rsidR="000B5B1C" w:rsidRDefault="000B5B1C" w:rsidP="000B5B1C">
      <w:r>
        <w:rPr>
          <w:rStyle w:val="CommentReference"/>
        </w:rPr>
        <w:annotationRef/>
      </w:r>
      <w:r>
        <w:rPr>
          <w:sz w:val="20"/>
          <w:szCs w:val="20"/>
        </w:rPr>
        <w:t>How rare? Try to find a citation</w:t>
      </w:r>
    </w:p>
  </w:comment>
  <w:comment w:id="1" w:author="Dave Bridges" w:date="2025-11-10T11:07:00Z" w:initials="DB">
    <w:p w14:paraId="240CF519" w14:textId="77777777" w:rsidR="000B5B1C" w:rsidRDefault="000B5B1C" w:rsidP="000B5B1C">
      <w:r>
        <w:rPr>
          <w:rStyle w:val="CommentReference"/>
        </w:rPr>
        <w:annotationRef/>
      </w:r>
      <w:r>
        <w:rPr>
          <w:sz w:val="20"/>
          <w:szCs w:val="20"/>
        </w:rPr>
        <w:t>Subtypes of adrenal/pituitary/ectopic and their prevalence</w:t>
      </w:r>
    </w:p>
  </w:comment>
  <w:comment w:id="2" w:author="Dave Bridges" w:date="2025-11-10T11:13:00Z" w:initials="DB">
    <w:p w14:paraId="41AA7E8C" w14:textId="77777777" w:rsidR="00375BB6" w:rsidRDefault="00375BB6" w:rsidP="00375BB6">
      <w:r>
        <w:rPr>
          <w:rStyle w:val="CommentReference"/>
        </w:rPr>
        <w:annotationRef/>
      </w:r>
      <w:r>
        <w:rPr>
          <w:sz w:val="20"/>
          <w:szCs w:val="20"/>
        </w:rPr>
        <w:t>refs</w:t>
      </w:r>
    </w:p>
  </w:comment>
  <w:comment w:id="3" w:author="Dave Bridges" w:date="2025-11-10T11:15:00Z" w:initials="DB">
    <w:p w14:paraId="02FB52F5" w14:textId="77777777" w:rsidR="00B87551" w:rsidRDefault="00B87551" w:rsidP="00B87551">
      <w:r>
        <w:rPr>
          <w:rStyle w:val="CommentReference"/>
        </w:rPr>
        <w:annotationRef/>
      </w:r>
      <w:r>
        <w:rPr>
          <w:sz w:val="20"/>
          <w:szCs w:val="20"/>
        </w:rPr>
        <w:t>4:1</w:t>
      </w:r>
    </w:p>
  </w:comment>
  <w:comment w:id="4" w:author="Dave Bridges" w:date="2025-11-10T11:07:00Z" w:initials="DB">
    <w:p w14:paraId="4498B5D8" w14:textId="77777777" w:rsidR="000B5B1C" w:rsidRDefault="000B5B1C" w:rsidP="000B5B1C">
      <w:r>
        <w:rPr>
          <w:rStyle w:val="CommentReference"/>
        </w:rPr>
        <w:annotationRef/>
      </w:r>
      <w:r>
        <w:rPr>
          <w:sz w:val="20"/>
          <w:szCs w:val="20"/>
        </w:rPr>
        <w:t>Typical age of onset</w:t>
      </w:r>
    </w:p>
  </w:comment>
  <w:comment w:id="5" w:author="Dave Bridges" w:date="2025-11-10T11:08:00Z" w:initials="DB">
    <w:p w14:paraId="69FFE624" w14:textId="77777777" w:rsidR="000B5B1C" w:rsidRDefault="000B5B1C" w:rsidP="000B5B1C">
      <w:r>
        <w:rPr>
          <w:rStyle w:val="CommentReference"/>
        </w:rPr>
        <w:annotationRef/>
      </w:r>
      <w:r>
        <w:rPr>
          <w:sz w:val="20"/>
          <w:szCs w:val="20"/>
        </w:rPr>
        <w:t>Normal treatments including surgeries</w:t>
      </w:r>
    </w:p>
  </w:comment>
  <w:comment w:id="6" w:author="Dave Bridges" w:date="2025-11-10T11:10:00Z" w:initials="DB">
    <w:p w14:paraId="783DB91D" w14:textId="77777777" w:rsidR="000B5B1C" w:rsidRDefault="000B5B1C" w:rsidP="000B5B1C">
      <w:r>
        <w:rPr>
          <w:rStyle w:val="CommentReference"/>
        </w:rPr>
        <w:annotationRef/>
      </w:r>
      <w:r>
        <w:rPr>
          <w:sz w:val="20"/>
          <w:szCs w:val="20"/>
        </w:rPr>
        <w:t>Prevalence of overweight and obesity in Cushing's</w:t>
      </w:r>
    </w:p>
  </w:comment>
  <w:comment w:id="7" w:author="Dave Bridges" w:date="2025-11-10T11:12:00Z" w:initials="DB">
    <w:p w14:paraId="30971E68" w14:textId="77777777" w:rsidR="00375BB6" w:rsidRDefault="00375BB6" w:rsidP="00375BB6">
      <w:r>
        <w:rPr>
          <w:rStyle w:val="CommentReference"/>
        </w:rPr>
        <w:annotationRef/>
      </w:r>
      <w:r>
        <w:rPr>
          <w:sz w:val="20"/>
          <w:szCs w:val="20"/>
        </w:rPr>
        <w:t>references</w:t>
      </w:r>
    </w:p>
  </w:comment>
  <w:comment w:id="8" w:author="Dave Bridges" w:date="2025-11-10T11:13:00Z" w:initials="DB">
    <w:p w14:paraId="2387EB12" w14:textId="77777777" w:rsidR="00375BB6" w:rsidRDefault="00375BB6" w:rsidP="00375BB6">
      <w:r>
        <w:rPr>
          <w:rStyle w:val="CommentReference"/>
        </w:rPr>
        <w:annotationRef/>
      </w:r>
      <w:r>
        <w:rPr>
          <w:sz w:val="20"/>
          <w:szCs w:val="20"/>
        </w:rPr>
        <w:t xml:space="preserve">actual disease rates.  </w:t>
      </w:r>
    </w:p>
  </w:comment>
  <w:comment w:id="9" w:author="Dave Bridges" w:date="2025-09-07T19:14:00Z" w:initials="DB">
    <w:p w14:paraId="30EA8164" w14:textId="44E22D45" w:rsidR="008610C9" w:rsidRDefault="008610C9" w:rsidP="008610C9">
      <w:r>
        <w:rPr>
          <w:rStyle w:val="CommentReference"/>
        </w:rPr>
        <w:annotationRef/>
      </w:r>
      <w:r>
        <w:rPr>
          <w:sz w:val="20"/>
          <w:szCs w:val="20"/>
        </w:rPr>
        <w:t>@trey can you add these</w:t>
      </w:r>
    </w:p>
  </w:comment>
  <w:comment w:id="10" w:author="Carr, Treyton" w:date="2025-11-08T23:41:00Z" w:initials="CT">
    <w:p w14:paraId="03BC0566" w14:textId="77777777" w:rsidR="00995BC6" w:rsidRDefault="00995BC6" w:rsidP="00995BC6">
      <w:r>
        <w:rPr>
          <w:rStyle w:val="CommentReference"/>
        </w:rPr>
        <w:annotationRef/>
      </w:r>
      <w:r>
        <w:rPr>
          <w:sz w:val="20"/>
          <w:szCs w:val="20"/>
        </w:rPr>
        <w:t>Because we have a total of 86 codes for this category, should we list them somewhere else in the document in an appendix?</w:t>
      </w:r>
    </w:p>
  </w:comment>
  <w:comment w:id="11" w:author="Dave Bridges" w:date="2025-09-05T19:50:00Z" w:initials="DB">
    <w:p w14:paraId="1DD21AA1" w14:textId="14B54E0A" w:rsidR="00575431" w:rsidRDefault="00575431" w:rsidP="00575431">
      <w:r>
        <w:rPr>
          <w:rStyle w:val="CommentReference"/>
        </w:rPr>
        <w:annotationRef/>
      </w:r>
      <w:r>
        <w:rPr>
          <w:sz w:val="20"/>
          <w:szCs w:val="20"/>
        </w:rPr>
        <w:t>todo</w:t>
      </w:r>
    </w:p>
  </w:comment>
  <w:comment w:id="12" w:author="Dave Bridges" w:date="2025-09-07T14:40:00Z" w:initials="DB">
    <w:p w14:paraId="2B4220B9" w14:textId="77777777" w:rsidR="00846B21" w:rsidRDefault="00846B21" w:rsidP="00846B21">
      <w:r>
        <w:rPr>
          <w:rStyle w:val="CommentReference"/>
        </w:rPr>
        <w:annotationRef/>
      </w:r>
      <w:r>
        <w:rPr>
          <w:sz w:val="20"/>
          <w:szCs w:val="20"/>
        </w:rPr>
        <w:t>@trey can you describe this part, and enter details in the methods of how this was done</w:t>
      </w:r>
    </w:p>
  </w:comment>
  <w:comment w:id="13" w:author="Dave Bridges" w:date="2025-09-05T19:38:00Z" w:initials="DB">
    <w:p w14:paraId="392E4D0B" w14:textId="3CD351D4" w:rsidR="00B87243" w:rsidRDefault="00B87243" w:rsidP="00B87243">
      <w:r>
        <w:rPr>
          <w:rStyle w:val="CommentReference"/>
        </w:rPr>
        <w:annotationRef/>
      </w:r>
      <w:r>
        <w:rPr>
          <w:sz w:val="20"/>
          <w:szCs w:val="20"/>
        </w:rPr>
        <w:t>@trey also any data on demographic propensities towards Cushings we can cite?</w:t>
      </w:r>
    </w:p>
  </w:comment>
  <w:comment w:id="14" w:author="Carr, Treyton" w:date="2025-09-16T11:51:00Z" w:initials="CT">
    <w:p w14:paraId="6C23150B" w14:textId="77777777" w:rsidR="001F1825" w:rsidRDefault="001F1825" w:rsidP="001F1825">
      <w:r>
        <w:rPr>
          <w:rStyle w:val="CommentReference"/>
        </w:rPr>
        <w:annotationRef/>
      </w:r>
      <w:r>
        <w:rPr>
          <w:sz w:val="20"/>
          <w:szCs w:val="20"/>
        </w:rPr>
        <w:t>Some articles that include race in their analysis:</w:t>
      </w:r>
    </w:p>
    <w:p w14:paraId="18EB2509" w14:textId="77777777" w:rsidR="001F1825" w:rsidRDefault="001F1825" w:rsidP="001F1825">
      <w:hyperlink r:id="rId1" w:history="1">
        <w:r w:rsidRPr="004E6203">
          <w:rPr>
            <w:rStyle w:val="Hyperlink"/>
            <w:sz w:val="20"/>
            <w:szCs w:val="20"/>
          </w:rPr>
          <w:t>https://doi-org.proxy.lib.umich.edu/10.1210/jendso/bvab176</w:t>
        </w:r>
      </w:hyperlink>
    </w:p>
    <w:p w14:paraId="0FF87C40" w14:textId="77777777" w:rsidR="001F1825" w:rsidRDefault="001F1825" w:rsidP="001F1825"/>
    <w:p w14:paraId="4AC35CA5" w14:textId="77777777" w:rsidR="001F1825" w:rsidRDefault="001F1825" w:rsidP="001F1825">
      <w:hyperlink r:id="rId2" w:history="1">
        <w:r w:rsidRPr="004E6203">
          <w:rPr>
            <w:rStyle w:val="Hyperlink"/>
            <w:sz w:val="20"/>
            <w:szCs w:val="20"/>
          </w:rPr>
          <w:t>https://doi.org/10.3171/2014.11.FOCUS14694</w:t>
        </w:r>
      </w:hyperlink>
    </w:p>
    <w:p w14:paraId="43C60507" w14:textId="77777777" w:rsidR="001F1825" w:rsidRDefault="001F1825" w:rsidP="001F1825"/>
    <w:p w14:paraId="1EBBA447" w14:textId="77777777" w:rsidR="001F1825" w:rsidRDefault="001F1825" w:rsidP="001F1825">
      <w:r>
        <w:rPr>
          <w:sz w:val="20"/>
          <w:szCs w:val="20"/>
        </w:rPr>
        <w:t xml:space="preserve"> </w:t>
      </w:r>
      <w:hyperlink r:id="rId3" w:history="1">
        <w:r w:rsidRPr="004E6203">
          <w:rPr>
            <w:rStyle w:val="Hyperlink"/>
            <w:sz w:val="20"/>
            <w:szCs w:val="20"/>
          </w:rPr>
          <w:t>https://doi.org/10.1111/cen.12644</w:t>
        </w:r>
      </w:hyperlink>
    </w:p>
    <w:p w14:paraId="1F99FD41" w14:textId="77777777" w:rsidR="001F1825" w:rsidRDefault="001F1825" w:rsidP="001F1825"/>
    <w:p w14:paraId="719568B3" w14:textId="77777777" w:rsidR="001F1825" w:rsidRDefault="001F1825" w:rsidP="001F1825">
      <w:hyperlink r:id="rId4" w:history="1">
        <w:r w:rsidRPr="004E6203">
          <w:rPr>
            <w:rStyle w:val="Hyperlink"/>
            <w:sz w:val="20"/>
            <w:szCs w:val="20"/>
          </w:rPr>
          <w:t>https://doi.org/10.1038/pr.2017.58</w:t>
        </w:r>
      </w:hyperlink>
    </w:p>
    <w:p w14:paraId="0BDE7CD0" w14:textId="77777777" w:rsidR="001F1825" w:rsidRDefault="001F1825" w:rsidP="001F1825"/>
    <w:p w14:paraId="72F74B19" w14:textId="77777777" w:rsidR="001F1825" w:rsidRDefault="001F1825" w:rsidP="001F1825"/>
  </w:comment>
  <w:comment w:id="15" w:author="Dave Bridges" w:date="2025-09-23T09:31:00Z" w:initials="DB">
    <w:p w14:paraId="33EBFD8A" w14:textId="77777777" w:rsidR="00B623DA" w:rsidRDefault="00B623DA" w:rsidP="00B623DA">
      <w:r>
        <w:rPr>
          <w:rStyle w:val="CommentReference"/>
        </w:rPr>
        <w:annotationRef/>
      </w:r>
      <w:r>
        <w:rPr>
          <w:sz w:val="20"/>
          <w:szCs w:val="20"/>
        </w:rPr>
        <w:t xml:space="preserve">I think only the first one directly tests the effects of race relative to the general population.  </w:t>
      </w:r>
    </w:p>
    <w:p w14:paraId="7F6A75C4" w14:textId="77777777" w:rsidR="00B623DA" w:rsidRDefault="00B623DA" w:rsidP="00B623DA"/>
    <w:p w14:paraId="3234C9DA" w14:textId="77777777" w:rsidR="00B623DA" w:rsidRDefault="00B623DA" w:rsidP="00B623DA">
      <w:r>
        <w:rPr>
          <w:sz w:val="20"/>
          <w:szCs w:val="20"/>
        </w:rPr>
        <w:t>This paper looks at time to diagnosis as a potential reason</w:t>
      </w:r>
    </w:p>
    <w:p w14:paraId="2E308E62" w14:textId="77777777" w:rsidR="00B623DA" w:rsidRDefault="00B623DA" w:rsidP="00B623DA"/>
    <w:p w14:paraId="55516B0E" w14:textId="77777777" w:rsidR="00B623DA" w:rsidRDefault="00B623DA" w:rsidP="00B623DA">
      <w:hyperlink r:id="rId5" w:history="1">
        <w:r w:rsidRPr="00092200">
          <w:rPr>
            <w:rStyle w:val="Hyperlink"/>
            <w:sz w:val="20"/>
            <w:szCs w:val="20"/>
          </w:rPr>
          <w:t>https://pmc.ncbi.nlm.nih.gov/articles/PMC5552413/</w:t>
        </w:r>
      </w:hyperlink>
    </w:p>
  </w:comment>
  <w:comment w:id="16" w:author="Dave Bridges" w:date="2025-09-23T09:32:00Z" w:initials="DB">
    <w:p w14:paraId="3F136B1D" w14:textId="77777777" w:rsidR="004C5BA6" w:rsidRDefault="004C5BA6" w:rsidP="004C5BA6">
      <w:r>
        <w:rPr>
          <w:rStyle w:val="CommentReference"/>
        </w:rPr>
        <w:annotationRef/>
      </w:r>
      <w:r>
        <w:rPr>
          <w:sz w:val="20"/>
          <w:szCs w:val="20"/>
        </w:rPr>
        <w:t xml:space="preserve">More about severity here </w:t>
      </w:r>
    </w:p>
    <w:p w14:paraId="670112CC" w14:textId="77777777" w:rsidR="004C5BA6" w:rsidRDefault="004C5BA6" w:rsidP="004C5BA6"/>
    <w:p w14:paraId="27A1600A" w14:textId="77777777" w:rsidR="004C5BA6" w:rsidRDefault="004C5BA6" w:rsidP="004C5BA6">
      <w:hyperlink r:id="rId6" w:history="1">
        <w:r w:rsidRPr="001003A9">
          <w:rPr>
            <w:rStyle w:val="Hyperlink"/>
            <w:sz w:val="20"/>
            <w:szCs w:val="20"/>
          </w:rPr>
          <w:t>https://pmc.ncbi.nlm.nih.gov/articles/PMC5552413/</w:t>
        </w:r>
      </w:hyperlink>
    </w:p>
  </w:comment>
  <w:comment w:id="19" w:author="Dave Bridges" w:date="2025-09-23T09:44:00Z" w:initials="DB">
    <w:p w14:paraId="52B2AC8C" w14:textId="77777777" w:rsidR="00547E80" w:rsidRDefault="00547E80" w:rsidP="00547E80">
      <w:r>
        <w:rPr>
          <w:rStyle w:val="CommentReference"/>
        </w:rPr>
        <w:annotationRef/>
      </w:r>
      <w:r>
        <w:rPr>
          <w:sz w:val="20"/>
          <w:szCs w:val="20"/>
        </w:rPr>
        <w:t>Here do you mean in people with a BMI above or below 30?  Try to report as Effect size ... p value</w:t>
      </w:r>
    </w:p>
    <w:p w14:paraId="2B925E69" w14:textId="77777777" w:rsidR="00547E80" w:rsidRDefault="00547E80" w:rsidP="00547E80"/>
    <w:p w14:paraId="00B0B8E1" w14:textId="77777777" w:rsidR="00547E80" w:rsidRDefault="00547E80" w:rsidP="00547E80">
      <w:r>
        <w:rPr>
          <w:sz w:val="20"/>
          <w:szCs w:val="20"/>
        </w:rPr>
        <w:t>So for example here i woudl say something like fasting glucose was increased in participants with BMI above and below 30 kg/m2 (27.0 and 26.1 mg/dL respectively, both p&lt;0.001).</w:t>
      </w:r>
    </w:p>
  </w:comment>
  <w:comment w:id="20" w:author="Dave Bridges" w:date="2025-09-23T09:45:00Z" w:initials="DB">
    <w:p w14:paraId="1C9C357C" w14:textId="77777777" w:rsidR="00547E80" w:rsidRDefault="00547E80" w:rsidP="00547E80">
      <w:r>
        <w:rPr>
          <w:rStyle w:val="CommentReference"/>
        </w:rPr>
        <w:annotationRef/>
      </w:r>
      <w:r>
        <w:rPr>
          <w:sz w:val="20"/>
          <w:szCs w:val="20"/>
        </w:rPr>
        <w:t>lets add AST</w:t>
      </w:r>
    </w:p>
  </w:comment>
  <w:comment w:id="21" w:author="Dave Bridges" w:date="2025-09-23T09:45:00Z" w:initials="DB">
    <w:p w14:paraId="6CC275EF" w14:textId="56ACBB29" w:rsidR="00547E80" w:rsidRDefault="00547E80" w:rsidP="00547E80">
      <w:r>
        <w:rPr>
          <w:rStyle w:val="CommentReference"/>
        </w:rPr>
        <w:annotationRef/>
      </w:r>
      <w:r>
        <w:rPr>
          <w:sz w:val="20"/>
          <w:szCs w:val="20"/>
        </w:rPr>
        <w:t>Lets just report anything under 0.001 as &lt;0.001 since these are all astronomically low.</w:t>
      </w:r>
    </w:p>
    <w:p w14:paraId="7B334848" w14:textId="77777777" w:rsidR="00547E80" w:rsidRDefault="00547E80" w:rsidP="00547E80"/>
    <w:p w14:paraId="4ACD75D6" w14:textId="77777777" w:rsidR="00547E80" w:rsidRDefault="00547E80" w:rsidP="00547E80">
      <w:r>
        <w:rPr>
          <w:sz w:val="20"/>
          <w:szCs w:val="20"/>
        </w:rPr>
        <w:t>Also include effect sizes</w:t>
      </w:r>
    </w:p>
  </w:comment>
  <w:comment w:id="17" w:author="Dave Bridges" w:date="2025-09-07T20:08:00Z" w:initials="DB">
    <w:p w14:paraId="57ADD46F" w14:textId="68BE7AD3" w:rsidR="002E0B3A" w:rsidRDefault="002E0B3A" w:rsidP="002E0B3A">
      <w:r>
        <w:rPr>
          <w:rStyle w:val="CommentReference"/>
        </w:rPr>
        <w:annotationRef/>
      </w:r>
      <w:r>
        <w:rPr>
          <w:sz w:val="20"/>
          <w:szCs w:val="20"/>
        </w:rPr>
        <w:t>@trey why dont you give a try of explaining these, first talking about the effects of Cushings (see Table 3A) and then whether there is evidence of positive or negative effect modification (Table 3B)</w:t>
      </w:r>
    </w:p>
  </w:comment>
  <w:comment w:id="18" w:author="Carr, Treyton" w:date="2025-09-23T00:51:00Z" w:initials="CT">
    <w:p w14:paraId="54EF4F8A" w14:textId="77777777" w:rsidR="00A250E3" w:rsidRDefault="00A250E3" w:rsidP="00A250E3">
      <w:r>
        <w:rPr>
          <w:rStyle w:val="CommentReference"/>
        </w:rPr>
        <w:annotationRef/>
      </w:r>
      <w:r>
        <w:rPr>
          <w:sz w:val="20"/>
          <w:szCs w:val="20"/>
        </w:rPr>
        <w:t>Gave it a shot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6BB264" w15:done="0"/>
  <w15:commentEx w15:paraId="240CF519" w15:done="0"/>
  <w15:commentEx w15:paraId="41AA7E8C" w15:done="0"/>
  <w15:commentEx w15:paraId="02FB52F5" w15:paraIdParent="41AA7E8C" w15:done="0"/>
  <w15:commentEx w15:paraId="4498B5D8" w15:done="0"/>
  <w15:commentEx w15:paraId="69FFE624" w15:paraIdParent="4498B5D8" w15:done="0"/>
  <w15:commentEx w15:paraId="783DB91D" w15:done="0"/>
  <w15:commentEx w15:paraId="30971E68" w15:done="0"/>
  <w15:commentEx w15:paraId="2387EB12" w15:paraIdParent="30971E68" w15:done="0"/>
  <w15:commentEx w15:paraId="30EA8164" w15:done="0"/>
  <w15:commentEx w15:paraId="03BC0566" w15:paraIdParent="30EA8164" w15:done="0"/>
  <w15:commentEx w15:paraId="1DD21AA1" w15:done="0"/>
  <w15:commentEx w15:paraId="2B4220B9" w15:done="0"/>
  <w15:commentEx w15:paraId="392E4D0B" w15:done="0"/>
  <w15:commentEx w15:paraId="72F74B19" w15:paraIdParent="392E4D0B" w15:done="0"/>
  <w15:commentEx w15:paraId="55516B0E" w15:paraIdParent="392E4D0B" w15:done="0"/>
  <w15:commentEx w15:paraId="27A1600A" w15:paraIdParent="392E4D0B" w15:done="0"/>
  <w15:commentEx w15:paraId="00B0B8E1" w15:done="0"/>
  <w15:commentEx w15:paraId="1C9C357C" w15:done="0"/>
  <w15:commentEx w15:paraId="4ACD75D6" w15:done="1"/>
  <w15:commentEx w15:paraId="57ADD46F" w15:done="0"/>
  <w15:commentEx w15:paraId="54EF4F8A" w15:paraIdParent="57ADD4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98F367" w16cex:dateUtc="2025-11-10T16:05:00Z"/>
  <w16cex:commentExtensible w16cex:durableId="08896DEC" w16cex:dateUtc="2025-11-10T16:07:00Z"/>
  <w16cex:commentExtensible w16cex:durableId="10A243BB" w16cex:dateUtc="2025-11-10T16:13:00Z"/>
  <w16cex:commentExtensible w16cex:durableId="64104A6F" w16cex:dateUtc="2025-11-10T16:15:00Z"/>
  <w16cex:commentExtensible w16cex:durableId="575E332F" w16cex:dateUtc="2025-11-10T16:07:00Z"/>
  <w16cex:commentExtensible w16cex:durableId="7C7494A7" w16cex:dateUtc="2025-11-10T16:08:00Z"/>
  <w16cex:commentExtensible w16cex:durableId="44B4216D" w16cex:dateUtc="2025-11-10T16:10:00Z"/>
  <w16cex:commentExtensible w16cex:durableId="12BB6012" w16cex:dateUtc="2025-11-10T16:12:00Z"/>
  <w16cex:commentExtensible w16cex:durableId="497609C6" w16cex:dateUtc="2025-11-10T16:13:00Z"/>
  <w16cex:commentExtensible w16cex:durableId="7BBB9387" w16cex:dateUtc="2025-09-07T23:14:00Z"/>
  <w16cex:commentExtensible w16cex:durableId="5C3B7975" w16cex:dateUtc="2025-11-09T04:41:00Z"/>
  <w16cex:commentExtensible w16cex:durableId="1A95B88A" w16cex:dateUtc="2025-09-05T23:50:00Z"/>
  <w16cex:commentExtensible w16cex:durableId="73524BEF" w16cex:dateUtc="2025-09-07T18:40:00Z"/>
  <w16cex:commentExtensible w16cex:durableId="4FC4BC49" w16cex:dateUtc="2025-09-05T23:38:00Z"/>
  <w16cex:commentExtensible w16cex:durableId="5D0CA468" w16cex:dateUtc="2025-09-16T15:51:00Z"/>
  <w16cex:commentExtensible w16cex:durableId="01936C22" w16cex:dateUtc="2025-09-23T13:31:00Z"/>
  <w16cex:commentExtensible w16cex:durableId="587436AC" w16cex:dateUtc="2025-09-23T13:32:00Z"/>
  <w16cex:commentExtensible w16cex:durableId="399AC0EA" w16cex:dateUtc="2025-09-23T13:44:00Z"/>
  <w16cex:commentExtensible w16cex:durableId="766235EF" w16cex:dateUtc="2025-09-23T13:45:00Z"/>
  <w16cex:commentExtensible w16cex:durableId="2F71EC13" w16cex:dateUtc="2025-09-23T13:45:00Z"/>
  <w16cex:commentExtensible w16cex:durableId="4855A8FC" w16cex:dateUtc="2025-09-08T00:08:00Z"/>
  <w16cex:commentExtensible w16cex:durableId="4A77F548" w16cex:dateUtc="2025-09-23T0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6BB264" w16cid:durableId="5898F367"/>
  <w16cid:commentId w16cid:paraId="240CF519" w16cid:durableId="08896DEC"/>
  <w16cid:commentId w16cid:paraId="41AA7E8C" w16cid:durableId="10A243BB"/>
  <w16cid:commentId w16cid:paraId="02FB52F5" w16cid:durableId="64104A6F"/>
  <w16cid:commentId w16cid:paraId="4498B5D8" w16cid:durableId="575E332F"/>
  <w16cid:commentId w16cid:paraId="69FFE624" w16cid:durableId="7C7494A7"/>
  <w16cid:commentId w16cid:paraId="783DB91D" w16cid:durableId="44B4216D"/>
  <w16cid:commentId w16cid:paraId="30971E68" w16cid:durableId="12BB6012"/>
  <w16cid:commentId w16cid:paraId="2387EB12" w16cid:durableId="497609C6"/>
  <w16cid:commentId w16cid:paraId="30EA8164" w16cid:durableId="7BBB9387"/>
  <w16cid:commentId w16cid:paraId="03BC0566" w16cid:durableId="5C3B7975"/>
  <w16cid:commentId w16cid:paraId="1DD21AA1" w16cid:durableId="1A95B88A"/>
  <w16cid:commentId w16cid:paraId="2B4220B9" w16cid:durableId="73524BEF"/>
  <w16cid:commentId w16cid:paraId="392E4D0B" w16cid:durableId="4FC4BC49"/>
  <w16cid:commentId w16cid:paraId="72F74B19" w16cid:durableId="5D0CA468"/>
  <w16cid:commentId w16cid:paraId="55516B0E" w16cid:durableId="01936C22"/>
  <w16cid:commentId w16cid:paraId="27A1600A" w16cid:durableId="587436AC"/>
  <w16cid:commentId w16cid:paraId="00B0B8E1" w16cid:durableId="399AC0EA"/>
  <w16cid:commentId w16cid:paraId="1C9C357C" w16cid:durableId="766235EF"/>
  <w16cid:commentId w16cid:paraId="4ACD75D6" w16cid:durableId="2F71EC13"/>
  <w16cid:commentId w16cid:paraId="57ADD46F" w16cid:durableId="4855A8FC"/>
  <w16cid:commentId w16cid:paraId="54EF4F8A" w16cid:durableId="4A77F54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470A5"/>
    <w:multiLevelType w:val="hybridMultilevel"/>
    <w:tmpl w:val="935CBA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4E464B"/>
    <w:multiLevelType w:val="multilevel"/>
    <w:tmpl w:val="DF14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97BBF"/>
    <w:multiLevelType w:val="multilevel"/>
    <w:tmpl w:val="5404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A3A3B"/>
    <w:multiLevelType w:val="multilevel"/>
    <w:tmpl w:val="31E0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860B2"/>
    <w:multiLevelType w:val="multilevel"/>
    <w:tmpl w:val="D024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AB7E4B"/>
    <w:multiLevelType w:val="multilevel"/>
    <w:tmpl w:val="ABE0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84557">
    <w:abstractNumId w:val="1"/>
  </w:num>
  <w:num w:numId="2" w16cid:durableId="278075531">
    <w:abstractNumId w:val="3"/>
  </w:num>
  <w:num w:numId="3" w16cid:durableId="759060415">
    <w:abstractNumId w:val="4"/>
  </w:num>
  <w:num w:numId="4" w16cid:durableId="702511983">
    <w:abstractNumId w:val="5"/>
  </w:num>
  <w:num w:numId="5" w16cid:durableId="178588088">
    <w:abstractNumId w:val="2"/>
  </w:num>
  <w:num w:numId="6" w16cid:durableId="1425491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e Bridges">
    <w15:presenceInfo w15:providerId="None" w15:userId="Dave Bridges"/>
  </w15:person>
  <w15:person w15:author="Carr, Treyton">
    <w15:presenceInfo w15:providerId="AD" w15:userId="S::treycarr@umich.edu::2d7a502c-7154-4eba-af5f-8ba5f8b51a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A7"/>
    <w:rsid w:val="00000C79"/>
    <w:rsid w:val="00001178"/>
    <w:rsid w:val="00011DCF"/>
    <w:rsid w:val="000211F7"/>
    <w:rsid w:val="00027DE9"/>
    <w:rsid w:val="000655A6"/>
    <w:rsid w:val="0006637A"/>
    <w:rsid w:val="000725D7"/>
    <w:rsid w:val="00072D8C"/>
    <w:rsid w:val="0008602F"/>
    <w:rsid w:val="00087B01"/>
    <w:rsid w:val="00091D69"/>
    <w:rsid w:val="00091D8B"/>
    <w:rsid w:val="0009550C"/>
    <w:rsid w:val="000A3109"/>
    <w:rsid w:val="000A32E7"/>
    <w:rsid w:val="000B5B1C"/>
    <w:rsid w:val="000C0011"/>
    <w:rsid w:val="000C0BDB"/>
    <w:rsid w:val="000C5590"/>
    <w:rsid w:val="000C7A6D"/>
    <w:rsid w:val="000D3297"/>
    <w:rsid w:val="000D6A57"/>
    <w:rsid w:val="000E1126"/>
    <w:rsid w:val="000E114C"/>
    <w:rsid w:val="00115D9B"/>
    <w:rsid w:val="00117948"/>
    <w:rsid w:val="00141C21"/>
    <w:rsid w:val="00146173"/>
    <w:rsid w:val="0015020F"/>
    <w:rsid w:val="001515AD"/>
    <w:rsid w:val="001525EE"/>
    <w:rsid w:val="00161005"/>
    <w:rsid w:val="00165647"/>
    <w:rsid w:val="00172EC2"/>
    <w:rsid w:val="001A5301"/>
    <w:rsid w:val="001C5750"/>
    <w:rsid w:val="001D4725"/>
    <w:rsid w:val="001E3F4F"/>
    <w:rsid w:val="001E5F79"/>
    <w:rsid w:val="001F149F"/>
    <w:rsid w:val="001F1825"/>
    <w:rsid w:val="001F2A30"/>
    <w:rsid w:val="001F2B27"/>
    <w:rsid w:val="001F3717"/>
    <w:rsid w:val="001F37CB"/>
    <w:rsid w:val="00211C64"/>
    <w:rsid w:val="002120E7"/>
    <w:rsid w:val="00217D46"/>
    <w:rsid w:val="00222730"/>
    <w:rsid w:val="0022433B"/>
    <w:rsid w:val="00225091"/>
    <w:rsid w:val="002313EA"/>
    <w:rsid w:val="00233DA7"/>
    <w:rsid w:val="00244F96"/>
    <w:rsid w:val="00250B3C"/>
    <w:rsid w:val="00251095"/>
    <w:rsid w:val="00251B10"/>
    <w:rsid w:val="0025516C"/>
    <w:rsid w:val="00257105"/>
    <w:rsid w:val="00274AF9"/>
    <w:rsid w:val="0028006B"/>
    <w:rsid w:val="002827EA"/>
    <w:rsid w:val="00293D99"/>
    <w:rsid w:val="002964F2"/>
    <w:rsid w:val="002A005D"/>
    <w:rsid w:val="002C7C4B"/>
    <w:rsid w:val="002D16BA"/>
    <w:rsid w:val="002D2E10"/>
    <w:rsid w:val="002D4286"/>
    <w:rsid w:val="002D4F83"/>
    <w:rsid w:val="002D6593"/>
    <w:rsid w:val="002E0B3A"/>
    <w:rsid w:val="002E219B"/>
    <w:rsid w:val="002E3F3F"/>
    <w:rsid w:val="002F3DB8"/>
    <w:rsid w:val="002F563D"/>
    <w:rsid w:val="002F7776"/>
    <w:rsid w:val="002F7D72"/>
    <w:rsid w:val="00300DA1"/>
    <w:rsid w:val="00307DE8"/>
    <w:rsid w:val="00327582"/>
    <w:rsid w:val="00330AF2"/>
    <w:rsid w:val="003318B0"/>
    <w:rsid w:val="003376C5"/>
    <w:rsid w:val="00340CA3"/>
    <w:rsid w:val="00347044"/>
    <w:rsid w:val="00357A9C"/>
    <w:rsid w:val="00357D5C"/>
    <w:rsid w:val="00364B2E"/>
    <w:rsid w:val="00366F5C"/>
    <w:rsid w:val="003734AC"/>
    <w:rsid w:val="00375BB6"/>
    <w:rsid w:val="00382FE3"/>
    <w:rsid w:val="00383C2A"/>
    <w:rsid w:val="00384276"/>
    <w:rsid w:val="003868BC"/>
    <w:rsid w:val="00392C7F"/>
    <w:rsid w:val="00392FE2"/>
    <w:rsid w:val="00395991"/>
    <w:rsid w:val="003971E3"/>
    <w:rsid w:val="00397C62"/>
    <w:rsid w:val="003B3419"/>
    <w:rsid w:val="003C031C"/>
    <w:rsid w:val="003C0A11"/>
    <w:rsid w:val="003D16DC"/>
    <w:rsid w:val="003E5857"/>
    <w:rsid w:val="003F09D7"/>
    <w:rsid w:val="003F6B95"/>
    <w:rsid w:val="003F6EB0"/>
    <w:rsid w:val="00406C2E"/>
    <w:rsid w:val="00445280"/>
    <w:rsid w:val="004561B8"/>
    <w:rsid w:val="004709DD"/>
    <w:rsid w:val="004777E7"/>
    <w:rsid w:val="00484144"/>
    <w:rsid w:val="00484410"/>
    <w:rsid w:val="00487A21"/>
    <w:rsid w:val="004A06E2"/>
    <w:rsid w:val="004A23A7"/>
    <w:rsid w:val="004B0142"/>
    <w:rsid w:val="004B19B0"/>
    <w:rsid w:val="004B6782"/>
    <w:rsid w:val="004C2F28"/>
    <w:rsid w:val="004C3E7B"/>
    <w:rsid w:val="004C5BA6"/>
    <w:rsid w:val="004C6219"/>
    <w:rsid w:val="004C7F1F"/>
    <w:rsid w:val="004D346F"/>
    <w:rsid w:val="004E3BB2"/>
    <w:rsid w:val="004E7691"/>
    <w:rsid w:val="004F6EB4"/>
    <w:rsid w:val="0050389F"/>
    <w:rsid w:val="00506077"/>
    <w:rsid w:val="005100C2"/>
    <w:rsid w:val="005123D2"/>
    <w:rsid w:val="00512484"/>
    <w:rsid w:val="00514AC5"/>
    <w:rsid w:val="005175C1"/>
    <w:rsid w:val="00523070"/>
    <w:rsid w:val="005245FA"/>
    <w:rsid w:val="00531147"/>
    <w:rsid w:val="0053238C"/>
    <w:rsid w:val="00535314"/>
    <w:rsid w:val="00537BCF"/>
    <w:rsid w:val="00544AC6"/>
    <w:rsid w:val="00547E80"/>
    <w:rsid w:val="00552455"/>
    <w:rsid w:val="00556C78"/>
    <w:rsid w:val="00575431"/>
    <w:rsid w:val="00576DB5"/>
    <w:rsid w:val="00590023"/>
    <w:rsid w:val="00590933"/>
    <w:rsid w:val="005A3F4C"/>
    <w:rsid w:val="005A4BA3"/>
    <w:rsid w:val="005B5A17"/>
    <w:rsid w:val="005B674A"/>
    <w:rsid w:val="005C51F7"/>
    <w:rsid w:val="005C6416"/>
    <w:rsid w:val="005C770F"/>
    <w:rsid w:val="005D20D7"/>
    <w:rsid w:val="005D2153"/>
    <w:rsid w:val="005D2597"/>
    <w:rsid w:val="005D57A7"/>
    <w:rsid w:val="005E1BF2"/>
    <w:rsid w:val="005E3FBA"/>
    <w:rsid w:val="005E5E64"/>
    <w:rsid w:val="005F2A7E"/>
    <w:rsid w:val="00607605"/>
    <w:rsid w:val="00610F74"/>
    <w:rsid w:val="0061406A"/>
    <w:rsid w:val="00623FB0"/>
    <w:rsid w:val="00624300"/>
    <w:rsid w:val="00624349"/>
    <w:rsid w:val="00630F22"/>
    <w:rsid w:val="00637BDD"/>
    <w:rsid w:val="006474D9"/>
    <w:rsid w:val="00666B75"/>
    <w:rsid w:val="0067322A"/>
    <w:rsid w:val="00680857"/>
    <w:rsid w:val="0068193C"/>
    <w:rsid w:val="00693DE3"/>
    <w:rsid w:val="0069411B"/>
    <w:rsid w:val="006970B2"/>
    <w:rsid w:val="006A5655"/>
    <w:rsid w:val="006D3471"/>
    <w:rsid w:val="006D6F09"/>
    <w:rsid w:val="006E0585"/>
    <w:rsid w:val="006E213E"/>
    <w:rsid w:val="006E63C3"/>
    <w:rsid w:val="006E63D1"/>
    <w:rsid w:val="006F63F4"/>
    <w:rsid w:val="006F745F"/>
    <w:rsid w:val="00700188"/>
    <w:rsid w:val="00701106"/>
    <w:rsid w:val="007067B2"/>
    <w:rsid w:val="00707168"/>
    <w:rsid w:val="00717EE5"/>
    <w:rsid w:val="00733E55"/>
    <w:rsid w:val="0073637F"/>
    <w:rsid w:val="00745F22"/>
    <w:rsid w:val="007513E1"/>
    <w:rsid w:val="0075342D"/>
    <w:rsid w:val="007563ED"/>
    <w:rsid w:val="00757F8B"/>
    <w:rsid w:val="00760470"/>
    <w:rsid w:val="00762DC2"/>
    <w:rsid w:val="00766990"/>
    <w:rsid w:val="0076763C"/>
    <w:rsid w:val="007762DE"/>
    <w:rsid w:val="007778CD"/>
    <w:rsid w:val="0078085F"/>
    <w:rsid w:val="00794C81"/>
    <w:rsid w:val="007A2123"/>
    <w:rsid w:val="007A4F25"/>
    <w:rsid w:val="007A68CC"/>
    <w:rsid w:val="007B483A"/>
    <w:rsid w:val="007C359B"/>
    <w:rsid w:val="007C7FAA"/>
    <w:rsid w:val="007F1332"/>
    <w:rsid w:val="007F3FF1"/>
    <w:rsid w:val="007F5037"/>
    <w:rsid w:val="007F7122"/>
    <w:rsid w:val="007F7E35"/>
    <w:rsid w:val="00803FF2"/>
    <w:rsid w:val="008132DA"/>
    <w:rsid w:val="008174BE"/>
    <w:rsid w:val="00823B54"/>
    <w:rsid w:val="00824505"/>
    <w:rsid w:val="008255C6"/>
    <w:rsid w:val="008263E3"/>
    <w:rsid w:val="0083381B"/>
    <w:rsid w:val="00833E08"/>
    <w:rsid w:val="0084083C"/>
    <w:rsid w:val="00843B6D"/>
    <w:rsid w:val="008461E9"/>
    <w:rsid w:val="00846B21"/>
    <w:rsid w:val="00856B5B"/>
    <w:rsid w:val="008610C9"/>
    <w:rsid w:val="00862CD1"/>
    <w:rsid w:val="0087149B"/>
    <w:rsid w:val="00871AD9"/>
    <w:rsid w:val="00877754"/>
    <w:rsid w:val="008778C4"/>
    <w:rsid w:val="0088544C"/>
    <w:rsid w:val="00886180"/>
    <w:rsid w:val="00892425"/>
    <w:rsid w:val="008A2BDA"/>
    <w:rsid w:val="008A349D"/>
    <w:rsid w:val="008C3302"/>
    <w:rsid w:val="008E0C96"/>
    <w:rsid w:val="008E3845"/>
    <w:rsid w:val="008F4A4D"/>
    <w:rsid w:val="008F5172"/>
    <w:rsid w:val="008F51CB"/>
    <w:rsid w:val="008F5461"/>
    <w:rsid w:val="009030CE"/>
    <w:rsid w:val="00906A0F"/>
    <w:rsid w:val="00907AA6"/>
    <w:rsid w:val="0091409B"/>
    <w:rsid w:val="009259D6"/>
    <w:rsid w:val="00926BC0"/>
    <w:rsid w:val="00927FED"/>
    <w:rsid w:val="00934570"/>
    <w:rsid w:val="00944106"/>
    <w:rsid w:val="00945DFB"/>
    <w:rsid w:val="00951FF9"/>
    <w:rsid w:val="0095308E"/>
    <w:rsid w:val="0095434B"/>
    <w:rsid w:val="00967922"/>
    <w:rsid w:val="0097297D"/>
    <w:rsid w:val="00973DF3"/>
    <w:rsid w:val="0097647B"/>
    <w:rsid w:val="00976AD7"/>
    <w:rsid w:val="00980D41"/>
    <w:rsid w:val="00990A8A"/>
    <w:rsid w:val="00992B19"/>
    <w:rsid w:val="00995BC6"/>
    <w:rsid w:val="0099707F"/>
    <w:rsid w:val="009A1E34"/>
    <w:rsid w:val="009B1202"/>
    <w:rsid w:val="009B7D61"/>
    <w:rsid w:val="009D5C66"/>
    <w:rsid w:val="009D7F38"/>
    <w:rsid w:val="009E4E77"/>
    <w:rsid w:val="009F2F1E"/>
    <w:rsid w:val="00A01365"/>
    <w:rsid w:val="00A04B1D"/>
    <w:rsid w:val="00A055E2"/>
    <w:rsid w:val="00A059AA"/>
    <w:rsid w:val="00A066E7"/>
    <w:rsid w:val="00A12A68"/>
    <w:rsid w:val="00A250E3"/>
    <w:rsid w:val="00A4251B"/>
    <w:rsid w:val="00A458DF"/>
    <w:rsid w:val="00A46BC5"/>
    <w:rsid w:val="00A55A54"/>
    <w:rsid w:val="00A6487A"/>
    <w:rsid w:val="00A71528"/>
    <w:rsid w:val="00A72D3E"/>
    <w:rsid w:val="00A95A18"/>
    <w:rsid w:val="00A9666F"/>
    <w:rsid w:val="00AA272E"/>
    <w:rsid w:val="00AA6407"/>
    <w:rsid w:val="00AB6721"/>
    <w:rsid w:val="00AB6DA4"/>
    <w:rsid w:val="00AB7571"/>
    <w:rsid w:val="00AC5992"/>
    <w:rsid w:val="00AD3DB0"/>
    <w:rsid w:val="00AD3EA3"/>
    <w:rsid w:val="00AD501A"/>
    <w:rsid w:val="00AD6AAA"/>
    <w:rsid w:val="00AE3366"/>
    <w:rsid w:val="00AE722C"/>
    <w:rsid w:val="00AE7A00"/>
    <w:rsid w:val="00AF7C3C"/>
    <w:rsid w:val="00B019BA"/>
    <w:rsid w:val="00B04A0C"/>
    <w:rsid w:val="00B120BC"/>
    <w:rsid w:val="00B1299C"/>
    <w:rsid w:val="00B13840"/>
    <w:rsid w:val="00B13E52"/>
    <w:rsid w:val="00B15E61"/>
    <w:rsid w:val="00B25EBD"/>
    <w:rsid w:val="00B32E48"/>
    <w:rsid w:val="00B332B4"/>
    <w:rsid w:val="00B442E2"/>
    <w:rsid w:val="00B5317F"/>
    <w:rsid w:val="00B623DA"/>
    <w:rsid w:val="00B82286"/>
    <w:rsid w:val="00B822C5"/>
    <w:rsid w:val="00B83F54"/>
    <w:rsid w:val="00B859CD"/>
    <w:rsid w:val="00B87243"/>
    <w:rsid w:val="00B87551"/>
    <w:rsid w:val="00B917E0"/>
    <w:rsid w:val="00BA26CD"/>
    <w:rsid w:val="00BB142D"/>
    <w:rsid w:val="00BC1FAB"/>
    <w:rsid w:val="00BF3E45"/>
    <w:rsid w:val="00BF48EC"/>
    <w:rsid w:val="00BF6701"/>
    <w:rsid w:val="00C120C9"/>
    <w:rsid w:val="00C13A34"/>
    <w:rsid w:val="00C16149"/>
    <w:rsid w:val="00C17174"/>
    <w:rsid w:val="00C17BC9"/>
    <w:rsid w:val="00C24F2C"/>
    <w:rsid w:val="00C33455"/>
    <w:rsid w:val="00C363FB"/>
    <w:rsid w:val="00C452F2"/>
    <w:rsid w:val="00C47B8B"/>
    <w:rsid w:val="00C530B0"/>
    <w:rsid w:val="00C53982"/>
    <w:rsid w:val="00C56731"/>
    <w:rsid w:val="00C6034C"/>
    <w:rsid w:val="00C60D56"/>
    <w:rsid w:val="00C6526C"/>
    <w:rsid w:val="00C71CFA"/>
    <w:rsid w:val="00C75CF8"/>
    <w:rsid w:val="00C768F8"/>
    <w:rsid w:val="00C77D95"/>
    <w:rsid w:val="00C910F4"/>
    <w:rsid w:val="00CA6AA1"/>
    <w:rsid w:val="00CB1C77"/>
    <w:rsid w:val="00CB1DEF"/>
    <w:rsid w:val="00CB34F2"/>
    <w:rsid w:val="00CC022F"/>
    <w:rsid w:val="00CC183C"/>
    <w:rsid w:val="00CC3CD9"/>
    <w:rsid w:val="00CC7459"/>
    <w:rsid w:val="00CD04B1"/>
    <w:rsid w:val="00CD286D"/>
    <w:rsid w:val="00CD44D9"/>
    <w:rsid w:val="00CD4531"/>
    <w:rsid w:val="00CD5385"/>
    <w:rsid w:val="00CD7E21"/>
    <w:rsid w:val="00CE39F7"/>
    <w:rsid w:val="00CE6FC9"/>
    <w:rsid w:val="00CE7389"/>
    <w:rsid w:val="00D04751"/>
    <w:rsid w:val="00D06B2A"/>
    <w:rsid w:val="00D11E7C"/>
    <w:rsid w:val="00D21775"/>
    <w:rsid w:val="00D24A48"/>
    <w:rsid w:val="00D25FD9"/>
    <w:rsid w:val="00D374A8"/>
    <w:rsid w:val="00D37846"/>
    <w:rsid w:val="00D44D39"/>
    <w:rsid w:val="00D52FF1"/>
    <w:rsid w:val="00D54468"/>
    <w:rsid w:val="00D54B93"/>
    <w:rsid w:val="00D61050"/>
    <w:rsid w:val="00D61241"/>
    <w:rsid w:val="00D6267F"/>
    <w:rsid w:val="00D63F7D"/>
    <w:rsid w:val="00D64C42"/>
    <w:rsid w:val="00D72666"/>
    <w:rsid w:val="00D808B0"/>
    <w:rsid w:val="00D9027A"/>
    <w:rsid w:val="00D92D6A"/>
    <w:rsid w:val="00D92F6A"/>
    <w:rsid w:val="00D94528"/>
    <w:rsid w:val="00D94DFE"/>
    <w:rsid w:val="00DA5579"/>
    <w:rsid w:val="00DB1CA5"/>
    <w:rsid w:val="00DB1E56"/>
    <w:rsid w:val="00DC6771"/>
    <w:rsid w:val="00DC6EFA"/>
    <w:rsid w:val="00DC7DB2"/>
    <w:rsid w:val="00DC7FDB"/>
    <w:rsid w:val="00DE29C9"/>
    <w:rsid w:val="00DE3FF2"/>
    <w:rsid w:val="00DE6AEE"/>
    <w:rsid w:val="00E0079E"/>
    <w:rsid w:val="00E00F5E"/>
    <w:rsid w:val="00E024E8"/>
    <w:rsid w:val="00E05798"/>
    <w:rsid w:val="00E16C92"/>
    <w:rsid w:val="00E17F7E"/>
    <w:rsid w:val="00E2062D"/>
    <w:rsid w:val="00E26C14"/>
    <w:rsid w:val="00E3456B"/>
    <w:rsid w:val="00E37E42"/>
    <w:rsid w:val="00E46FD8"/>
    <w:rsid w:val="00E539D6"/>
    <w:rsid w:val="00E644BF"/>
    <w:rsid w:val="00EA0B24"/>
    <w:rsid w:val="00EA6CE9"/>
    <w:rsid w:val="00EB133A"/>
    <w:rsid w:val="00ED1443"/>
    <w:rsid w:val="00EE4FAC"/>
    <w:rsid w:val="00EF21C3"/>
    <w:rsid w:val="00F01EE3"/>
    <w:rsid w:val="00F02252"/>
    <w:rsid w:val="00F153C5"/>
    <w:rsid w:val="00F227EF"/>
    <w:rsid w:val="00F247B6"/>
    <w:rsid w:val="00F41EEB"/>
    <w:rsid w:val="00F455CD"/>
    <w:rsid w:val="00F541B2"/>
    <w:rsid w:val="00F603A0"/>
    <w:rsid w:val="00F67CDF"/>
    <w:rsid w:val="00F823CE"/>
    <w:rsid w:val="00F93FE3"/>
    <w:rsid w:val="00FA3B24"/>
    <w:rsid w:val="00FB04DA"/>
    <w:rsid w:val="00FB26BE"/>
    <w:rsid w:val="00FB3A40"/>
    <w:rsid w:val="00FC0A4C"/>
    <w:rsid w:val="00FE6593"/>
    <w:rsid w:val="00FF3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916FBB"/>
  <w15:chartTrackingRefBased/>
  <w15:docId w15:val="{96C65D48-722D-1A4D-8C0A-FDC5B9875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3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3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3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3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DA7"/>
    <w:rPr>
      <w:rFonts w:eastAsiaTheme="majorEastAsia" w:cstheme="majorBidi"/>
      <w:color w:val="272727" w:themeColor="text1" w:themeTint="D8"/>
    </w:rPr>
  </w:style>
  <w:style w:type="paragraph" w:styleId="Title">
    <w:name w:val="Title"/>
    <w:basedOn w:val="Normal"/>
    <w:next w:val="Normal"/>
    <w:link w:val="TitleChar"/>
    <w:uiPriority w:val="10"/>
    <w:qFormat/>
    <w:rsid w:val="00233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DA7"/>
    <w:pPr>
      <w:spacing w:before="160"/>
      <w:jc w:val="center"/>
    </w:pPr>
    <w:rPr>
      <w:i/>
      <w:iCs/>
      <w:color w:val="404040" w:themeColor="text1" w:themeTint="BF"/>
    </w:rPr>
  </w:style>
  <w:style w:type="character" w:customStyle="1" w:styleId="QuoteChar">
    <w:name w:val="Quote Char"/>
    <w:basedOn w:val="DefaultParagraphFont"/>
    <w:link w:val="Quote"/>
    <w:uiPriority w:val="29"/>
    <w:rsid w:val="00233DA7"/>
    <w:rPr>
      <w:i/>
      <w:iCs/>
      <w:color w:val="404040" w:themeColor="text1" w:themeTint="BF"/>
    </w:rPr>
  </w:style>
  <w:style w:type="paragraph" w:styleId="ListParagraph">
    <w:name w:val="List Paragraph"/>
    <w:basedOn w:val="Normal"/>
    <w:uiPriority w:val="34"/>
    <w:qFormat/>
    <w:rsid w:val="00233DA7"/>
    <w:pPr>
      <w:ind w:left="720"/>
      <w:contextualSpacing/>
    </w:pPr>
  </w:style>
  <w:style w:type="character" w:styleId="IntenseEmphasis">
    <w:name w:val="Intense Emphasis"/>
    <w:basedOn w:val="DefaultParagraphFont"/>
    <w:uiPriority w:val="21"/>
    <w:qFormat/>
    <w:rsid w:val="00233DA7"/>
    <w:rPr>
      <w:i/>
      <w:iCs/>
      <w:color w:val="0F4761" w:themeColor="accent1" w:themeShade="BF"/>
    </w:rPr>
  </w:style>
  <w:style w:type="paragraph" w:styleId="IntenseQuote">
    <w:name w:val="Intense Quote"/>
    <w:basedOn w:val="Normal"/>
    <w:next w:val="Normal"/>
    <w:link w:val="IntenseQuoteChar"/>
    <w:uiPriority w:val="30"/>
    <w:qFormat/>
    <w:rsid w:val="00233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DA7"/>
    <w:rPr>
      <w:i/>
      <w:iCs/>
      <w:color w:val="0F4761" w:themeColor="accent1" w:themeShade="BF"/>
    </w:rPr>
  </w:style>
  <w:style w:type="character" w:styleId="IntenseReference">
    <w:name w:val="Intense Reference"/>
    <w:basedOn w:val="DefaultParagraphFont"/>
    <w:uiPriority w:val="32"/>
    <w:qFormat/>
    <w:rsid w:val="00233DA7"/>
    <w:rPr>
      <w:b/>
      <w:bCs/>
      <w:smallCaps/>
      <w:color w:val="0F4761" w:themeColor="accent1" w:themeShade="BF"/>
      <w:spacing w:val="5"/>
    </w:rPr>
  </w:style>
  <w:style w:type="paragraph" w:styleId="NormalWeb">
    <w:name w:val="Normal (Web)"/>
    <w:basedOn w:val="Normal"/>
    <w:uiPriority w:val="99"/>
    <w:semiHidden/>
    <w:unhideWhenUsed/>
    <w:rsid w:val="00EB13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133A"/>
    <w:rPr>
      <w:b/>
      <w:bCs/>
    </w:rPr>
  </w:style>
  <w:style w:type="character" w:styleId="CommentReference">
    <w:name w:val="annotation reference"/>
    <w:basedOn w:val="DefaultParagraphFont"/>
    <w:uiPriority w:val="99"/>
    <w:semiHidden/>
    <w:unhideWhenUsed/>
    <w:rsid w:val="00B859CD"/>
    <w:rPr>
      <w:sz w:val="16"/>
      <w:szCs w:val="16"/>
    </w:rPr>
  </w:style>
  <w:style w:type="paragraph" w:styleId="CommentText">
    <w:name w:val="annotation text"/>
    <w:basedOn w:val="Normal"/>
    <w:link w:val="CommentTextChar"/>
    <w:uiPriority w:val="99"/>
    <w:semiHidden/>
    <w:unhideWhenUsed/>
    <w:rsid w:val="00B859CD"/>
    <w:pPr>
      <w:spacing w:line="240" w:lineRule="auto"/>
    </w:pPr>
    <w:rPr>
      <w:sz w:val="20"/>
      <w:szCs w:val="20"/>
    </w:rPr>
  </w:style>
  <w:style w:type="character" w:customStyle="1" w:styleId="CommentTextChar">
    <w:name w:val="Comment Text Char"/>
    <w:basedOn w:val="DefaultParagraphFont"/>
    <w:link w:val="CommentText"/>
    <w:uiPriority w:val="99"/>
    <w:semiHidden/>
    <w:rsid w:val="00B859CD"/>
    <w:rPr>
      <w:sz w:val="20"/>
      <w:szCs w:val="20"/>
    </w:rPr>
  </w:style>
  <w:style w:type="paragraph" w:styleId="CommentSubject">
    <w:name w:val="annotation subject"/>
    <w:basedOn w:val="CommentText"/>
    <w:next w:val="CommentText"/>
    <w:link w:val="CommentSubjectChar"/>
    <w:uiPriority w:val="99"/>
    <w:semiHidden/>
    <w:unhideWhenUsed/>
    <w:rsid w:val="00B859CD"/>
    <w:rPr>
      <w:b/>
      <w:bCs/>
    </w:rPr>
  </w:style>
  <w:style w:type="character" w:customStyle="1" w:styleId="CommentSubjectChar">
    <w:name w:val="Comment Subject Char"/>
    <w:basedOn w:val="CommentTextChar"/>
    <w:link w:val="CommentSubject"/>
    <w:uiPriority w:val="99"/>
    <w:semiHidden/>
    <w:rsid w:val="00B859CD"/>
    <w:rPr>
      <w:b/>
      <w:bCs/>
      <w:sz w:val="20"/>
      <w:szCs w:val="20"/>
    </w:rPr>
  </w:style>
  <w:style w:type="paragraph" w:styleId="Bibliography">
    <w:name w:val="Bibliography"/>
    <w:basedOn w:val="Normal"/>
    <w:next w:val="Normal"/>
    <w:uiPriority w:val="37"/>
    <w:unhideWhenUsed/>
    <w:rsid w:val="00AB7571"/>
    <w:pPr>
      <w:spacing w:after="0" w:line="480" w:lineRule="auto"/>
      <w:ind w:left="720" w:hanging="720"/>
    </w:pPr>
  </w:style>
  <w:style w:type="character" w:styleId="Hyperlink">
    <w:name w:val="Hyperlink"/>
    <w:basedOn w:val="DefaultParagraphFont"/>
    <w:uiPriority w:val="99"/>
    <w:unhideWhenUsed/>
    <w:rsid w:val="00C13A34"/>
    <w:rPr>
      <w:color w:val="467886" w:themeColor="hyperlink"/>
      <w:u w:val="single"/>
    </w:rPr>
  </w:style>
  <w:style w:type="character" w:styleId="UnresolvedMention">
    <w:name w:val="Unresolved Mention"/>
    <w:basedOn w:val="DefaultParagraphFont"/>
    <w:uiPriority w:val="99"/>
    <w:semiHidden/>
    <w:unhideWhenUsed/>
    <w:rsid w:val="00C13A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doi.org/10.1111/cen.12644" TargetMode="External"/><Relationship Id="rId2" Type="http://schemas.openxmlformats.org/officeDocument/2006/relationships/hyperlink" Target="https://doi.org/10.3171/2014.11.FOCUS14694" TargetMode="External"/><Relationship Id="rId1" Type="http://schemas.openxmlformats.org/officeDocument/2006/relationships/hyperlink" Target="https://doi-org.proxy.lib.umich.edu/10.1210/jendso/bvab176" TargetMode="External"/><Relationship Id="rId6" Type="http://schemas.openxmlformats.org/officeDocument/2006/relationships/hyperlink" Target="https://pmc.ncbi.nlm.nih.gov/articles/PMC5552413/" TargetMode="External"/><Relationship Id="rId5" Type="http://schemas.openxmlformats.org/officeDocument/2006/relationships/hyperlink" Target="https://pmc.ncbi.nlm.nih.gov/articles/PMC5552413/" TargetMode="External"/><Relationship Id="rId4" Type="http://schemas.openxmlformats.org/officeDocument/2006/relationships/hyperlink" Target="https://doi.org/10.1038/pr.2017.58"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8A200-C0C5-4A41-9D91-8E8869717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9</Pages>
  <Words>5638</Words>
  <Characters>32140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Bridges</dc:creator>
  <cp:keywords/>
  <dc:description/>
  <cp:lastModifiedBy>Dave Bridges</cp:lastModifiedBy>
  <cp:revision>111</cp:revision>
  <dcterms:created xsi:type="dcterms:W3CDTF">2025-09-05T13:57:00Z</dcterms:created>
  <dcterms:modified xsi:type="dcterms:W3CDTF">2025-11-10T16:37:00Z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id="7luFiACx"/&gt;&lt;style id="http://www.zotero.org/styles/apa" locale="en-US" hasBibliography="1" bibliographyStyleHasBeenSet="1"/&gt;&lt;prefs&gt;&lt;pref name="fieldType" value="Field"/&gt;&lt;/prefs&gt;&lt;/data&gt;</vt:lpwstr>
  </property>
</Properties>
</file>