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A025" w14:textId="5D40D0FD" w:rsidR="002D6A57" w:rsidRDefault="002D6A57" w:rsidP="002D6A57">
      <w:pPr>
        <w:pStyle w:val="Heading1"/>
      </w:pPr>
      <w:r>
        <w:t>Outline</w:t>
      </w:r>
    </w:p>
    <w:p w14:paraId="1A9E52B4" w14:textId="77777777" w:rsidR="0032430B" w:rsidRPr="0032430B" w:rsidRDefault="0032430B" w:rsidP="0032430B"/>
    <w:p w14:paraId="2005806A" w14:textId="4DF96DC1" w:rsidR="002D6A57" w:rsidRPr="00B865CE" w:rsidRDefault="0032430B" w:rsidP="002D6A57">
      <w:pPr>
        <w:rPr>
          <w:u w:val="single"/>
        </w:rPr>
      </w:pPr>
      <w:r>
        <w:rPr>
          <w:u w:val="single"/>
        </w:rPr>
        <w:t xml:space="preserve">Early Time Restricted Feeding Does </w:t>
      </w:r>
      <w:proofErr w:type="gramStart"/>
      <w:r>
        <w:rPr>
          <w:u w:val="single"/>
        </w:rPr>
        <w:t>not</w:t>
      </w:r>
      <w:proofErr w:type="gramEnd"/>
      <w:r>
        <w:rPr>
          <w:u w:val="single"/>
        </w:rPr>
        <w:t xml:space="preserve"> Alter Food intake or Gestational Weight Gain</w:t>
      </w:r>
    </w:p>
    <w:p w14:paraId="0E1C153D" w14:textId="77777777" w:rsidR="002D6A57" w:rsidRDefault="002D6A57" w:rsidP="002D6A57">
      <w:pPr>
        <w:pStyle w:val="ListParagraph"/>
        <w:numPr>
          <w:ilvl w:val="0"/>
          <w:numId w:val="2"/>
        </w:numPr>
      </w:pPr>
      <w:r>
        <w:t>There is a ~7-day adaptation period to eTRF</w:t>
      </w:r>
    </w:p>
    <w:p w14:paraId="66677783" w14:textId="77777777" w:rsidR="002D6A57" w:rsidRDefault="002D6A57" w:rsidP="002D6A57">
      <w:pPr>
        <w:pStyle w:val="ListParagraph"/>
        <w:numPr>
          <w:ilvl w:val="0"/>
          <w:numId w:val="2"/>
        </w:numPr>
      </w:pPr>
      <w:r>
        <w:t>Food intake is greater for eTRF dams at 6 hours, but not 24 hours</w:t>
      </w:r>
    </w:p>
    <w:p w14:paraId="2A60B8D4" w14:textId="77777777" w:rsidR="002D6A57" w:rsidRDefault="002D6A57" w:rsidP="002D6A57">
      <w:pPr>
        <w:pStyle w:val="ListParagraph"/>
        <w:numPr>
          <w:ilvl w:val="0"/>
          <w:numId w:val="2"/>
        </w:numPr>
      </w:pPr>
      <w:r>
        <w:t>eTRF does not cause weight loss during pregnancy</w:t>
      </w:r>
    </w:p>
    <w:p w14:paraId="5B9F677E" w14:textId="46DE87D3" w:rsidR="002D6A57" w:rsidRPr="00B865CE" w:rsidRDefault="0032430B" w:rsidP="002D6A57">
      <w:pPr>
        <w:rPr>
          <w:u w:val="single"/>
        </w:rPr>
      </w:pPr>
      <w:r>
        <w:rPr>
          <w:u w:val="single"/>
        </w:rPr>
        <w:t>Insulin Responsiveness is Similar in eTRF Dams, but There is a More Robust Rebound from Hypoglycemia</w:t>
      </w:r>
    </w:p>
    <w:p w14:paraId="0D523BBF" w14:textId="77777777" w:rsidR="002D6A57" w:rsidRDefault="002D6A57" w:rsidP="002D6A57">
      <w:pPr>
        <w:pStyle w:val="ListParagraph"/>
        <w:numPr>
          <w:ilvl w:val="0"/>
          <w:numId w:val="2"/>
        </w:numPr>
      </w:pPr>
      <w:r>
        <w:t>Insulin tolerance is similar but there is a more severe rebound of glucose after drop in eTRF dams</w:t>
      </w:r>
    </w:p>
    <w:p w14:paraId="26CAC23D" w14:textId="77777777" w:rsidR="002D6A57" w:rsidRDefault="002D6A57" w:rsidP="002D6A57">
      <w:pPr>
        <w:pStyle w:val="ListParagraph"/>
        <w:numPr>
          <w:ilvl w:val="0"/>
          <w:numId w:val="2"/>
        </w:numPr>
      </w:pPr>
      <w:r>
        <w:t xml:space="preserve">Will do insulin </w:t>
      </w:r>
      <w:proofErr w:type="spellStart"/>
      <w:r>
        <w:t>elisa</w:t>
      </w:r>
      <w:proofErr w:type="spellEnd"/>
      <w:r>
        <w:t xml:space="preserve"> *insulin levels are XXX in eTRF</w:t>
      </w:r>
    </w:p>
    <w:p w14:paraId="4B8A6C4F" w14:textId="12D6BC73" w:rsidR="002D6A57" w:rsidRPr="00FF5AF3" w:rsidRDefault="0032430B" w:rsidP="002D6A57">
      <w:pPr>
        <w:rPr>
          <w:u w:val="single"/>
        </w:rPr>
      </w:pPr>
      <w:r>
        <w:rPr>
          <w:u w:val="single"/>
        </w:rPr>
        <w:t>Fecundity, birthweights and growth are similar between control and eTRF pregnancies</w:t>
      </w:r>
    </w:p>
    <w:p w14:paraId="1869FDD9" w14:textId="77777777" w:rsidR="002D6A57" w:rsidRDefault="002D6A57" w:rsidP="002D6A57">
      <w:pPr>
        <w:pStyle w:val="ListParagraph"/>
        <w:numPr>
          <w:ilvl w:val="0"/>
          <w:numId w:val="3"/>
        </w:numPr>
      </w:pPr>
      <w:r>
        <w:t>similar latency/fertility</w:t>
      </w:r>
    </w:p>
    <w:p w14:paraId="353C3DEE" w14:textId="77777777" w:rsidR="002D6A57" w:rsidRDefault="002D6A57" w:rsidP="002D6A57">
      <w:pPr>
        <w:pStyle w:val="ListParagraph"/>
        <w:numPr>
          <w:ilvl w:val="0"/>
          <w:numId w:val="3"/>
        </w:numPr>
      </w:pPr>
      <w:r>
        <w:t>No differences in GA or birthweight</w:t>
      </w:r>
    </w:p>
    <w:p w14:paraId="6320B3F7" w14:textId="77777777" w:rsidR="002D6A57" w:rsidRDefault="002D6A57" w:rsidP="002D6A57">
      <w:pPr>
        <w:pStyle w:val="ListParagraph"/>
        <w:numPr>
          <w:ilvl w:val="0"/>
          <w:numId w:val="3"/>
        </w:numPr>
      </w:pPr>
      <w:r>
        <w:t>Significant reductions in litter size and 3-day survival</w:t>
      </w:r>
    </w:p>
    <w:p w14:paraId="3CF287B9" w14:textId="30D3EEEE" w:rsidR="002D6A57" w:rsidRDefault="002D6A57" w:rsidP="00AB3C57">
      <w:pPr>
        <w:pStyle w:val="ListParagraph"/>
        <w:numPr>
          <w:ilvl w:val="0"/>
          <w:numId w:val="3"/>
        </w:numPr>
      </w:pPr>
      <w:r>
        <w:t>Growth to PND 21 (haven’t done this yet)</w:t>
      </w:r>
    </w:p>
    <w:p w14:paraId="1EF4C39F" w14:textId="7FD5823E"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39950F63" w14:textId="2D32EBE1"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Maternal diet is important</w:t>
      </w:r>
    </w:p>
    <w:p w14:paraId="158FD682" w14:textId="13EC28EB"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There is evidence that women are trying diets that are not vetted</w:t>
      </w:r>
    </w:p>
    <w:p w14:paraId="65EA82A8" w14:textId="6A5C9EE5"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Review of maternal restriction and maternal eTRF</w:t>
      </w:r>
    </w:p>
    <w:p w14:paraId="7E48B032" w14:textId="1EE5D721" w:rsid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Why it matters</w:t>
      </w:r>
    </w:p>
    <w:p w14:paraId="727AD225" w14:textId="782D8A6C" w:rsidR="00AB602F" w:rsidRDefault="00AB602F" w:rsidP="00AB602F">
      <w:pPr>
        <w:rPr>
          <w:rFonts w:ascii="Times New Roman" w:hAnsi="Times New Roman" w:cs="Times New Roman"/>
        </w:rPr>
      </w:pPr>
      <w:r>
        <w:rPr>
          <w:rFonts w:ascii="Times New Roman" w:hAnsi="Times New Roman" w:cs="Times New Roman"/>
        </w:rPr>
        <w:t>Dietary health during pregnancy has long been a topic of intense research interest.</w:t>
      </w:r>
    </w:p>
    <w:p w14:paraId="06244501" w14:textId="3877DCE7" w:rsidR="009A1508" w:rsidRDefault="009A1508" w:rsidP="00AB602F">
      <w:pPr>
        <w:rPr>
          <w:rFonts w:ascii="Times New Roman" w:hAnsi="Times New Roman" w:cs="Times New Roman"/>
        </w:rPr>
      </w:pPr>
    </w:p>
    <w:p w14:paraId="696263D4" w14:textId="7E9CBB04" w:rsidR="009A1508" w:rsidRDefault="009A1508" w:rsidP="00AB602F">
      <w:pPr>
        <w:rPr>
          <w:rFonts w:ascii="Times New Roman" w:hAnsi="Times New Roman" w:cs="Times New Roman"/>
        </w:rPr>
      </w:pPr>
    </w:p>
    <w:p w14:paraId="1F20C0E4" w14:textId="77777777" w:rsidR="00456C4E" w:rsidRDefault="009A1508" w:rsidP="00AB602F">
      <w:pPr>
        <w:rPr>
          <w:rFonts w:ascii="Times New Roman" w:hAnsi="Times New Roman" w:cs="Times New Roman"/>
        </w:rPr>
      </w:pPr>
      <w:r>
        <w:rPr>
          <w:rFonts w:ascii="Times New Roman" w:hAnsi="Times New Roman" w:cs="Times New Roman"/>
        </w:rPr>
        <w:t>There is evidence to suggest that timing of food intake is an important, yet understudied aspect of nutrition during pregnancy. Although preclinical work is limited to 2 papers, there is evidence that those who are currently or considering pregnancy are open to the manipulation of the timing of food intake as a modality to improve health. Flanagan and colleagues asked about attitudes of trying time-restricted eating during the course of pregnancy, 24.7% of those polled said they would be open to trying</w:t>
      </w:r>
      <w:r w:rsidR="00456C4E">
        <w:rPr>
          <w:rFonts w:ascii="Times New Roman" w:hAnsi="Times New Roman" w:cs="Times New Roman"/>
        </w:rPr>
        <w:fldChar w:fldCharType="begin"/>
      </w:r>
      <w:r w:rsidR="00456C4E">
        <w:rPr>
          <w:rFonts w:ascii="Times New Roman" w:hAnsi="Times New Roman" w:cs="Times New Roman"/>
        </w:rPr>
        <w:instrText xml:space="preserve"> ADDIN ZOTERO_ITEM CSL_CITATION {"citationID":"cj3KxY80","properties":{"formattedCitation":"(1)","plainCitation":"(1)","noteIndex":0},"citationItems":[{"id":1360,"uris":["http://zotero.org/users/5073745/items/NHIMJJF6"],"itemData":{"id":1360,"type":"article-journal","abstract":"The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456C4E">
        <w:rPr>
          <w:rFonts w:ascii="Times New Roman" w:hAnsi="Times New Roman" w:cs="Times New Roman"/>
        </w:rPr>
        <w:fldChar w:fldCharType="separate"/>
      </w:r>
      <w:r w:rsidR="00456C4E">
        <w:rPr>
          <w:rFonts w:ascii="Times New Roman" w:hAnsi="Times New Roman" w:cs="Times New Roman"/>
          <w:noProof/>
        </w:rPr>
        <w:t>(1)</w:t>
      </w:r>
      <w:r w:rsidR="00456C4E">
        <w:rPr>
          <w:rFonts w:ascii="Times New Roman" w:hAnsi="Times New Roman" w:cs="Times New Roman"/>
        </w:rPr>
        <w:fldChar w:fldCharType="end"/>
      </w:r>
      <w:r>
        <w:rPr>
          <w:rFonts w:ascii="Times New Roman" w:hAnsi="Times New Roman" w:cs="Times New Roman"/>
        </w:rPr>
        <w:t>. There was also a qualitative response from one participant who stated they had practiced intermittent fasting during their pregnancy, after finding out they were 9-w</w:t>
      </w:r>
      <w:r w:rsidR="00456C4E">
        <w:rPr>
          <w:rFonts w:ascii="Times New Roman" w:hAnsi="Times New Roman" w:cs="Times New Roman"/>
        </w:rPr>
        <w:t>ee</w:t>
      </w:r>
      <w:r>
        <w:rPr>
          <w:rFonts w:ascii="Times New Roman" w:hAnsi="Times New Roman" w:cs="Times New Roman"/>
        </w:rPr>
        <w:t>ks pregnant while already following this diet. Furthermore, a case study of manipulation of the feeding window to manage gestational diabetes also exists</w:t>
      </w:r>
      <w:r w:rsidR="00456C4E">
        <w:rPr>
          <w:rFonts w:ascii="Times New Roman" w:hAnsi="Times New Roman" w:cs="Times New Roman"/>
        </w:rPr>
        <w:fldChar w:fldCharType="begin"/>
      </w:r>
      <w:r w:rsidR="00456C4E">
        <w:rPr>
          <w:rFonts w:ascii="Times New Roman" w:hAnsi="Times New Roman" w:cs="Times New Roman"/>
        </w:rPr>
        <w:instrText xml:space="preserve"> ADDIN ZOTERO_ITEM CSL_CITATION {"citationID":"xmkzbvLO","properties":{"formattedCitation":"(2)","plainCitation":"(2)","noteIndex":0},"citationItems":[{"id":825,"uris":["http://zotero.org/users/5073745/items/MJUJ2CHG"],"itemData":{"id":825,"type":"article-journal","abstract":"Gestational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456C4E">
        <w:rPr>
          <w:rFonts w:ascii="Times New Roman" w:hAnsi="Times New Roman" w:cs="Times New Roman"/>
        </w:rPr>
        <w:fldChar w:fldCharType="separate"/>
      </w:r>
      <w:r w:rsidR="00456C4E">
        <w:rPr>
          <w:rFonts w:ascii="Times New Roman" w:hAnsi="Times New Roman" w:cs="Times New Roman"/>
          <w:noProof/>
        </w:rPr>
        <w:t>(2)</w:t>
      </w:r>
      <w:r w:rsidR="00456C4E">
        <w:rPr>
          <w:rFonts w:ascii="Times New Roman" w:hAnsi="Times New Roman" w:cs="Times New Roman"/>
        </w:rPr>
        <w:fldChar w:fldCharType="end"/>
      </w:r>
      <w:r>
        <w:rPr>
          <w:rFonts w:ascii="Times New Roman" w:hAnsi="Times New Roman" w:cs="Times New Roman"/>
        </w:rPr>
        <w:t xml:space="preserve">. This suggests that there is evidence that human pregnant populations either practice or consider practicing this diet. </w:t>
      </w:r>
    </w:p>
    <w:p w14:paraId="536C4FC0" w14:textId="77777777" w:rsidR="00456C4E" w:rsidRDefault="00456C4E" w:rsidP="00AB602F">
      <w:pPr>
        <w:rPr>
          <w:rFonts w:ascii="Times New Roman" w:hAnsi="Times New Roman" w:cs="Times New Roman"/>
        </w:rPr>
      </w:pPr>
    </w:p>
    <w:p w14:paraId="01BFF089" w14:textId="71F960A3" w:rsidR="00456C4E" w:rsidRDefault="00456C4E" w:rsidP="00AB602F">
      <w:pPr>
        <w:rPr>
          <w:rFonts w:ascii="Times New Roman" w:hAnsi="Times New Roman" w:cs="Times New Roman"/>
        </w:rPr>
      </w:pPr>
      <w:r>
        <w:rPr>
          <w:rFonts w:ascii="Times New Roman" w:hAnsi="Times New Roman" w:cs="Times New Roman"/>
        </w:rPr>
        <w:t>Preclinical work in this space is also limited to XX studies. Those that are completed have focused on assuaging ill effects from high-fat, high-sucrose overfeeding on fetal lung development and placental oxidative stress or on the long-term consequences in the offspring after weaning age</w:t>
      </w:r>
      <w:r>
        <w:rPr>
          <w:rFonts w:ascii="Times New Roman" w:hAnsi="Times New Roman" w:cs="Times New Roman"/>
        </w:rPr>
        <w:fldChar w:fldCharType="begin"/>
      </w:r>
      <w:r>
        <w:rPr>
          <w:rFonts w:ascii="Times New Roman" w:hAnsi="Times New Roman" w:cs="Times New Roman"/>
        </w:rPr>
        <w:instrText xml:space="preserve"> ADDIN ZOTERO_ITEM CSL_CITATION {"citationID":"9RO2Y9R6","properties":{"formattedCitation":"(3, 4)","plainCitation":"(3, 4)","noteIndex":0},"citationItems":[{"id":1374,"uris":["http://zotero.org/users/5073745/items/AH9V27AA"],"itemData":{"id":1374,"type":"report","abstract":"The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(3, 4)</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Litlle</w:t>
      </w:r>
      <w:proofErr w:type="spellEnd"/>
      <w:r>
        <w:rPr>
          <w:rFonts w:ascii="Times New Roman" w:hAnsi="Times New Roman" w:cs="Times New Roman"/>
        </w:rPr>
        <w:t xml:space="preserve"> has been done to evaluate the effect of this altered eating pattern on maternal health during the course of pregnancy. </w:t>
      </w:r>
    </w:p>
    <w:p w14:paraId="08B162DC" w14:textId="77777777" w:rsidR="00456C4E" w:rsidRDefault="00456C4E" w:rsidP="00AB602F">
      <w:pPr>
        <w:rPr>
          <w:rFonts w:ascii="Times New Roman" w:hAnsi="Times New Roman" w:cs="Times New Roman"/>
        </w:rPr>
      </w:pPr>
    </w:p>
    <w:p w14:paraId="5DBF8415" w14:textId="3B7B6A7F" w:rsidR="009A1508" w:rsidRDefault="009A1508" w:rsidP="00AB602F">
      <w:pPr>
        <w:rPr>
          <w:rFonts w:ascii="Times New Roman" w:hAnsi="Times New Roman" w:cs="Times New Roman"/>
        </w:rPr>
      </w:pPr>
      <w:r>
        <w:rPr>
          <w:rFonts w:ascii="Times New Roman" w:hAnsi="Times New Roman" w:cs="Times New Roman"/>
        </w:rPr>
        <w:lastRenderedPageBreak/>
        <w:t xml:space="preserve">Because it is understudied, we have extremely limited </w:t>
      </w:r>
    </w:p>
    <w:p w14:paraId="50565B89" w14:textId="1C0267B2" w:rsidR="009A1508" w:rsidRDefault="009A1508" w:rsidP="00AB602F">
      <w:pPr>
        <w:rPr>
          <w:rFonts w:ascii="Times New Roman" w:hAnsi="Times New Roman" w:cs="Times New Roman"/>
        </w:rPr>
      </w:pPr>
    </w:p>
    <w:p w14:paraId="2350D1BC" w14:textId="7170EC1F" w:rsidR="009A1508" w:rsidRPr="00AB602F" w:rsidRDefault="009A1508" w:rsidP="00AB602F">
      <w:pPr>
        <w:rPr>
          <w:rFonts w:ascii="Times New Roman" w:hAnsi="Times New Roman" w:cs="Times New Roman"/>
        </w:rPr>
      </w:pPr>
      <w:r>
        <w:rPr>
          <w:rFonts w:ascii="Times New Roman" w:hAnsi="Times New Roman" w:cs="Times New Roman"/>
        </w:rPr>
        <w:t xml:space="preserve">In light of the potential use of this diet to improve health during pregnancy and limited </w:t>
      </w:r>
      <w:proofErr w:type="spellStart"/>
      <w:r>
        <w:rPr>
          <w:rFonts w:ascii="Times New Roman" w:hAnsi="Times New Roman" w:cs="Times New Roman"/>
        </w:rPr>
        <w:t>chatacterisation</w:t>
      </w:r>
      <w:proofErr w:type="spellEnd"/>
      <w:r>
        <w:rPr>
          <w:rFonts w:ascii="Times New Roman" w:hAnsi="Times New Roman" w:cs="Times New Roman"/>
        </w:rPr>
        <w:t xml:space="preserve"> of the </w:t>
      </w:r>
      <w:proofErr w:type="spellStart"/>
      <w:r>
        <w:rPr>
          <w:rFonts w:ascii="Times New Roman" w:hAnsi="Times New Roman" w:cs="Times New Roman"/>
        </w:rPr>
        <w:t>practive</w:t>
      </w:r>
      <w:proofErr w:type="spellEnd"/>
      <w:r>
        <w:rPr>
          <w:rFonts w:ascii="Times New Roman" w:hAnsi="Times New Roman" w:cs="Times New Roman"/>
        </w:rPr>
        <w:t xml:space="preserve"> in pregnant populations, we sought to identify the effect of early time-restricted feeding on maternal insulin sensitivity and early postnatal health in resultant offspring using a mouse model. We hope this can increase the evidence for understanding the safety of this </w:t>
      </w:r>
      <w:proofErr w:type="spellStart"/>
      <w:r>
        <w:rPr>
          <w:rFonts w:ascii="Times New Roman" w:hAnsi="Times New Roman" w:cs="Times New Roman"/>
        </w:rPr>
        <w:t>practive</w:t>
      </w:r>
      <w:proofErr w:type="spellEnd"/>
      <w:r>
        <w:rPr>
          <w:rFonts w:ascii="Times New Roman" w:hAnsi="Times New Roman" w:cs="Times New Roman"/>
        </w:rPr>
        <w:t xml:space="preserve"> in pregnant populations and ultimately help those who are pregnant navigate that time healthfully. </w:t>
      </w:r>
    </w:p>
    <w:p w14:paraId="0E54682D" w14:textId="544392CE" w:rsidR="00AB3C57" w:rsidRDefault="00AB3C57" w:rsidP="00AB3C57">
      <w:pPr>
        <w:pStyle w:val="Heading1"/>
      </w:pPr>
      <w:r>
        <w:t>Methods</w:t>
      </w:r>
    </w:p>
    <w:p w14:paraId="43EFB53D" w14:textId="619FA2BF" w:rsidR="00616D0A" w:rsidRDefault="00616D0A" w:rsidP="00AB3C57">
      <w:pPr>
        <w:pStyle w:val="Heading2"/>
      </w:pPr>
      <w:r>
        <w:t>Animal Husbandry</w:t>
      </w:r>
    </w:p>
    <w:p w14:paraId="44336D87" w14:textId="397A9A9D" w:rsidR="003A4003" w:rsidRPr="003A4003" w:rsidRDefault="00DF73EF" w:rsidP="003A4003">
      <w:pPr>
        <w:rPr>
          <w:rFonts w:ascii="Times New Roman" w:hAnsi="Times New Roman" w:cs="Times New Roman"/>
        </w:rPr>
      </w:pPr>
      <w:r>
        <w:rPr>
          <w:rFonts w:ascii="Times New Roman" w:hAnsi="Times New Roman" w:cs="Times New Roman"/>
        </w:rPr>
        <w:t>Age-matched (</w:t>
      </w:r>
      <w:r w:rsidR="00544113" w:rsidRPr="00544113">
        <w:rPr>
          <w:rFonts w:ascii="Times New Roman" w:hAnsi="Times New Roman" w:cs="Times New Roman"/>
          <w:highlight w:val="yellow"/>
        </w:rPr>
        <w:t>a</w:t>
      </w:r>
      <w:r w:rsidRPr="00544113">
        <w:rPr>
          <w:rFonts w:ascii="Times New Roman" w:hAnsi="Times New Roman" w:cs="Times New Roman"/>
          <w:highlight w:val="yellow"/>
        </w:rPr>
        <w:t>ge in weeks</w:t>
      </w:r>
      <w:r>
        <w:rPr>
          <w:rFonts w:ascii="Times New Roman" w:hAnsi="Times New Roman" w:cs="Times New Roman"/>
        </w:rPr>
        <w:t>) male and female C57B</w:t>
      </w:r>
      <w:r w:rsidR="00724CA0">
        <w:rPr>
          <w:rFonts w:ascii="Times New Roman" w:hAnsi="Times New Roman" w:cs="Times New Roman"/>
        </w:rPr>
        <w:t>L</w:t>
      </w:r>
      <w:r>
        <w:rPr>
          <w:rFonts w:ascii="Times New Roman" w:hAnsi="Times New Roman" w:cs="Times New Roman"/>
        </w:rPr>
        <w:t xml:space="preserve">/6J mice were obtained from Jax. 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w:t>
      </w:r>
      <w:proofErr w:type="spellStart"/>
      <w:r>
        <w:rPr>
          <w:rFonts w:ascii="Times New Roman" w:hAnsi="Times New Roman" w:cs="Times New Roman"/>
        </w:rPr>
        <w:t>EchoMRI</w:t>
      </w:r>
      <w:proofErr w:type="spellEnd"/>
      <w:r>
        <w:rPr>
          <w:rFonts w:ascii="Times New Roman" w:hAnsi="Times New Roman" w:cs="Times New Roman"/>
        </w:rPr>
        <w:t xml:space="preserve">. </w:t>
      </w:r>
    </w:p>
    <w:p w14:paraId="4923BFFE" w14:textId="77777777" w:rsidR="006C05F4" w:rsidRDefault="006C05F4" w:rsidP="003A4003">
      <w:pPr>
        <w:pStyle w:val="Heading2"/>
      </w:pPr>
    </w:p>
    <w:p w14:paraId="7BA3ED1B" w14:textId="012D7D12" w:rsidR="00616D0A" w:rsidRDefault="00616D0A" w:rsidP="003A4003">
      <w:pPr>
        <w:pStyle w:val="Heading2"/>
      </w:pPr>
      <w:r>
        <w:t xml:space="preserve">Animal Dietary </w:t>
      </w:r>
      <w:r w:rsidR="003A4003">
        <w:t>Treatment</w:t>
      </w:r>
    </w:p>
    <w:p w14:paraId="038DBD56" w14:textId="545CFC85" w:rsidR="00E96630" w:rsidRPr="00E96630" w:rsidRDefault="00E96630" w:rsidP="00E96630">
      <w:pPr>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chow </w:t>
      </w:r>
      <w:r w:rsidR="00DF73EF" w:rsidRPr="00544113">
        <w:rPr>
          <w:rFonts w:ascii="Times New Roman" w:hAnsi="Times New Roman" w:cs="Times New Roman"/>
          <w:highlight w:val="yellow"/>
        </w:rPr>
        <w:t>(%P%F%C</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r w:rsidRPr="00E96630">
        <w:rPr>
          <w:rFonts w:ascii="Times New Roman" w:hAnsi="Times New Roman" w:cs="Times New Roman"/>
        </w:rPr>
        <w:t xml:space="preserve">Food intake is </w:t>
      </w:r>
      <w:r w:rsidR="00724CA0">
        <w:rPr>
          <w:rFonts w:ascii="Times New Roman" w:hAnsi="Times New Roman" w:cs="Times New Roman"/>
        </w:rPr>
        <w:t>determined</w:t>
      </w:r>
      <w:r w:rsidR="00724CA0" w:rsidRPr="00E96630">
        <w:rPr>
          <w:rFonts w:ascii="Times New Roman" w:hAnsi="Times New Roman" w:cs="Times New Roman"/>
        </w:rPr>
        <w:t xml:space="preserve"> </w:t>
      </w:r>
      <w:r w:rsidRPr="00E96630">
        <w:rPr>
          <w:rFonts w:ascii="Times New Roman" w:hAnsi="Times New Roman" w:cs="Times New Roman"/>
        </w:rPr>
        <w:t>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06FBB3CD" w14:textId="77777777" w:rsidR="006C05F4" w:rsidRDefault="006C05F4" w:rsidP="00AB3C57">
      <w:pPr>
        <w:pStyle w:val="Heading2"/>
      </w:pPr>
    </w:p>
    <w:p w14:paraId="3DBF5C41" w14:textId="7E20A6B6" w:rsidR="00C01A49" w:rsidRDefault="00C01A49" w:rsidP="00AB3C57">
      <w:pPr>
        <w:pStyle w:val="Heading2"/>
      </w:pPr>
      <w:r>
        <w:t>Mating</w:t>
      </w:r>
      <w:r w:rsidR="003E6287">
        <w:t xml:space="preserve"> &amp; Pups</w:t>
      </w:r>
    </w:p>
    <w:p w14:paraId="5BE9BB6E" w14:textId="7535EF78" w:rsidR="00C01A49" w:rsidRPr="00C01A49" w:rsidRDefault="00C01A49" w:rsidP="00C01A49">
      <w:pPr>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6385CF58" w14:textId="136B805A" w:rsidR="005425DC" w:rsidRDefault="009349AD" w:rsidP="005425DC">
      <w:pPr>
        <w:spacing w:line="360" w:lineRule="auto"/>
        <w:rPr>
          <w:ins w:id="0" w:author="Molly Carter" w:date="2022-12-15T09:41:00Z"/>
          <w:rFonts w:ascii="Times New Roman" w:eastAsia="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 xml:space="preserve">Dams were fasted for 6 hours. At ZT2, a fasted blood sample was collected via tail clip and handheld glucometer. </w:t>
      </w:r>
      <w:r w:rsidR="006D6F75">
        <w:rPr>
          <w:rFonts w:ascii="Times New Roman" w:hAnsi="Times New Roman" w:cs="Times New Roman"/>
        </w:rPr>
        <w:lastRenderedPageBreak/>
        <w:t>After assessment of fasting blood glucose, an intraperitoneal injection of 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w:t>
      </w:r>
      <w:commentRangeStart w:id="1"/>
      <w:r w:rsidR="006D6F75">
        <w:rPr>
          <w:rFonts w:ascii="Times New Roman" w:hAnsi="Times New Roman" w:cs="Times New Roman"/>
        </w:rPr>
        <w:t>lood glucose</w:t>
      </w:r>
      <w:r w:rsidR="00D95834">
        <w:rPr>
          <w:rFonts w:ascii="Times New Roman" w:hAnsi="Times New Roman" w:cs="Times New Roman"/>
        </w:rPr>
        <w:t xml:space="preserve"> following injection was taken every 15 minutes for 2 hours. </w:t>
      </w:r>
      <w:r>
        <w:rPr>
          <w:rFonts w:ascii="Times New Roman" w:hAnsi="Times New Roman" w:cs="Times New Roman"/>
        </w:rPr>
        <w:t xml:space="preserve">Glucose area under the curve (AUC) was calculated by taking the sum of glucose values for each animal. </w:t>
      </w:r>
      <w:commentRangeEnd w:id="1"/>
      <w:r w:rsidR="00724CA0">
        <w:rPr>
          <w:rStyle w:val="CommentReference"/>
        </w:rPr>
        <w:commentReference w:id="1"/>
      </w:r>
      <w:r w:rsidR="005425DC">
        <w:rPr>
          <w:rFonts w:ascii="Times New Roman" w:hAnsi="Times New Roman" w:cs="Times New Roman"/>
        </w:rPr>
        <w:t xml:space="preserve">Rates of initial reduction in blood glucose was calculated by limiting the data to </w:t>
      </w:r>
      <w:r w:rsidR="005425DC" w:rsidRPr="002F7E44">
        <w:rPr>
          <w:rFonts w:ascii="Times New Roman" w:hAnsi="Times New Roman" w:cs="Times New Roman"/>
          <w:highlight w:val="yellow"/>
        </w:rPr>
        <w:t>XX</w:t>
      </w:r>
      <w:r w:rsidR="005425DC">
        <w:rPr>
          <w:rFonts w:ascii="Times New Roman" w:hAnsi="Times New Roman" w:cs="Times New Roman"/>
        </w:rPr>
        <w:t xml:space="preserve"> minutes after injection. We then modeled the exponential rate of decay in blood glucose for each dam as a </w:t>
      </w:r>
      <w:r w:rsidR="0042585B">
        <w:rPr>
          <w:rFonts w:ascii="Times New Roman" w:hAnsi="Times New Roman" w:cs="Times New Roman"/>
        </w:rPr>
        <w:t>slope</w:t>
      </w:r>
      <w:r w:rsidR="005425DC">
        <w:rPr>
          <w:rFonts w:ascii="Times New Roman" w:hAnsi="Times New Roman" w:cs="Times New Roman"/>
        </w:rPr>
        <w:t xml:space="preserve"> and took the average by feeding group. </w:t>
      </w:r>
      <w:r w:rsidR="0042585B">
        <w:rPr>
          <w:rFonts w:ascii="Times New Roman" w:hAnsi="Times New Roman" w:cs="Times New Roman"/>
        </w:rPr>
        <w:t xml:space="preserve">We also calculate the rate of rebound after hypoglycemia by limiting the data </w:t>
      </w:r>
      <w:r w:rsidR="00021AF3">
        <w:rPr>
          <w:rFonts w:ascii="Times New Roman" w:hAnsi="Times New Roman" w:cs="Times New Roman"/>
        </w:rPr>
        <w:t xml:space="preserve">by </w:t>
      </w:r>
      <w:r w:rsidR="00021AF3" w:rsidRPr="002F7E44">
        <w:rPr>
          <w:rFonts w:ascii="Times New Roman" w:hAnsi="Times New Roman" w:cs="Times New Roman"/>
          <w:highlight w:val="yellow"/>
        </w:rPr>
        <w:t>XX</w:t>
      </w:r>
      <w:r w:rsidR="00021AF3">
        <w:rPr>
          <w:rFonts w:ascii="Times New Roman" w:hAnsi="Times New Roman" w:cs="Times New Roman"/>
        </w:rPr>
        <w:t xml:space="preserve"> minutes after injection</w:t>
      </w:r>
      <w:r w:rsidR="002F7E44">
        <w:rPr>
          <w:rFonts w:ascii="Times New Roman" w:hAnsi="Times New Roman" w:cs="Times New Roman"/>
        </w:rPr>
        <w:t xml:space="preserve">, then </w:t>
      </w:r>
      <w:r w:rsidR="002F7E44" w:rsidRPr="002F7E44">
        <w:rPr>
          <w:rFonts w:ascii="Times New Roman" w:hAnsi="Times New Roman" w:cs="Times New Roman"/>
          <w:highlight w:val="yellow"/>
        </w:rPr>
        <w:t>modeling the linear rise in glucose as a rate of time* group, then averaging by feeding group</w:t>
      </w:r>
      <w:r w:rsidR="002F7E44">
        <w:rPr>
          <w:rFonts w:ascii="Times New Roman" w:hAnsi="Times New Roman" w:cs="Times New Roman"/>
        </w:rPr>
        <w:t xml:space="preserve">. </w:t>
      </w:r>
    </w:p>
    <w:p w14:paraId="51A83522" w14:textId="1F706100" w:rsidR="00D95834" w:rsidRDefault="00D95834" w:rsidP="00AB3C57">
      <w:pPr>
        <w:rPr>
          <w:rFonts w:ascii="Times New Roman" w:hAnsi="Times New Roman" w:cs="Times New Roman"/>
        </w:rPr>
      </w:pP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4E934ACE" w:rsidR="002966E6" w:rsidRDefault="00722853" w:rsidP="00722853">
      <w:pPr>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44113">
        <w:rPr>
          <w:rFonts w:ascii="Times New Roman" w:hAnsi="Times New Roman" w:cs="Times New Roman"/>
          <w:highlight w:val="yellow"/>
        </w:rPr>
        <w:t>Eppendorf,</w:t>
      </w:r>
      <w:r w:rsidR="002966E6">
        <w:rPr>
          <w:rFonts w:ascii="Times New Roman" w:hAnsi="Times New Roman" w:cs="Times New Roman"/>
        </w:rPr>
        <w:t xml:space="preserve"> 4°C). Serum was pipetted off and stored at -80°C until later use. Insulin was assayed in serum using a commercially available ELISA kit (</w:t>
      </w:r>
      <w:r w:rsidR="002966E6" w:rsidRPr="00544113">
        <w:rPr>
          <w:rFonts w:ascii="Times New Roman" w:hAnsi="Times New Roman" w:cs="Times New Roman"/>
          <w:highlight w:val="yellow"/>
        </w:rPr>
        <w:t>ALPCO, Cat number</w:t>
      </w:r>
      <w:r w:rsidR="002966E6">
        <w:rPr>
          <w:rFonts w:ascii="Times New Roman" w:hAnsi="Times New Roman" w:cs="Times New Roman"/>
        </w:rPr>
        <w:t>)</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6C7824D3" w:rsidR="00367767" w:rsidRPr="00367767" w:rsidRDefault="00367767" w:rsidP="00367767">
      <w:pPr>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(alive and dead) 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w:t>
      </w:r>
      <w:del w:id="2" w:author="Dave Bridges" w:date="2022-12-08T14:48:00Z">
        <w:r w:rsidR="003A2DA6" w:rsidDel="00724CA0">
          <w:rPr>
            <w:rFonts w:ascii="Times New Roman" w:hAnsi="Times New Roman" w:cs="Times New Roman"/>
          </w:rPr>
          <w:delText xml:space="preserve"> time</w:delText>
        </w:r>
        <w:r w:rsidR="007221AF" w:rsidDel="00724CA0">
          <w:rPr>
            <w:rFonts w:ascii="Times New Roman" w:hAnsi="Times New Roman" w:cs="Times New Roman"/>
          </w:rPr>
          <w:delText>s</w:delText>
        </w:r>
        <w:r w:rsidR="003A2DA6" w:rsidDel="00724CA0">
          <w:rPr>
            <w:rFonts w:ascii="Times New Roman" w:hAnsi="Times New Roman" w:cs="Times New Roman"/>
          </w:rPr>
          <w:delText xml:space="preserve"> 100</w:delText>
        </w:r>
      </w:del>
      <w:r w:rsidR="003A2DA6">
        <w:rPr>
          <w:rFonts w:ascii="Times New Roman" w:hAnsi="Times New Roman" w:cs="Times New Roman"/>
        </w:rPr>
        <w:t xml:space="preserve">. </w:t>
      </w:r>
      <w:r w:rsidR="007221AF">
        <w:rPr>
          <w:rFonts w:ascii="Times New Roman" w:hAnsi="Times New Roman" w:cs="Times New Roman"/>
        </w:rPr>
        <w:t xml:space="preserve">Birth weight was calculated 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71AA29A7" w:rsidR="00D415F2" w:rsidRPr="00D415F2" w:rsidRDefault="000459F9" w:rsidP="00D415F2">
      <w:pPr>
        <w:rPr>
          <w:rFonts w:ascii="Times New Roman" w:hAnsi="Times New Roman" w:cs="Times New Roman"/>
        </w:rPr>
      </w:pPr>
      <w:r>
        <w:rPr>
          <w:rFonts w:ascii="Times New Roman" w:hAnsi="Times New Roman" w:cs="Times New Roman"/>
        </w:rPr>
        <w:t xml:space="preserve">Values are represented as mean ± standard error. Pairwise values are evaluated by Shapiro test for normality and </w:t>
      </w:r>
      <w:proofErr w:type="spellStart"/>
      <w:r>
        <w:rPr>
          <w:rFonts w:ascii="Times New Roman" w:hAnsi="Times New Roman" w:cs="Times New Roman"/>
        </w:rPr>
        <w:t>Levene’s</w:t>
      </w:r>
      <w:proofErr w:type="spellEnd"/>
      <w:r>
        <w:rPr>
          <w:rFonts w:ascii="Times New Roman" w:hAnsi="Times New Roman" w:cs="Times New Roman"/>
        </w:rPr>
        <w:t xml:space="preserve">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normal and of equivalent variance, Student’s T Test was used, if they were not normal, then we used the appropriate non-parametric test. </w:t>
      </w:r>
      <w:r w:rsidR="00540957">
        <w:rPr>
          <w:rFonts w:ascii="Times New Roman" w:hAnsi="Times New Roman" w:cs="Times New Roman"/>
        </w:rPr>
        <w:t xml:space="preserve">For repeated measures, such as food intake, and body composition, linear mixed effect modeling was completed using </w:t>
      </w:r>
      <w:r w:rsidR="00724CA0">
        <w:rPr>
          <w:rFonts w:ascii="Times New Roman" w:hAnsi="Times New Roman" w:cs="Times New Roman"/>
        </w:rPr>
        <w:t>lme</w:t>
      </w:r>
      <w:r w:rsidR="00540957">
        <w:rPr>
          <w:rFonts w:ascii="Times New Roman" w:hAnsi="Times New Roman" w:cs="Times New Roman"/>
        </w:rPr>
        <w:t xml:space="preserve">4 </w:t>
      </w:r>
      <w:r w:rsidR="00545584">
        <w:rPr>
          <w:rFonts w:ascii="Times New Roman" w:hAnsi="Times New Roman" w:cs="Times New Roman"/>
        </w:rPr>
        <w:fldChar w:fldCharType="begin"/>
      </w:r>
      <w:r w:rsidR="00456C4E">
        <w:rPr>
          <w:rFonts w:ascii="Times New Roman" w:hAnsi="Times New Roman" w:cs="Times New Roman"/>
        </w:rPr>
        <w:instrText xml:space="preserve"> ADDIN ZOTERO_ITEM CSL_CITATION {"citationID":"1DIEKuhH","properties":{"formattedCitation":"(5)","plainCitation":"(5)","noteIndex":0},"citationItems":[{"id":757,"uris":["http://zotero.org/users/5073745/items/GUUE2ZQS"],"itemData":{"id":757,"type":"article-journal","abstract":"Maximum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456C4E">
        <w:rPr>
          <w:rFonts w:ascii="Times New Roman" w:hAnsi="Times New Roman" w:cs="Times New Roman"/>
          <w:noProof/>
        </w:rPr>
        <w:t>(5)</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w:t>
      </w:r>
      <w:r w:rsidR="00724CA0">
        <w:rPr>
          <w:rFonts w:ascii="Times New Roman" w:hAnsi="Times New Roman" w:cs="Times New Roman"/>
        </w:rPr>
        <w:t xml:space="preserve">for </w:t>
      </w:r>
      <w:r w:rsidR="00A27AE4">
        <w:rPr>
          <w:rFonts w:ascii="Times New Roman" w:hAnsi="Times New Roman" w:cs="Times New Roman"/>
        </w:rPr>
        <w:t>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11B7EDE2" w:rsidR="00AB3C57" w:rsidRDefault="00AB3C57" w:rsidP="00AB3C57">
      <w:pPr>
        <w:pStyle w:val="Heading1"/>
      </w:pPr>
      <w:r>
        <w:t>Results</w:t>
      </w:r>
    </w:p>
    <w:p w14:paraId="6D1DA89B" w14:textId="207CF17C" w:rsidR="00820440" w:rsidRDefault="00820440" w:rsidP="00820440">
      <w:pPr>
        <w:pStyle w:val="Heading2"/>
      </w:pPr>
      <w:r w:rsidRPr="00820440">
        <w:t>Fecundity, birthweights and growth are similar between control and eTRF pregnancies</w:t>
      </w:r>
    </w:p>
    <w:p w14:paraId="7448EAA6" w14:textId="307A580D" w:rsidR="00820440" w:rsidRPr="009A3882" w:rsidRDefault="00DD5658" w:rsidP="00820440">
      <w:pPr>
        <w:rPr>
          <w:rFonts w:ascii="Times New Roman" w:hAnsi="Times New Roman" w:cs="Times New Roman"/>
        </w:rPr>
      </w:pPr>
      <w:r w:rsidRPr="009A3882">
        <w:rPr>
          <w:rFonts w:ascii="Times New Roman" w:hAnsi="Times New Roman" w:cs="Times New Roman"/>
        </w:rPr>
        <w:t xml:space="preserve">To evaluate the effect of gestational eTRF on reproductive outcomes, we assess the latency to copulatory plug appearance after pairing. We found that. </w:t>
      </w:r>
    </w:p>
    <w:p w14:paraId="582DB8F6" w14:textId="77777777" w:rsidR="00820440" w:rsidRPr="00820440" w:rsidRDefault="00820440" w:rsidP="00820440"/>
    <w:p w14:paraId="79A585A0" w14:textId="6D13261D" w:rsidR="00F54BB0" w:rsidRDefault="00AB3C57" w:rsidP="00F54BB0">
      <w:pPr>
        <w:pStyle w:val="Heading1"/>
      </w:pPr>
      <w:r>
        <w:lastRenderedPageBreak/>
        <w:t>Discussion</w:t>
      </w:r>
    </w:p>
    <w:p w14:paraId="64777685" w14:textId="057FD487" w:rsidR="00F54BB0" w:rsidRDefault="00F54BB0" w:rsidP="00F54BB0">
      <w:pPr>
        <w:pStyle w:val="Heading1"/>
      </w:pPr>
      <w:r>
        <w:t>References</w:t>
      </w:r>
    </w:p>
    <w:p w14:paraId="22458DEF" w14:textId="77777777" w:rsidR="00456C4E" w:rsidRPr="00456C4E" w:rsidRDefault="00545584" w:rsidP="00456C4E">
      <w:pPr>
        <w:pStyle w:val="Bibliography"/>
        <w:rPr>
          <w:rFonts w:ascii="Calibri" w:cs="Calibri"/>
        </w:rPr>
      </w:pPr>
      <w:r>
        <w:fldChar w:fldCharType="begin"/>
      </w:r>
      <w:r>
        <w:instrText xml:space="preserve"> ADDIN ZOTERO_BIBL {"uncited":[],"omitted":[],"custom":[]} CSL_BIBLIOGRAPHY </w:instrText>
      </w:r>
      <w:r>
        <w:fldChar w:fldCharType="separate"/>
      </w:r>
      <w:r w:rsidR="00456C4E" w:rsidRPr="00456C4E">
        <w:rPr>
          <w:rFonts w:ascii="Calibri" w:cs="Calibri"/>
        </w:rPr>
        <w:t xml:space="preserve">1. </w:t>
      </w:r>
      <w:r w:rsidR="00456C4E" w:rsidRPr="00456C4E">
        <w:rPr>
          <w:rFonts w:ascii="Calibri" w:cs="Calibri"/>
        </w:rPr>
        <w:tab/>
      </w:r>
      <w:r w:rsidR="00456C4E" w:rsidRPr="00456C4E">
        <w:rPr>
          <w:rFonts w:ascii="Calibri" w:cs="Calibri"/>
          <w:b/>
          <w:bCs/>
        </w:rPr>
        <w:t>Flanagan EW</w:t>
      </w:r>
      <w:r w:rsidR="00456C4E" w:rsidRPr="00456C4E">
        <w:rPr>
          <w:rFonts w:ascii="Calibri" w:cs="Calibri"/>
        </w:rPr>
        <w:t xml:space="preserve">, </w:t>
      </w:r>
      <w:proofErr w:type="spellStart"/>
      <w:r w:rsidR="00456C4E" w:rsidRPr="00456C4E">
        <w:rPr>
          <w:rFonts w:ascii="Calibri" w:cs="Calibri"/>
          <w:b/>
          <w:bCs/>
        </w:rPr>
        <w:t>Kebbe</w:t>
      </w:r>
      <w:proofErr w:type="spellEnd"/>
      <w:r w:rsidR="00456C4E" w:rsidRPr="00456C4E">
        <w:rPr>
          <w:rFonts w:ascii="Calibri" w:cs="Calibri"/>
          <w:b/>
          <w:bCs/>
        </w:rPr>
        <w:t xml:space="preserve"> M</w:t>
      </w:r>
      <w:r w:rsidR="00456C4E" w:rsidRPr="00456C4E">
        <w:rPr>
          <w:rFonts w:ascii="Calibri" w:cs="Calibri"/>
        </w:rPr>
        <w:t xml:space="preserve">, </w:t>
      </w:r>
      <w:r w:rsidR="00456C4E" w:rsidRPr="00456C4E">
        <w:rPr>
          <w:rFonts w:ascii="Calibri" w:cs="Calibri"/>
          <w:b/>
          <w:bCs/>
        </w:rPr>
        <w:t>Sparks JR</w:t>
      </w:r>
      <w:r w:rsidR="00456C4E" w:rsidRPr="00456C4E">
        <w:rPr>
          <w:rFonts w:ascii="Calibri" w:cs="Calibri"/>
        </w:rPr>
        <w:t xml:space="preserve">, </w:t>
      </w:r>
      <w:r w:rsidR="00456C4E" w:rsidRPr="00456C4E">
        <w:rPr>
          <w:rFonts w:ascii="Calibri" w:cs="Calibri"/>
          <w:b/>
          <w:bCs/>
        </w:rPr>
        <w:t>Redman LM</w:t>
      </w:r>
      <w:r w:rsidR="00456C4E" w:rsidRPr="00456C4E">
        <w:rPr>
          <w:rFonts w:ascii="Calibri" w:cs="Calibri"/>
        </w:rPr>
        <w:t xml:space="preserve">. Assessment of Eating Behaviors and Perceptions of Time-Restricted Eating During Pregnancy. </w:t>
      </w:r>
      <w:r w:rsidR="00456C4E" w:rsidRPr="00456C4E">
        <w:rPr>
          <w:rFonts w:ascii="Calibri" w:cs="Calibri"/>
          <w:i/>
          <w:iCs/>
        </w:rPr>
        <w:t xml:space="preserve">J </w:t>
      </w:r>
      <w:proofErr w:type="spellStart"/>
      <w:r w:rsidR="00456C4E" w:rsidRPr="00456C4E">
        <w:rPr>
          <w:rFonts w:ascii="Calibri" w:cs="Calibri"/>
          <w:i/>
          <w:iCs/>
        </w:rPr>
        <w:t>Nutr</w:t>
      </w:r>
      <w:proofErr w:type="spellEnd"/>
      <w:r w:rsidR="00456C4E" w:rsidRPr="00456C4E">
        <w:rPr>
          <w:rFonts w:ascii="Calibri" w:cs="Calibri"/>
        </w:rPr>
        <w:t xml:space="preserve"> 152: 475–483, 2022. </w:t>
      </w:r>
      <w:proofErr w:type="spellStart"/>
      <w:r w:rsidR="00456C4E" w:rsidRPr="00456C4E">
        <w:rPr>
          <w:rFonts w:ascii="Calibri" w:cs="Calibri"/>
        </w:rPr>
        <w:t>doi</w:t>
      </w:r>
      <w:proofErr w:type="spellEnd"/>
      <w:r w:rsidR="00456C4E" w:rsidRPr="00456C4E">
        <w:rPr>
          <w:rFonts w:ascii="Calibri" w:cs="Calibri"/>
        </w:rPr>
        <w:t>: 10.1093/</w:t>
      </w:r>
      <w:proofErr w:type="spellStart"/>
      <w:r w:rsidR="00456C4E" w:rsidRPr="00456C4E">
        <w:rPr>
          <w:rFonts w:ascii="Calibri" w:cs="Calibri"/>
        </w:rPr>
        <w:t>jn</w:t>
      </w:r>
      <w:proofErr w:type="spellEnd"/>
      <w:r w:rsidR="00456C4E" w:rsidRPr="00456C4E">
        <w:rPr>
          <w:rFonts w:ascii="Calibri" w:cs="Calibri"/>
        </w:rPr>
        <w:t>/nxab397.</w:t>
      </w:r>
    </w:p>
    <w:p w14:paraId="6162CED5" w14:textId="77777777" w:rsidR="00456C4E" w:rsidRPr="00456C4E" w:rsidRDefault="00456C4E" w:rsidP="00456C4E">
      <w:pPr>
        <w:pStyle w:val="Bibliography"/>
        <w:rPr>
          <w:rFonts w:ascii="Calibri" w:cs="Calibri"/>
        </w:rPr>
      </w:pPr>
      <w:r w:rsidRPr="00456C4E">
        <w:rPr>
          <w:rFonts w:ascii="Calibri" w:cs="Calibri"/>
        </w:rPr>
        <w:t xml:space="preserve">2. </w:t>
      </w:r>
      <w:r w:rsidRPr="00456C4E">
        <w:rPr>
          <w:rFonts w:ascii="Calibri" w:cs="Calibri"/>
        </w:rPr>
        <w:tab/>
      </w:r>
      <w:r w:rsidRPr="00456C4E">
        <w:rPr>
          <w:rFonts w:ascii="Calibri" w:cs="Calibri"/>
          <w:b/>
          <w:bCs/>
        </w:rPr>
        <w:t>Ali AM</w:t>
      </w:r>
      <w:r w:rsidRPr="00456C4E">
        <w:rPr>
          <w:rFonts w:ascii="Calibri" w:cs="Calibri"/>
        </w:rPr>
        <w:t xml:space="preserve">, </w:t>
      </w:r>
      <w:proofErr w:type="spellStart"/>
      <w:r w:rsidRPr="00456C4E">
        <w:rPr>
          <w:rFonts w:ascii="Calibri" w:cs="Calibri"/>
          <w:b/>
          <w:bCs/>
        </w:rPr>
        <w:t>Kunugi</w:t>
      </w:r>
      <w:proofErr w:type="spellEnd"/>
      <w:r w:rsidRPr="00456C4E">
        <w:rPr>
          <w:rFonts w:ascii="Calibri" w:cs="Calibri"/>
          <w:b/>
          <w:bCs/>
        </w:rPr>
        <w:t xml:space="preserve"> H</w:t>
      </w:r>
      <w:r w:rsidRPr="00456C4E">
        <w:rPr>
          <w:rFonts w:ascii="Calibri" w:cs="Calibri"/>
        </w:rPr>
        <w:t xml:space="preserve">. Intermittent Fasting, Dietary Modifications, and Exercise for the Control of Gestational Diabetes and Maternal Mood Dysregulation: A Review and a Case Report. </w:t>
      </w:r>
      <w:r w:rsidRPr="00456C4E">
        <w:rPr>
          <w:rFonts w:ascii="Calibri" w:cs="Calibri"/>
          <w:i/>
          <w:iCs/>
        </w:rPr>
        <w:t>Int J Environ Res Public Health</w:t>
      </w:r>
      <w:r w:rsidRPr="00456C4E">
        <w:rPr>
          <w:rFonts w:ascii="Calibri" w:cs="Calibri"/>
        </w:rPr>
        <w:t xml:space="preserve"> 17: 9379, 2020. </w:t>
      </w:r>
      <w:proofErr w:type="spellStart"/>
      <w:r w:rsidRPr="00456C4E">
        <w:rPr>
          <w:rFonts w:ascii="Calibri" w:cs="Calibri"/>
        </w:rPr>
        <w:t>doi</w:t>
      </w:r>
      <w:proofErr w:type="spellEnd"/>
      <w:r w:rsidRPr="00456C4E">
        <w:rPr>
          <w:rFonts w:ascii="Calibri" w:cs="Calibri"/>
        </w:rPr>
        <w:t>: 10.3390/ijerph17249379.</w:t>
      </w:r>
    </w:p>
    <w:p w14:paraId="26A5A662" w14:textId="77777777" w:rsidR="00456C4E" w:rsidRPr="00456C4E" w:rsidRDefault="00456C4E" w:rsidP="00456C4E">
      <w:pPr>
        <w:pStyle w:val="Bibliography"/>
        <w:rPr>
          <w:rFonts w:ascii="Calibri" w:cs="Calibri"/>
        </w:rPr>
      </w:pPr>
      <w:r w:rsidRPr="00456C4E">
        <w:rPr>
          <w:rFonts w:ascii="Calibri" w:cs="Calibri"/>
        </w:rPr>
        <w:t xml:space="preserve">3. </w:t>
      </w:r>
      <w:r w:rsidRPr="00456C4E">
        <w:rPr>
          <w:rFonts w:ascii="Calibri" w:cs="Calibri"/>
        </w:rPr>
        <w:tab/>
      </w:r>
      <w:r w:rsidRPr="00456C4E">
        <w:rPr>
          <w:rFonts w:ascii="Calibri" w:cs="Calibri"/>
          <w:b/>
          <w:bCs/>
        </w:rPr>
        <w:t>Mulcahy MC</w:t>
      </w:r>
      <w:r w:rsidRPr="00456C4E">
        <w:rPr>
          <w:rFonts w:ascii="Calibri" w:cs="Calibri"/>
        </w:rPr>
        <w:t xml:space="preserve">, </w:t>
      </w:r>
      <w:proofErr w:type="spellStart"/>
      <w:r w:rsidRPr="00456C4E">
        <w:rPr>
          <w:rFonts w:ascii="Calibri" w:cs="Calibri"/>
          <w:b/>
          <w:bCs/>
        </w:rPr>
        <w:t>Habbal</w:t>
      </w:r>
      <w:proofErr w:type="spellEnd"/>
      <w:r w:rsidRPr="00456C4E">
        <w:rPr>
          <w:rFonts w:ascii="Calibri" w:cs="Calibri"/>
          <w:b/>
          <w:bCs/>
        </w:rPr>
        <w:t xml:space="preserve"> NE</w:t>
      </w:r>
      <w:r w:rsidRPr="00456C4E">
        <w:rPr>
          <w:rFonts w:ascii="Calibri" w:cs="Calibri"/>
        </w:rPr>
        <w:t xml:space="preserve">, </w:t>
      </w:r>
      <w:r w:rsidRPr="00456C4E">
        <w:rPr>
          <w:rFonts w:ascii="Calibri" w:cs="Calibri"/>
          <w:b/>
          <w:bCs/>
        </w:rPr>
        <w:t>Snyder D</w:t>
      </w:r>
      <w:r w:rsidRPr="00456C4E">
        <w:rPr>
          <w:rFonts w:ascii="Calibri" w:cs="Calibri"/>
        </w:rPr>
        <w:t xml:space="preserve">, </w:t>
      </w:r>
      <w:r w:rsidRPr="00456C4E">
        <w:rPr>
          <w:rFonts w:ascii="Calibri" w:cs="Calibri"/>
          <w:b/>
          <w:bCs/>
        </w:rPr>
        <w:t>Redd JR</w:t>
      </w:r>
      <w:r w:rsidRPr="00456C4E">
        <w:rPr>
          <w:rFonts w:ascii="Calibri" w:cs="Calibri"/>
        </w:rPr>
        <w:t xml:space="preserve">, </w:t>
      </w:r>
      <w:r w:rsidRPr="00456C4E">
        <w:rPr>
          <w:rFonts w:ascii="Calibri" w:cs="Calibri"/>
          <w:b/>
          <w:bCs/>
        </w:rPr>
        <w:t>Sun H</w:t>
      </w:r>
      <w:r w:rsidRPr="00456C4E">
        <w:rPr>
          <w:rFonts w:ascii="Calibri" w:cs="Calibri"/>
        </w:rPr>
        <w:t xml:space="preserve">, </w:t>
      </w:r>
      <w:r w:rsidRPr="00456C4E">
        <w:rPr>
          <w:rFonts w:ascii="Calibri" w:cs="Calibri"/>
          <w:b/>
          <w:bCs/>
        </w:rPr>
        <w:t>Gregg BE</w:t>
      </w:r>
      <w:r w:rsidRPr="00456C4E">
        <w:rPr>
          <w:rFonts w:ascii="Calibri" w:cs="Calibri"/>
        </w:rPr>
        <w:t xml:space="preserve">, </w:t>
      </w:r>
      <w:r w:rsidRPr="00456C4E">
        <w:rPr>
          <w:rFonts w:ascii="Calibri" w:cs="Calibri"/>
          <w:b/>
          <w:bCs/>
        </w:rPr>
        <w:t>Bridges D</w:t>
      </w:r>
      <w:r w:rsidRPr="00456C4E">
        <w:rPr>
          <w:rFonts w:ascii="Calibri" w:cs="Calibri"/>
        </w:rPr>
        <w:t xml:space="preserve">. Gestational Early-Time Restricted Feeding Results in Sex-Specific Glucose Intolerance in Adult Male Mice. </w:t>
      </w:r>
      <w:proofErr w:type="spellStart"/>
      <w:r w:rsidRPr="00456C4E">
        <w:rPr>
          <w:rFonts w:ascii="Calibri" w:cs="Calibri"/>
        </w:rPr>
        <w:t>bioRxiv</w:t>
      </w:r>
      <w:proofErr w:type="spellEnd"/>
      <w:r w:rsidRPr="00456C4E">
        <w:rPr>
          <w:rFonts w:ascii="Calibri" w:cs="Calibri"/>
        </w:rPr>
        <w:t>: 2022.04.27.489576, 2022.</w:t>
      </w:r>
    </w:p>
    <w:p w14:paraId="3BECD1BF" w14:textId="77777777" w:rsidR="00456C4E" w:rsidRPr="00456C4E" w:rsidRDefault="00456C4E" w:rsidP="00456C4E">
      <w:pPr>
        <w:pStyle w:val="Bibliography"/>
        <w:rPr>
          <w:rFonts w:ascii="Calibri" w:cs="Calibri"/>
        </w:rPr>
      </w:pPr>
      <w:r w:rsidRPr="00456C4E">
        <w:rPr>
          <w:rFonts w:ascii="Calibri" w:cs="Calibri"/>
        </w:rPr>
        <w:t xml:space="preserve">4. </w:t>
      </w:r>
      <w:r w:rsidRPr="00456C4E">
        <w:rPr>
          <w:rFonts w:ascii="Calibri" w:cs="Calibri"/>
        </w:rPr>
        <w:tab/>
      </w:r>
      <w:r w:rsidRPr="00456C4E">
        <w:rPr>
          <w:rFonts w:ascii="Calibri" w:cs="Calibri"/>
          <w:b/>
          <w:bCs/>
        </w:rPr>
        <w:t>Prates KV</w:t>
      </w:r>
      <w:r w:rsidRPr="00456C4E">
        <w:rPr>
          <w:rFonts w:ascii="Calibri" w:cs="Calibri"/>
        </w:rPr>
        <w:t xml:space="preserve">, </w:t>
      </w:r>
      <w:proofErr w:type="spellStart"/>
      <w:r w:rsidRPr="00456C4E">
        <w:rPr>
          <w:rFonts w:ascii="Calibri" w:cs="Calibri"/>
          <w:b/>
          <w:bCs/>
        </w:rPr>
        <w:t>Pavanello</w:t>
      </w:r>
      <w:proofErr w:type="spellEnd"/>
      <w:r w:rsidRPr="00456C4E">
        <w:rPr>
          <w:rFonts w:ascii="Calibri" w:cs="Calibri"/>
          <w:b/>
          <w:bCs/>
        </w:rPr>
        <w:t xml:space="preserve"> A</w:t>
      </w:r>
      <w:r w:rsidRPr="00456C4E">
        <w:rPr>
          <w:rFonts w:ascii="Calibri" w:cs="Calibri"/>
        </w:rPr>
        <w:t xml:space="preserve">, </w:t>
      </w:r>
      <w:r w:rsidRPr="00456C4E">
        <w:rPr>
          <w:rFonts w:ascii="Calibri" w:cs="Calibri"/>
          <w:b/>
          <w:bCs/>
        </w:rPr>
        <w:t>Gongora AB</w:t>
      </w:r>
      <w:r w:rsidRPr="00456C4E">
        <w:rPr>
          <w:rFonts w:ascii="Calibri" w:cs="Calibri"/>
        </w:rPr>
        <w:t xml:space="preserve">, </w:t>
      </w:r>
      <w:r w:rsidRPr="00456C4E">
        <w:rPr>
          <w:rFonts w:ascii="Calibri" w:cs="Calibri"/>
          <w:b/>
          <w:bCs/>
        </w:rPr>
        <w:t>Moreira VM</w:t>
      </w:r>
      <w:r w:rsidRPr="00456C4E">
        <w:rPr>
          <w:rFonts w:ascii="Calibri" w:cs="Calibri"/>
        </w:rPr>
        <w:t xml:space="preserve">, </w:t>
      </w:r>
      <w:r w:rsidRPr="00456C4E">
        <w:rPr>
          <w:rFonts w:ascii="Calibri" w:cs="Calibri"/>
          <w:b/>
          <w:bCs/>
        </w:rPr>
        <w:t xml:space="preserve">de </w:t>
      </w:r>
      <w:proofErr w:type="spellStart"/>
      <w:r w:rsidRPr="00456C4E">
        <w:rPr>
          <w:rFonts w:ascii="Calibri" w:cs="Calibri"/>
          <w:b/>
          <w:bCs/>
        </w:rPr>
        <w:t>Moraes</w:t>
      </w:r>
      <w:proofErr w:type="spellEnd"/>
      <w:r w:rsidRPr="00456C4E">
        <w:rPr>
          <w:rFonts w:ascii="Calibri" w:cs="Calibri"/>
          <w:b/>
          <w:bCs/>
        </w:rPr>
        <w:t xml:space="preserve"> AMP</w:t>
      </w:r>
      <w:r w:rsidRPr="00456C4E">
        <w:rPr>
          <w:rFonts w:ascii="Calibri" w:cs="Calibri"/>
        </w:rPr>
        <w:t xml:space="preserve">, </w:t>
      </w:r>
      <w:proofErr w:type="spellStart"/>
      <w:r w:rsidRPr="00456C4E">
        <w:rPr>
          <w:rFonts w:ascii="Calibri" w:cs="Calibri"/>
          <w:b/>
          <w:bCs/>
        </w:rPr>
        <w:t>Rigo</w:t>
      </w:r>
      <w:proofErr w:type="spellEnd"/>
      <w:r w:rsidRPr="00456C4E">
        <w:rPr>
          <w:rFonts w:ascii="Calibri" w:cs="Calibri"/>
          <w:b/>
          <w:bCs/>
        </w:rPr>
        <w:t xml:space="preserve"> KP</w:t>
      </w:r>
      <w:r w:rsidRPr="00456C4E">
        <w:rPr>
          <w:rFonts w:ascii="Calibri" w:cs="Calibri"/>
        </w:rPr>
        <w:t xml:space="preserve">, </w:t>
      </w:r>
      <w:r w:rsidRPr="00456C4E">
        <w:rPr>
          <w:rFonts w:ascii="Calibri" w:cs="Calibri"/>
          <w:b/>
          <w:bCs/>
        </w:rPr>
        <w:t>Vieira E</w:t>
      </w:r>
      <w:r w:rsidRPr="00456C4E">
        <w:rPr>
          <w:rFonts w:ascii="Calibri" w:cs="Calibri"/>
        </w:rPr>
        <w:t xml:space="preserve">, </w:t>
      </w:r>
      <w:r w:rsidRPr="00456C4E">
        <w:rPr>
          <w:rFonts w:ascii="Calibri" w:cs="Calibri"/>
          <w:b/>
          <w:bCs/>
        </w:rPr>
        <w:t>Mathias PC de F</w:t>
      </w:r>
      <w:r w:rsidRPr="00456C4E">
        <w:rPr>
          <w:rFonts w:ascii="Calibri" w:cs="Calibri"/>
        </w:rPr>
        <w:t>. Time-restricted feeding during embryonic development leads to metabolic dysfunction in adult rat offspring. .</w:t>
      </w:r>
    </w:p>
    <w:p w14:paraId="0737658E" w14:textId="77777777" w:rsidR="00456C4E" w:rsidRPr="00456C4E" w:rsidRDefault="00456C4E" w:rsidP="00456C4E">
      <w:pPr>
        <w:pStyle w:val="Bibliography"/>
        <w:rPr>
          <w:rFonts w:ascii="Calibri" w:cs="Calibri"/>
        </w:rPr>
      </w:pPr>
      <w:r w:rsidRPr="00456C4E">
        <w:rPr>
          <w:rFonts w:ascii="Calibri" w:cs="Calibri"/>
        </w:rPr>
        <w:t xml:space="preserve">5. </w:t>
      </w:r>
      <w:r w:rsidRPr="00456C4E">
        <w:rPr>
          <w:rFonts w:ascii="Calibri" w:cs="Calibri"/>
        </w:rPr>
        <w:tab/>
      </w:r>
      <w:r w:rsidRPr="00456C4E">
        <w:rPr>
          <w:rFonts w:ascii="Calibri" w:cs="Calibri"/>
          <w:b/>
          <w:bCs/>
        </w:rPr>
        <w:t>Bates D</w:t>
      </w:r>
      <w:r w:rsidRPr="00456C4E">
        <w:rPr>
          <w:rFonts w:ascii="Calibri" w:cs="Calibri"/>
        </w:rPr>
        <w:t xml:space="preserve">, </w:t>
      </w:r>
      <w:r w:rsidRPr="00456C4E">
        <w:rPr>
          <w:rFonts w:ascii="Calibri" w:cs="Calibri"/>
          <w:b/>
          <w:bCs/>
        </w:rPr>
        <w:t>Mächler M</w:t>
      </w:r>
      <w:r w:rsidRPr="00456C4E">
        <w:rPr>
          <w:rFonts w:ascii="Calibri" w:cs="Calibri"/>
        </w:rPr>
        <w:t xml:space="preserve">, </w:t>
      </w:r>
      <w:r w:rsidRPr="00456C4E">
        <w:rPr>
          <w:rFonts w:ascii="Calibri" w:cs="Calibri"/>
          <w:b/>
          <w:bCs/>
        </w:rPr>
        <w:t>Bolker B</w:t>
      </w:r>
      <w:r w:rsidRPr="00456C4E">
        <w:rPr>
          <w:rFonts w:ascii="Calibri" w:cs="Calibri"/>
        </w:rPr>
        <w:t xml:space="preserve">, </w:t>
      </w:r>
      <w:r w:rsidRPr="00456C4E">
        <w:rPr>
          <w:rFonts w:ascii="Calibri" w:cs="Calibri"/>
          <w:b/>
          <w:bCs/>
        </w:rPr>
        <w:t>Walker S</w:t>
      </w:r>
      <w:r w:rsidRPr="00456C4E">
        <w:rPr>
          <w:rFonts w:ascii="Calibri" w:cs="Calibri"/>
        </w:rPr>
        <w:t xml:space="preserve">. Fitting Linear Mixed-Effects Models Using lme4. </w:t>
      </w:r>
      <w:r w:rsidRPr="00456C4E">
        <w:rPr>
          <w:rFonts w:ascii="Calibri" w:cs="Calibri"/>
          <w:i/>
          <w:iCs/>
        </w:rPr>
        <w:t xml:space="preserve">J Stat </w:t>
      </w:r>
      <w:proofErr w:type="spellStart"/>
      <w:r w:rsidRPr="00456C4E">
        <w:rPr>
          <w:rFonts w:ascii="Calibri" w:cs="Calibri"/>
          <w:i/>
          <w:iCs/>
        </w:rPr>
        <w:t>Softw</w:t>
      </w:r>
      <w:proofErr w:type="spellEnd"/>
      <w:r w:rsidRPr="00456C4E">
        <w:rPr>
          <w:rFonts w:ascii="Calibri" w:cs="Calibri"/>
        </w:rPr>
        <w:t xml:space="preserve"> 67: 1–48, 2015. </w:t>
      </w:r>
      <w:proofErr w:type="spellStart"/>
      <w:r w:rsidRPr="00456C4E">
        <w:rPr>
          <w:rFonts w:ascii="Calibri" w:cs="Calibri"/>
        </w:rPr>
        <w:t>doi</w:t>
      </w:r>
      <w:proofErr w:type="spellEnd"/>
      <w:r w:rsidRPr="00456C4E">
        <w:rPr>
          <w:rFonts w:ascii="Calibri" w:cs="Calibri"/>
        </w:rPr>
        <w:t>: 10.18637/jss.v067.i01.</w:t>
      </w:r>
    </w:p>
    <w:p w14:paraId="1408FFEF" w14:textId="6D98E965"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e Bridges" w:date="2022-12-08T14:48:00Z" w:initials="DB">
    <w:p w14:paraId="3856138F" w14:textId="15499E1A" w:rsidR="00724CA0" w:rsidRDefault="00724CA0">
      <w:pPr>
        <w:pStyle w:val="CommentText"/>
      </w:pPr>
      <w:r>
        <w:rPr>
          <w:rStyle w:val="CommentReference"/>
        </w:rPr>
        <w:annotationRef/>
      </w:r>
      <w:r>
        <w:t>Add calculations of recovery and rates of drop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613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6138F" w16cid:durableId="273C77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535058">
    <w:abstractNumId w:val="2"/>
  </w:num>
  <w:num w:numId="2" w16cid:durableId="1866359659">
    <w:abstractNumId w:val="0"/>
  </w:num>
  <w:num w:numId="3" w16cid:durableId="5408223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21AF3"/>
    <w:rsid w:val="000459F9"/>
    <w:rsid w:val="000D699C"/>
    <w:rsid w:val="00186B53"/>
    <w:rsid w:val="001B0967"/>
    <w:rsid w:val="00200616"/>
    <w:rsid w:val="002966E6"/>
    <w:rsid w:val="002D6A57"/>
    <w:rsid w:val="002F7E44"/>
    <w:rsid w:val="00314B1F"/>
    <w:rsid w:val="0032430B"/>
    <w:rsid w:val="00367767"/>
    <w:rsid w:val="003A2DA6"/>
    <w:rsid w:val="003A4003"/>
    <w:rsid w:val="003E6287"/>
    <w:rsid w:val="00421EF4"/>
    <w:rsid w:val="00422824"/>
    <w:rsid w:val="0042585B"/>
    <w:rsid w:val="00456C4E"/>
    <w:rsid w:val="004E1783"/>
    <w:rsid w:val="005357E0"/>
    <w:rsid w:val="00540957"/>
    <w:rsid w:val="005425DC"/>
    <w:rsid w:val="00544113"/>
    <w:rsid w:val="00545584"/>
    <w:rsid w:val="00587EB0"/>
    <w:rsid w:val="005B1CEC"/>
    <w:rsid w:val="005B6F9F"/>
    <w:rsid w:val="00616D0A"/>
    <w:rsid w:val="006C05F4"/>
    <w:rsid w:val="006D6F75"/>
    <w:rsid w:val="007221AF"/>
    <w:rsid w:val="00722853"/>
    <w:rsid w:val="00724CA0"/>
    <w:rsid w:val="00730462"/>
    <w:rsid w:val="00741FE3"/>
    <w:rsid w:val="007E57CF"/>
    <w:rsid w:val="00801695"/>
    <w:rsid w:val="0081224E"/>
    <w:rsid w:val="00820440"/>
    <w:rsid w:val="008B6744"/>
    <w:rsid w:val="008B734F"/>
    <w:rsid w:val="008E1270"/>
    <w:rsid w:val="009349AD"/>
    <w:rsid w:val="009454E5"/>
    <w:rsid w:val="009846BA"/>
    <w:rsid w:val="009A1508"/>
    <w:rsid w:val="009A3882"/>
    <w:rsid w:val="00A17703"/>
    <w:rsid w:val="00A27AE4"/>
    <w:rsid w:val="00AB3C57"/>
    <w:rsid w:val="00AB602F"/>
    <w:rsid w:val="00AE4DBC"/>
    <w:rsid w:val="00AF11AB"/>
    <w:rsid w:val="00B6239B"/>
    <w:rsid w:val="00C01A49"/>
    <w:rsid w:val="00C26F18"/>
    <w:rsid w:val="00C6518A"/>
    <w:rsid w:val="00D415F2"/>
    <w:rsid w:val="00D833C4"/>
    <w:rsid w:val="00D86FB4"/>
    <w:rsid w:val="00D95834"/>
    <w:rsid w:val="00DD02BD"/>
    <w:rsid w:val="00DD0E5D"/>
    <w:rsid w:val="00DD5658"/>
    <w:rsid w:val="00DF73EF"/>
    <w:rsid w:val="00E03F92"/>
    <w:rsid w:val="00E96630"/>
    <w:rsid w:val="00ED7932"/>
    <w:rsid w:val="00EF6E8B"/>
    <w:rsid w:val="00F5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 w:type="paragraph" w:styleId="BalloonText">
    <w:name w:val="Balloon Text"/>
    <w:basedOn w:val="Normal"/>
    <w:link w:val="BalloonTextChar"/>
    <w:uiPriority w:val="99"/>
    <w:semiHidden/>
    <w:unhideWhenUsed/>
    <w:rsid w:val="00724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4CA0"/>
    <w:rPr>
      <w:sz w:val="16"/>
      <w:szCs w:val="16"/>
    </w:rPr>
  </w:style>
  <w:style w:type="paragraph" w:styleId="CommentText">
    <w:name w:val="annotation text"/>
    <w:basedOn w:val="Normal"/>
    <w:link w:val="CommentTextChar"/>
    <w:uiPriority w:val="99"/>
    <w:semiHidden/>
    <w:unhideWhenUsed/>
    <w:rsid w:val="00724CA0"/>
    <w:rPr>
      <w:sz w:val="20"/>
      <w:szCs w:val="20"/>
    </w:rPr>
  </w:style>
  <w:style w:type="character" w:customStyle="1" w:styleId="CommentTextChar">
    <w:name w:val="Comment Text Char"/>
    <w:basedOn w:val="DefaultParagraphFont"/>
    <w:link w:val="CommentText"/>
    <w:uiPriority w:val="99"/>
    <w:semiHidden/>
    <w:rsid w:val="00724CA0"/>
    <w:rPr>
      <w:sz w:val="20"/>
      <w:szCs w:val="20"/>
    </w:rPr>
  </w:style>
  <w:style w:type="paragraph" w:styleId="CommentSubject">
    <w:name w:val="annotation subject"/>
    <w:basedOn w:val="CommentText"/>
    <w:next w:val="CommentText"/>
    <w:link w:val="CommentSubjectChar"/>
    <w:uiPriority w:val="99"/>
    <w:semiHidden/>
    <w:unhideWhenUsed/>
    <w:rsid w:val="00724CA0"/>
    <w:rPr>
      <w:b/>
      <w:bCs/>
    </w:rPr>
  </w:style>
  <w:style w:type="character" w:customStyle="1" w:styleId="CommentSubjectChar">
    <w:name w:val="Comment Subject Char"/>
    <w:basedOn w:val="CommentTextChar"/>
    <w:link w:val="CommentSubject"/>
    <w:uiPriority w:val="99"/>
    <w:semiHidden/>
    <w:rsid w:val="00724CA0"/>
    <w:rPr>
      <w:b/>
      <w:bCs/>
      <w:sz w:val="20"/>
      <w:szCs w:val="20"/>
    </w:rPr>
  </w:style>
  <w:style w:type="paragraph" w:styleId="Revision">
    <w:name w:val="Revision"/>
    <w:hidden/>
    <w:uiPriority w:val="99"/>
    <w:semiHidden/>
    <w:rsid w:val="00ED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3192</Words>
  <Characters>18197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43</cp:revision>
  <dcterms:created xsi:type="dcterms:W3CDTF">2022-11-02T15:28:00Z</dcterms:created>
  <dcterms:modified xsi:type="dcterms:W3CDTF">2023-01-05T22:16:00Z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id="HL68XExy"/&gt;&lt;style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