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440" w:rsidRPr="005B2CE6" w:rsidRDefault="00646440" w:rsidP="00646440">
      <w:pPr>
        <w:pStyle w:val="Heading1"/>
        <w:rPr>
          <w:rFonts w:asciiTheme="minorHAnsi" w:hAnsiTheme="minorHAnsi" w:cstheme="minorHAnsi"/>
        </w:rPr>
      </w:pPr>
      <w:r w:rsidRPr="005B2CE6">
        <w:rPr>
          <w:rFonts w:asciiTheme="minorHAnsi" w:hAnsiTheme="minorHAnsi" w:cstheme="minorHAnsi"/>
        </w:rPr>
        <w:t>Dexamethasone as a Model of Stress</w:t>
      </w:r>
    </w:p>
    <w:p w:rsidR="00091375" w:rsidRPr="005B2CE6" w:rsidRDefault="00105FD0" w:rsidP="00A872B7">
      <w:pPr>
        <w:rPr>
          <w:rFonts w:cstheme="minorHAnsi"/>
          <w:sz w:val="22"/>
          <w:szCs w:val="22"/>
        </w:rPr>
      </w:pPr>
      <w:r w:rsidRPr="005B2CE6">
        <w:rPr>
          <w:rFonts w:cstheme="minorHAnsi"/>
          <w:sz w:val="22"/>
          <w:szCs w:val="22"/>
        </w:rPr>
        <w:t xml:space="preserve">There are two types </w:t>
      </w:r>
      <w:r w:rsidR="00A872B7" w:rsidRPr="005B2CE6">
        <w:rPr>
          <w:rFonts w:cstheme="minorHAnsi"/>
          <w:sz w:val="22"/>
          <w:szCs w:val="22"/>
        </w:rPr>
        <w:t>of stress, acute and chronic. Acute stress, in response to an immediate threat, is processed through the sympathetic nervous system to trigger a fight-or-flight response</w:t>
      </w:r>
      <w:bookmarkStart w:id="0" w:name="_Ref17031115"/>
      <w:r w:rsidR="007C37F1">
        <w:rPr>
          <w:rFonts w:cstheme="minorHAnsi"/>
          <w:sz w:val="22"/>
          <w:szCs w:val="22"/>
        </w:rPr>
        <w:t xml:space="preserve"> </w:t>
      </w:r>
      <w:r w:rsidR="00E75EE7" w:rsidRPr="005B2CE6">
        <w:rPr>
          <w:rStyle w:val="FootnoteReference"/>
          <w:rFonts w:cstheme="minorHAnsi"/>
          <w:sz w:val="22"/>
          <w:szCs w:val="22"/>
        </w:rPr>
        <w:footnoteReference w:id="1"/>
      </w:r>
      <w:bookmarkEnd w:id="0"/>
      <w:r w:rsidR="00E75EE7" w:rsidRPr="005B2CE6">
        <w:rPr>
          <w:rFonts w:cstheme="minorHAnsi"/>
          <w:sz w:val="22"/>
          <w:szCs w:val="22"/>
        </w:rPr>
        <w:t xml:space="preserve">. </w:t>
      </w:r>
      <w:r w:rsidR="00A872B7" w:rsidRPr="005B2CE6">
        <w:rPr>
          <w:rFonts w:cstheme="minorHAnsi"/>
          <w:sz w:val="22"/>
          <w:szCs w:val="22"/>
        </w:rPr>
        <w:t>The acute stressor triggers the hypothalamic-pituitary-adrenal axis which releases cortisol</w:t>
      </w:r>
      <w:r w:rsidR="00091375" w:rsidRPr="005B2CE6">
        <w:rPr>
          <w:rFonts w:cstheme="minorHAnsi"/>
          <w:sz w:val="22"/>
          <w:szCs w:val="22"/>
        </w:rPr>
        <w:t>/corticosterone</w:t>
      </w:r>
      <w:r w:rsidR="00A872B7" w:rsidRPr="005B2CE6">
        <w:rPr>
          <w:rFonts w:cstheme="minorHAnsi"/>
          <w:sz w:val="22"/>
          <w:szCs w:val="22"/>
        </w:rPr>
        <w:t xml:space="preserve"> in the cascade shown in </w:t>
      </w:r>
      <w:r w:rsidR="00A872B7" w:rsidRPr="005B2CE6">
        <w:rPr>
          <w:rFonts w:cstheme="minorHAnsi"/>
          <w:i/>
          <w:sz w:val="22"/>
          <w:szCs w:val="22"/>
        </w:rPr>
        <w:t>Figure 1</w:t>
      </w:r>
      <w:r w:rsidR="00A872B7" w:rsidRPr="005B2CE6">
        <w:rPr>
          <w:rFonts w:cstheme="minorHAnsi"/>
          <w:sz w:val="22"/>
          <w:szCs w:val="22"/>
        </w:rPr>
        <w:t xml:space="preserve">. </w:t>
      </w:r>
      <w:r w:rsidR="00091375" w:rsidRPr="005B2CE6">
        <w:rPr>
          <w:rFonts w:cstheme="minorHAnsi"/>
          <w:sz w:val="22"/>
          <w:szCs w:val="22"/>
        </w:rPr>
        <w:t>If acute stress persists</w:t>
      </w:r>
      <w:r w:rsidR="0060128E" w:rsidRPr="005B2CE6">
        <w:rPr>
          <w:rFonts w:cstheme="minorHAnsi"/>
          <w:sz w:val="22"/>
          <w:szCs w:val="22"/>
        </w:rPr>
        <w:t xml:space="preserve">, </w:t>
      </w:r>
      <w:r w:rsidR="00091375" w:rsidRPr="005B2CE6">
        <w:rPr>
          <w:rFonts w:cstheme="minorHAnsi"/>
          <w:sz w:val="22"/>
          <w:szCs w:val="22"/>
        </w:rPr>
        <w:t>th</w:t>
      </w:r>
      <w:r w:rsidR="0060128E" w:rsidRPr="005B2CE6">
        <w:rPr>
          <w:rFonts w:cstheme="minorHAnsi"/>
          <w:sz w:val="22"/>
          <w:szCs w:val="22"/>
        </w:rPr>
        <w:t>is leads to chronic stress whereby cortisol/corticosterone levels remain elevated</w:t>
      </w:r>
      <w:r w:rsidR="007C37F1">
        <w:rPr>
          <w:rFonts w:cstheme="minorHAnsi"/>
          <w:sz w:val="22"/>
          <w:szCs w:val="22"/>
        </w:rPr>
        <w:t xml:space="preserve"> </w:t>
      </w:r>
      <w:r w:rsidR="00746770" w:rsidRPr="005B2CE6">
        <w:rPr>
          <w:rFonts w:cstheme="minorHAnsi"/>
          <w:sz w:val="22"/>
          <w:szCs w:val="22"/>
        </w:rPr>
        <w:fldChar w:fldCharType="begin"/>
      </w:r>
      <w:r w:rsidR="00746770" w:rsidRPr="005B2CE6">
        <w:rPr>
          <w:rFonts w:cstheme="minorHAnsi"/>
          <w:sz w:val="22"/>
          <w:szCs w:val="22"/>
        </w:rPr>
        <w:instrText xml:space="preserve"> NOTEREF _Ref17031115 \f \h </w:instrText>
      </w:r>
      <w:r w:rsidR="00746770" w:rsidRPr="005B2CE6">
        <w:rPr>
          <w:rFonts w:cstheme="minorHAnsi"/>
          <w:sz w:val="22"/>
          <w:szCs w:val="22"/>
        </w:rPr>
      </w:r>
      <w:r w:rsidR="005B2CE6" w:rsidRPr="005B2CE6">
        <w:rPr>
          <w:rFonts w:cstheme="minorHAnsi"/>
          <w:sz w:val="22"/>
          <w:szCs w:val="22"/>
        </w:rPr>
        <w:instrText xml:space="preserve"> \* MERGEFORMAT </w:instrText>
      </w:r>
      <w:r w:rsidR="00746770" w:rsidRPr="005B2CE6">
        <w:rPr>
          <w:rFonts w:cstheme="minorHAnsi"/>
          <w:sz w:val="22"/>
          <w:szCs w:val="22"/>
        </w:rPr>
        <w:fldChar w:fldCharType="separate"/>
      </w:r>
      <w:r w:rsidR="00746770" w:rsidRPr="005B2CE6">
        <w:rPr>
          <w:rStyle w:val="FootnoteReference"/>
          <w:rFonts w:cstheme="minorHAnsi"/>
          <w:sz w:val="22"/>
          <w:szCs w:val="22"/>
        </w:rPr>
        <w:t>1</w:t>
      </w:r>
      <w:r w:rsidR="00746770" w:rsidRPr="005B2CE6">
        <w:rPr>
          <w:rFonts w:cstheme="minorHAnsi"/>
          <w:sz w:val="22"/>
          <w:szCs w:val="22"/>
        </w:rPr>
        <w:fldChar w:fldCharType="end"/>
      </w:r>
      <w:r w:rsidR="000150C7" w:rsidRPr="005B2CE6">
        <w:rPr>
          <w:rFonts w:cstheme="minorHAnsi"/>
          <w:sz w:val="22"/>
          <w:szCs w:val="22"/>
        </w:rPr>
        <w:t xml:space="preserve"> </w:t>
      </w:r>
      <w:r w:rsidR="000150C7" w:rsidRPr="005B2CE6">
        <w:rPr>
          <w:rFonts w:cstheme="minorHAnsi"/>
          <w:sz w:val="22"/>
          <w:szCs w:val="22"/>
        </w:rPr>
        <w:fldChar w:fldCharType="begin" w:fldLock="1"/>
      </w:r>
      <w:r w:rsidR="00A3380A">
        <w:rPr>
          <w:rFonts w:cstheme="minorHAnsi"/>
          <w:sz w:val="22"/>
          <w:szCs w:val="22"/>
        </w:rPr>
        <w:instrText>ADDIN CSL_CITATION {"citationItems":[{"id":"ITEM-1","itemData":{"ISSN":"2168-3492","PMID":"23584113","abstract":"Stress has long been suggested to be an important correlate of uncontrolled drinking and relapse. An important hormonal response system to stress-the hypothalamic-pituitary-adrenal (HPA) axis-may be involved in this process, particularly stress hormones known as glucocorticoids and primarily cortisol. The actions of this hormone system normally are tightly regulated to ensure that the body can respond quickly to stressful events and return to a normal state just as rapidly. The main determinants of HPA axis activity are genetic background, early-life environment, and current life stress. Alterations in HPA axis regulation are associated with problematic alcohol use and dependence; however, the nature of this dysregulation appears to vary with respect to stage of alcohol dependence. Much of this research has focused specifically on the role of cortisol in the risk for, development of, and relapse to chronic alcohol use. These studies found that cortisol can interact with the brain's reward system, which may contribute to alcohol's reinforcing effects. Cortisol also can influence a person's cognitive processes, promoting habit-based learning, which may contribute to habit formation and risk of relapse. Finally, cortisol levels during abstinence may be useful clinical indicators of relapse vulnerability in alcohol-dependent people.","author":[{"dropping-particle":"","family":"Stephens","given":"Mary Ann C","non-dropping-particle":"","parse-names":false,"suffix":""},{"dropping-particle":"","family":"Wand","given":"Gary","non-dropping-particle":"","parse-names":false,"suffix":""}],"container-title":"Alcohol research : current reviews","id":"ITEM-1","issue":"4","issued":{"date-parts":[["2012"]]},"page":"468-83","publisher":"National Institute on Alcohol Abuse and Alcoholism","title":"Stress and the HPA axis: role of glucocorticoids in alcohol dependence.","type":"article-journal","volume":"34"},"uris":["http://www.mendeley.com/documents/?uuid=688ab10f-4d76-388e-9612-fb1561774ba5"]}],"mendeley":{"formattedCitation":"(Stephens &amp; Wand, 2012)","plainTextFormattedCitation":"(Stephens &amp; Wand, 2012)","previouslyFormattedCitation":"(Stephens &amp; Wand, 2012)"},"properties":{"noteIndex":0},"schema":"https://github.com/citation-style-language/schema/raw/master/csl-citation.json"}</w:instrText>
      </w:r>
      <w:r w:rsidR="000150C7" w:rsidRPr="005B2CE6">
        <w:rPr>
          <w:rFonts w:cstheme="minorHAnsi"/>
          <w:sz w:val="22"/>
          <w:szCs w:val="22"/>
        </w:rPr>
        <w:fldChar w:fldCharType="separate"/>
      </w:r>
      <w:r w:rsidR="000150C7" w:rsidRPr="005B2CE6">
        <w:rPr>
          <w:rFonts w:cstheme="minorHAnsi"/>
          <w:noProof/>
          <w:sz w:val="22"/>
          <w:szCs w:val="22"/>
        </w:rPr>
        <w:t>(Stephens &amp; Wand, 2012)</w:t>
      </w:r>
      <w:r w:rsidR="000150C7" w:rsidRPr="005B2CE6">
        <w:rPr>
          <w:rFonts w:cstheme="minorHAnsi"/>
          <w:sz w:val="22"/>
          <w:szCs w:val="22"/>
        </w:rPr>
        <w:fldChar w:fldCharType="end"/>
      </w:r>
      <w:r w:rsidR="00746770" w:rsidRPr="005B2CE6">
        <w:rPr>
          <w:rFonts w:cstheme="minorHAnsi"/>
          <w:sz w:val="22"/>
          <w:szCs w:val="22"/>
        </w:rPr>
        <w:t xml:space="preserve">. </w:t>
      </w:r>
    </w:p>
    <w:p w:rsidR="00D01B92" w:rsidRPr="005B2CE6" w:rsidRDefault="00DD26EF" w:rsidP="00A872B7">
      <w:pPr>
        <w:rPr>
          <w:rFonts w:cstheme="minorHAnsi"/>
          <w:sz w:val="22"/>
          <w:szCs w:val="22"/>
        </w:rPr>
      </w:pPr>
      <w:r w:rsidRPr="005B2CE6">
        <w:rPr>
          <w:rFonts w:cstheme="minorHAnsi"/>
          <w:sz w:val="22"/>
          <w:szCs w:val="22"/>
        </w:rPr>
        <w:t>Although the majority of research has focused on glucocorticoid exposure during midgestation</w:t>
      </w:r>
      <w:r w:rsidR="00192012" w:rsidRPr="005B2CE6">
        <w:rPr>
          <w:rFonts w:cstheme="minorHAnsi"/>
          <w:sz w:val="22"/>
          <w:szCs w:val="22"/>
        </w:rPr>
        <w:t>,</w:t>
      </w:r>
      <w:r w:rsidR="00CF40E9" w:rsidRPr="005B2CE6">
        <w:rPr>
          <w:rFonts w:cstheme="minorHAnsi"/>
          <w:sz w:val="22"/>
          <w:szCs w:val="22"/>
        </w:rPr>
        <w:t xml:space="preserve"> long after placental development is complete,</w:t>
      </w:r>
      <w:r w:rsidR="00192012" w:rsidRPr="005B2CE6">
        <w:rPr>
          <w:rFonts w:cstheme="minorHAnsi"/>
          <w:sz w:val="22"/>
          <w:szCs w:val="22"/>
        </w:rPr>
        <w:t xml:space="preserve"> the majority of research has failed to address lifestyle stressors that pregnant women may encounter like low socioeconomic status, institutional racism, shootings, and other traumatizing events. Institutional racism and the events of 9/11</w:t>
      </w:r>
      <w:r w:rsidR="00CF40E9" w:rsidRPr="005B2CE6">
        <w:rPr>
          <w:rFonts w:cstheme="minorHAnsi"/>
          <w:sz w:val="22"/>
          <w:szCs w:val="22"/>
        </w:rPr>
        <w:t xml:space="preserve"> in New York City</w:t>
      </w:r>
      <w:r w:rsidR="00192012" w:rsidRPr="005B2CE6">
        <w:rPr>
          <w:rFonts w:cstheme="minorHAnsi"/>
          <w:sz w:val="22"/>
          <w:szCs w:val="22"/>
        </w:rPr>
        <w:t xml:space="preserve"> caused reductions in birthweight</w:t>
      </w:r>
      <w:r w:rsidR="00473AD2" w:rsidRPr="005B2CE6">
        <w:rPr>
          <w:rFonts w:cstheme="minorHAnsi"/>
          <w:sz w:val="22"/>
          <w:szCs w:val="22"/>
        </w:rPr>
        <w:t xml:space="preserve"> </w:t>
      </w:r>
      <w:r w:rsidR="00D01B92" w:rsidRPr="005B2CE6">
        <w:rPr>
          <w:rFonts w:cstheme="minorHAnsi"/>
          <w:sz w:val="22"/>
          <w:szCs w:val="22"/>
        </w:rPr>
        <w:fldChar w:fldCharType="begin" w:fldLock="1"/>
      </w:r>
      <w:r w:rsidR="00450AB5" w:rsidRPr="005B2CE6">
        <w:rPr>
          <w:rFonts w:cstheme="minorHAnsi"/>
          <w:sz w:val="22"/>
          <w:szCs w:val="22"/>
        </w:rPr>
        <w:instrText>ADDIN CSL_CITATION {"citationItems":[{"id":"ITEM-1","itemData":{"DOI":"10.2105/ajph.94.12.2132","ISSN":"0090-0036","PMID":"15569965","abstract":"OBJECTIVES We determined whether African American women's lifetime exposure to interpersonal racial discrimination is associated with pregnancy outcomes. METHODS We performed a case-control study among 104 African American women who delivered very low birthweight (&lt;1500 g) preterm (&lt;37 weeks) infants and 208 African American women who delivered non-low-birthweight (&gt;2500 g) term infants in Chicago, Ill. RESULTS The unadjusted and adjusted odds ratio of very low birthweight infants for maternal lifetime exposure to interpersonal racism in 3 or more domains equaled 3.2 (95% confidence intervals=1.5, 6.6) and 2.6 (1.2, 5.3), respectively. This association tended to persist across maternal sociodemographic, biomedical, and behavioral characteristics. CONCLUSIONS The lifelong accumulated experiences of racial discrimination by African American women constitute an independent risk factor for preterm delivery.","author":[{"dropping-particle":"","family":"Collins","given":"James W","non-dropping-particle":"","parse-names":false,"suffix":""},{"dropping-particle":"","family":"David","given":"Richard J","non-dropping-particle":"","parse-names":false,"suffix":""},{"dropping-particle":"","family":"Handler","given":"Arden","non-dropping-particle":"","parse-names":false,"suffix":""},{"dropping-particle":"","family":"Wall","given":"Stephen","non-dropping-particle":"","parse-names":false,"suffix":""},{"dropping-particle":"","family":"Andes","given":"Steven","non-dropping-particle":"","parse-names":false,"suffix":""},{"dropping-particle":"","family":"Andes","given":"Steven","non-dropping-particle":"","parse-names":false,"suffix":""}],"container-title":"American journal of public health","id":"ITEM-1","issue":"12","issued":{"date-parts":[["2004","12"]]},"page":"2132-8","publisher":"American Public Health Association","title":"Very low birthweight in African American infants: the role of maternal exposure to interpersonal racial discrimination.","type":"article-journal","volume":"94"},"uris":["http://www.mendeley.com/documents/?uuid=cc9413a3-5795-39e2-b92d-539bd866ee9d"]},{"id":"ITEM-2","itemData":{"DOI":"10.1093/humrep/dem301","ISSN":"1460-2350","author":[{"dropping-particle":"","family":"Eskenazi","given":"Brenda","non-dropping-particle":"","parse-names":false,"suffix":""},{"dropping-particle":"","family":"Marks","given":"Amy R.","non-dropping-particle":"","parse-names":false,"suffix":""},{"dropping-particle":"","family":"Catalano","given":"Ralph","non-dropping-particle":"","parse-names":false,"suffix":""},{"dropping-particle":"","family":"Bruckner","given":"Tim","non-dropping-particle":"","parse-names":false,"suffix":""},{"dropping-particle":"","family":"Toniolo","given":"Paolo G.","non-dropping-particle":"","parse-names":false,"suffix":""}],"container-title":"Human Reproduction","id":"ITEM-2","issue":"11","issued":{"date-parts":[["2007","11","1"]]},"page":"3013-3020","publisher":"Narnia","title":"Low birthweight in New York city and upstate New York following the events of September 11th","type":"article-journal","volume":"22"},"uris":["http://www.mendeley.com/documents/?uuid=c1034326-38a5-3145-ace3-0ab1ba05e4e9"]}],"mendeley":{"formattedCitation":"(Collins &lt;i&gt;et al.&lt;/i&gt;, 2004; Eskenazi &lt;i&gt;et al.&lt;/i&gt;, 2007)","plainTextFormattedCitation":"(Collins et al., 2004; Eskenazi et al., 2007)","previouslyFormattedCitation":"(Collins &lt;i&gt;et al.&lt;/i&gt;, 2004; Eskenazi &lt;i&gt;et al.&lt;/i&gt;, 2007)"},"properties":{"noteIndex":0},"schema":"https://github.com/citation-style-language/schema/raw/master/csl-citation.json"}</w:instrText>
      </w:r>
      <w:r w:rsidR="00D01B92" w:rsidRPr="005B2CE6">
        <w:rPr>
          <w:rFonts w:cstheme="minorHAnsi"/>
          <w:sz w:val="22"/>
          <w:szCs w:val="22"/>
        </w:rPr>
        <w:fldChar w:fldCharType="separate"/>
      </w:r>
      <w:r w:rsidR="00D01B92" w:rsidRPr="005B2CE6">
        <w:rPr>
          <w:rFonts w:cstheme="minorHAnsi"/>
          <w:noProof/>
          <w:sz w:val="22"/>
          <w:szCs w:val="22"/>
        </w:rPr>
        <w:t xml:space="preserve">(Collins </w:t>
      </w:r>
      <w:r w:rsidR="00D01B92" w:rsidRPr="005B2CE6">
        <w:rPr>
          <w:rFonts w:cstheme="minorHAnsi"/>
          <w:i/>
          <w:noProof/>
          <w:sz w:val="22"/>
          <w:szCs w:val="22"/>
        </w:rPr>
        <w:t>et al.</w:t>
      </w:r>
      <w:r w:rsidR="00D01B92" w:rsidRPr="005B2CE6">
        <w:rPr>
          <w:rFonts w:cstheme="minorHAnsi"/>
          <w:noProof/>
          <w:sz w:val="22"/>
          <w:szCs w:val="22"/>
        </w:rPr>
        <w:t xml:space="preserve">, 2004; Eskenazi </w:t>
      </w:r>
      <w:r w:rsidR="00D01B92" w:rsidRPr="005B2CE6">
        <w:rPr>
          <w:rFonts w:cstheme="minorHAnsi"/>
          <w:i/>
          <w:noProof/>
          <w:sz w:val="22"/>
          <w:szCs w:val="22"/>
        </w:rPr>
        <w:t>et al.</w:t>
      </w:r>
      <w:r w:rsidR="00D01B92" w:rsidRPr="005B2CE6">
        <w:rPr>
          <w:rFonts w:cstheme="minorHAnsi"/>
          <w:noProof/>
          <w:sz w:val="22"/>
          <w:szCs w:val="22"/>
        </w:rPr>
        <w:t>, 2007)</w:t>
      </w:r>
      <w:r w:rsidR="00D01B92" w:rsidRPr="005B2CE6">
        <w:rPr>
          <w:rFonts w:cstheme="minorHAnsi"/>
          <w:sz w:val="22"/>
          <w:szCs w:val="22"/>
        </w:rPr>
        <w:fldChar w:fldCharType="end"/>
      </w:r>
      <w:r w:rsidR="00192012" w:rsidRPr="005B2CE6">
        <w:rPr>
          <w:rFonts w:cstheme="minorHAnsi"/>
          <w:sz w:val="22"/>
          <w:szCs w:val="22"/>
        </w:rPr>
        <w:t xml:space="preserve">. As these </w:t>
      </w:r>
      <w:r w:rsidR="00CF40E9" w:rsidRPr="005B2CE6">
        <w:rPr>
          <w:rFonts w:cstheme="minorHAnsi"/>
          <w:sz w:val="22"/>
          <w:szCs w:val="22"/>
        </w:rPr>
        <w:t xml:space="preserve">prolonged stressful </w:t>
      </w:r>
      <w:r w:rsidR="00192012" w:rsidRPr="005B2CE6">
        <w:rPr>
          <w:rFonts w:cstheme="minorHAnsi"/>
          <w:sz w:val="22"/>
          <w:szCs w:val="22"/>
        </w:rPr>
        <w:t xml:space="preserve">events are not yet explored in animal models, the mechanisms of action by which stress influences </w:t>
      </w:r>
      <w:r w:rsidR="00D01B92" w:rsidRPr="005B2CE6">
        <w:rPr>
          <w:rFonts w:cstheme="minorHAnsi"/>
          <w:sz w:val="22"/>
          <w:szCs w:val="22"/>
        </w:rPr>
        <w:t xml:space="preserve">placental </w:t>
      </w:r>
      <w:r w:rsidR="00192012" w:rsidRPr="005B2CE6">
        <w:rPr>
          <w:rFonts w:cstheme="minorHAnsi"/>
          <w:sz w:val="22"/>
          <w:szCs w:val="22"/>
        </w:rPr>
        <w:t>development are not understood.</w:t>
      </w:r>
      <w:r w:rsidR="00CF40E9" w:rsidRPr="005B2CE6">
        <w:rPr>
          <w:rFonts w:cstheme="minorHAnsi"/>
          <w:sz w:val="22"/>
          <w:szCs w:val="22"/>
        </w:rPr>
        <w:t xml:space="preserve"> Furthermore, glucocorticoid exposure during lactation is scarcely studied. </w:t>
      </w:r>
    </w:p>
    <w:p w:rsidR="00DD26EF" w:rsidRPr="005B2CE6" w:rsidRDefault="007E1DAE" w:rsidP="00A872B7">
      <w:pPr>
        <w:rPr>
          <w:rFonts w:cstheme="minorHAnsi"/>
          <w:sz w:val="22"/>
          <w:szCs w:val="22"/>
        </w:rPr>
      </w:pPr>
      <w:r w:rsidRPr="005B2CE6">
        <w:rPr>
          <w:rFonts w:cstheme="minorHAnsi"/>
          <w:sz w:val="22"/>
          <w:szCs w:val="22"/>
        </w:rPr>
        <w:t xml:space="preserve">Dexamethasone is used in our models since it is a </w:t>
      </w:r>
      <w:r w:rsidR="00801534" w:rsidRPr="005B2CE6">
        <w:rPr>
          <w:rFonts w:cstheme="minorHAnsi"/>
          <w:sz w:val="22"/>
          <w:szCs w:val="22"/>
        </w:rPr>
        <w:t xml:space="preserve">potent </w:t>
      </w:r>
      <w:r w:rsidRPr="005B2CE6">
        <w:rPr>
          <w:rFonts w:cstheme="minorHAnsi"/>
          <w:sz w:val="22"/>
          <w:szCs w:val="22"/>
        </w:rPr>
        <w:t xml:space="preserve">synthetic </w:t>
      </w:r>
      <w:r w:rsidR="002D4A44" w:rsidRPr="005B2CE6">
        <w:rPr>
          <w:rFonts w:cstheme="minorHAnsi"/>
          <w:sz w:val="22"/>
          <w:szCs w:val="22"/>
        </w:rPr>
        <w:t>glucocorticoid that replaces endogenous cortisol/corticosterone levels. When given at our dose of 1mg/kg/day, dexamethasone causes a state of elevated glucocorticoids</w:t>
      </w:r>
      <w:r w:rsidR="00450AB5" w:rsidRPr="005B2CE6">
        <w:rPr>
          <w:rFonts w:cstheme="minorHAnsi"/>
          <w:sz w:val="22"/>
          <w:szCs w:val="22"/>
        </w:rPr>
        <w:t xml:space="preserve"> and mimics a state of stress </w:t>
      </w:r>
      <w:r w:rsidR="00450AB5" w:rsidRPr="005B2CE6">
        <w:rPr>
          <w:rFonts w:cstheme="minorHAnsi"/>
          <w:sz w:val="22"/>
          <w:szCs w:val="22"/>
        </w:rPr>
        <w:fldChar w:fldCharType="begin" w:fldLock="1"/>
      </w:r>
      <w:r w:rsidR="000150C7" w:rsidRPr="005B2CE6">
        <w:rPr>
          <w:rFonts w:cstheme="minorHAnsi"/>
          <w:sz w:val="22"/>
          <w:szCs w:val="22"/>
        </w:rPr>
        <w:instrText>ADDIN CSL_CITATION {"citationItems":[{"id":"ITEM-1","itemData":{"abstract":"(1973). Archives of Disease in Childhood, 48, 519. Growth of suckling rats after treatment with dexamethasone or cortisol: implications for steroid therapy in human infants. Immature rats were treated with a single dose of dexamethasone (1 mg/kg or 20 mg/kg body weight). At both dose levels the subsequent growth of whole body, brain, and thymus was markedly impaired. Cortisol had smaller but similar effects. These results are discussed in the context of possible glucocorticoid therapy in newborn infants.","author":[{"dropping-particle":"","family":"Souza","given":"S W","non-dropping-particle":"De","parse-names":false,"suffix":""},{"dropping-particle":"","family":"F Adlard","given":"B P","non-dropping-particle":"","parse-names":false,"suffix":""},{"dropping-particle":"","family":"Souza","given":"De","non-dropping-particle":"","parse-names":false,"suffix":""}],"container-title":"Archives of Disease in Childhood","id":"ITEM-1","issued":{"date-parts":[["1973"]]},"number-of-pages":"519","title":"Growth of suckling rats after treatment with dexamethasone or cortisol Implications for steroid therapy in human infants","type":"report"},"uris":["http://www.mendeley.com/documents/?uuid=26ffa273-710b-32dd-b91c-2b0d28aaee46"]}],"mendeley":{"formattedCitation":"(De Souza &lt;i&gt;et al.&lt;/i&gt;, 1973)","plainTextFormattedCitation":"(De Souza et al., 1973)","previouslyFormattedCitation":"(De Souza &lt;i&gt;et al.&lt;/i&gt;, 1973)"},"properties":{"noteIndex":0},"schema":"https://github.com/citation-style-language/schema/raw/master/csl-citation.json"}</w:instrText>
      </w:r>
      <w:r w:rsidR="00450AB5" w:rsidRPr="005B2CE6">
        <w:rPr>
          <w:rFonts w:cstheme="minorHAnsi"/>
          <w:sz w:val="22"/>
          <w:szCs w:val="22"/>
        </w:rPr>
        <w:fldChar w:fldCharType="separate"/>
      </w:r>
      <w:r w:rsidR="00450AB5" w:rsidRPr="005B2CE6">
        <w:rPr>
          <w:rFonts w:cstheme="minorHAnsi"/>
          <w:noProof/>
          <w:sz w:val="22"/>
          <w:szCs w:val="22"/>
        </w:rPr>
        <w:t xml:space="preserve">(De Souza </w:t>
      </w:r>
      <w:r w:rsidR="00450AB5" w:rsidRPr="005B2CE6">
        <w:rPr>
          <w:rFonts w:cstheme="minorHAnsi"/>
          <w:i/>
          <w:noProof/>
          <w:sz w:val="22"/>
          <w:szCs w:val="22"/>
        </w:rPr>
        <w:t>et al.</w:t>
      </w:r>
      <w:r w:rsidR="00450AB5" w:rsidRPr="005B2CE6">
        <w:rPr>
          <w:rFonts w:cstheme="minorHAnsi"/>
          <w:noProof/>
          <w:sz w:val="22"/>
          <w:szCs w:val="22"/>
        </w:rPr>
        <w:t>, 1973)</w:t>
      </w:r>
      <w:r w:rsidR="00450AB5" w:rsidRPr="005B2CE6">
        <w:rPr>
          <w:rFonts w:cstheme="minorHAnsi"/>
          <w:sz w:val="22"/>
          <w:szCs w:val="22"/>
        </w:rPr>
        <w:fldChar w:fldCharType="end"/>
      </w:r>
      <w:r w:rsidR="00450AB5" w:rsidRPr="005B2CE6">
        <w:rPr>
          <w:rFonts w:cstheme="minorHAnsi"/>
          <w:sz w:val="22"/>
          <w:szCs w:val="22"/>
        </w:rPr>
        <w:t xml:space="preserve">. </w:t>
      </w:r>
      <w:r w:rsidR="00CF40E9" w:rsidRPr="005B2CE6">
        <w:rPr>
          <w:rFonts w:cstheme="minorHAnsi"/>
          <w:sz w:val="22"/>
          <w:szCs w:val="22"/>
        </w:rPr>
        <w:t xml:space="preserve">My aim is to determine the </w:t>
      </w:r>
      <w:r w:rsidR="00D01B92" w:rsidRPr="005B2CE6">
        <w:rPr>
          <w:rFonts w:cstheme="minorHAnsi"/>
          <w:sz w:val="22"/>
          <w:szCs w:val="22"/>
        </w:rPr>
        <w:t xml:space="preserve">exact </w:t>
      </w:r>
      <w:r w:rsidR="00CF40E9" w:rsidRPr="005B2CE6">
        <w:rPr>
          <w:rFonts w:cstheme="minorHAnsi"/>
          <w:sz w:val="22"/>
          <w:szCs w:val="22"/>
        </w:rPr>
        <w:t xml:space="preserve">mechanisms by which </w:t>
      </w:r>
      <w:r w:rsidR="00994E35" w:rsidRPr="005B2CE6">
        <w:rPr>
          <w:rFonts w:cstheme="minorHAnsi"/>
          <w:sz w:val="22"/>
          <w:szCs w:val="22"/>
        </w:rPr>
        <w:t xml:space="preserve">dexamethasone, a </w:t>
      </w:r>
      <w:r w:rsidR="006B7F19" w:rsidRPr="005B2CE6">
        <w:rPr>
          <w:rFonts w:cstheme="minorHAnsi"/>
          <w:sz w:val="22"/>
          <w:szCs w:val="22"/>
        </w:rPr>
        <w:t>potent s</w:t>
      </w:r>
      <w:r w:rsidR="00994E35" w:rsidRPr="005B2CE6">
        <w:rPr>
          <w:rFonts w:cstheme="minorHAnsi"/>
          <w:sz w:val="22"/>
          <w:szCs w:val="22"/>
        </w:rPr>
        <w:t xml:space="preserve">ynthetic cortisol substrate used to mimic chronic stress, </w:t>
      </w:r>
      <w:r w:rsidR="00CF40E9" w:rsidRPr="005B2CE6">
        <w:rPr>
          <w:rFonts w:cstheme="minorHAnsi"/>
          <w:sz w:val="22"/>
          <w:szCs w:val="22"/>
        </w:rPr>
        <w:t xml:space="preserve">affects placentation prior to the </w:t>
      </w:r>
      <w:r w:rsidR="00967866" w:rsidRPr="005B2CE6">
        <w:rPr>
          <w:rFonts w:cstheme="minorHAnsi"/>
          <w:sz w:val="22"/>
          <w:szCs w:val="22"/>
        </w:rPr>
        <w:t xml:space="preserve">full </w:t>
      </w:r>
      <w:r w:rsidR="00CF40E9" w:rsidRPr="005B2CE6">
        <w:rPr>
          <w:rFonts w:cstheme="minorHAnsi"/>
          <w:sz w:val="22"/>
          <w:szCs w:val="22"/>
        </w:rPr>
        <w:t xml:space="preserve">development of the placenta and </w:t>
      </w:r>
      <w:r w:rsidR="00352437" w:rsidRPr="005B2CE6">
        <w:rPr>
          <w:rFonts w:cstheme="minorHAnsi"/>
          <w:sz w:val="22"/>
          <w:szCs w:val="22"/>
        </w:rPr>
        <w:t>their</w:t>
      </w:r>
      <w:r w:rsidR="00CF40E9" w:rsidRPr="005B2CE6">
        <w:rPr>
          <w:rFonts w:cstheme="minorHAnsi"/>
          <w:sz w:val="22"/>
          <w:szCs w:val="22"/>
        </w:rPr>
        <w:t xml:space="preserve"> effect on mammary gland function. </w:t>
      </w:r>
      <w:r w:rsidR="00D01B92" w:rsidRPr="005B2CE6">
        <w:rPr>
          <w:rFonts w:cstheme="minorHAnsi"/>
          <w:sz w:val="22"/>
          <w:szCs w:val="22"/>
        </w:rPr>
        <w:t>Based on our results that will examine the mechanisms</w:t>
      </w:r>
      <w:r w:rsidR="00504D82" w:rsidRPr="005B2CE6">
        <w:rPr>
          <w:rFonts w:cstheme="minorHAnsi"/>
          <w:sz w:val="22"/>
          <w:szCs w:val="22"/>
        </w:rPr>
        <w:t xml:space="preserve">, </w:t>
      </w:r>
      <w:r w:rsidR="00D01B92" w:rsidRPr="005B2CE6">
        <w:rPr>
          <w:rFonts w:cstheme="minorHAnsi"/>
          <w:sz w:val="22"/>
          <w:szCs w:val="22"/>
        </w:rPr>
        <w:t xml:space="preserve">our data can further be </w:t>
      </w:r>
      <w:r w:rsidR="00504D82" w:rsidRPr="005B2CE6">
        <w:rPr>
          <w:rFonts w:cstheme="minorHAnsi"/>
          <w:sz w:val="22"/>
          <w:szCs w:val="22"/>
        </w:rPr>
        <w:t>used t</w:t>
      </w:r>
      <w:r w:rsidR="00D01B92" w:rsidRPr="005B2CE6">
        <w:rPr>
          <w:rFonts w:cstheme="minorHAnsi"/>
          <w:sz w:val="22"/>
          <w:szCs w:val="22"/>
        </w:rPr>
        <w:t xml:space="preserve">o </w:t>
      </w:r>
      <w:r w:rsidR="00504D82" w:rsidRPr="005B2CE6">
        <w:rPr>
          <w:rFonts w:cstheme="minorHAnsi"/>
          <w:sz w:val="22"/>
          <w:szCs w:val="22"/>
        </w:rPr>
        <w:t>better understand</w:t>
      </w:r>
      <w:r w:rsidR="00D01B92" w:rsidRPr="005B2CE6">
        <w:rPr>
          <w:rFonts w:cstheme="minorHAnsi"/>
          <w:sz w:val="22"/>
          <w:szCs w:val="22"/>
        </w:rPr>
        <w:t xml:space="preserve"> the effect of stressors during different timepoints in early life. </w:t>
      </w:r>
    </w:p>
    <w:p w:rsidR="007C6D87" w:rsidRPr="005B2CE6" w:rsidRDefault="007C6D87" w:rsidP="00A872B7">
      <w:pPr>
        <w:rPr>
          <w:rFonts w:cstheme="minorHAnsi"/>
          <w:sz w:val="22"/>
          <w:szCs w:val="22"/>
        </w:rPr>
      </w:pPr>
    </w:p>
    <w:p w:rsidR="00091375" w:rsidRPr="005B2CE6" w:rsidRDefault="00091375" w:rsidP="00091375">
      <w:pPr>
        <w:pStyle w:val="Heading2"/>
        <w:rPr>
          <w:rFonts w:asciiTheme="minorHAnsi" w:hAnsiTheme="minorHAnsi" w:cstheme="minorHAnsi"/>
          <w:vertAlign w:val="superscript"/>
        </w:rPr>
      </w:pPr>
      <w:r w:rsidRPr="005B2CE6">
        <w:rPr>
          <w:rFonts w:asciiTheme="minorHAnsi" w:hAnsiTheme="minorHAnsi" w:cstheme="minorHAnsi"/>
        </w:rPr>
        <w:t>Figure 1: the HPA axis from “Know your brain: HPA</w:t>
      </w:r>
      <w:r w:rsidR="00743FAF" w:rsidRPr="005B2CE6">
        <w:rPr>
          <w:rFonts w:asciiTheme="minorHAnsi" w:hAnsiTheme="minorHAnsi" w:cstheme="minorHAnsi"/>
        </w:rPr>
        <w:t xml:space="preserve"> axis”</w:t>
      </w:r>
      <w:r w:rsidR="00BB4171" w:rsidRPr="005B2CE6">
        <w:rPr>
          <w:rFonts w:asciiTheme="minorHAnsi" w:hAnsiTheme="minorHAnsi" w:cstheme="minorHAnsi"/>
        </w:rPr>
        <w:t>, 2014</w:t>
      </w:r>
      <w:r w:rsidR="007C37F1">
        <w:rPr>
          <w:rFonts w:asciiTheme="minorHAnsi" w:hAnsiTheme="minorHAnsi" w:cstheme="minorHAnsi"/>
        </w:rPr>
        <w:t xml:space="preserve"> </w:t>
      </w:r>
      <w:r w:rsidR="00E75EE7" w:rsidRPr="005B2CE6">
        <w:rPr>
          <w:rStyle w:val="FootnoteReference"/>
          <w:rFonts w:asciiTheme="minorHAnsi" w:hAnsiTheme="minorHAnsi" w:cstheme="minorHAnsi"/>
        </w:rPr>
        <w:footnoteReference w:id="2"/>
      </w:r>
    </w:p>
    <w:p w:rsidR="000150C7" w:rsidRPr="005B2CE6" w:rsidRDefault="00091375" w:rsidP="00A872B7">
      <w:pPr>
        <w:rPr>
          <w:rFonts w:cstheme="minorHAnsi"/>
          <w:sz w:val="22"/>
          <w:szCs w:val="22"/>
        </w:rPr>
      </w:pPr>
      <w:r w:rsidRPr="005B2CE6">
        <w:rPr>
          <w:rFonts w:cstheme="minorHAnsi"/>
          <w:noProof/>
          <w:sz w:val="22"/>
          <w:szCs w:val="22"/>
        </w:rPr>
        <w:drawing>
          <wp:inline distT="0" distB="0" distL="0" distR="0">
            <wp:extent cx="2768600" cy="2354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A axis Fig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241" cy="2369012"/>
                    </a:xfrm>
                    <a:prstGeom prst="rect">
                      <a:avLst/>
                    </a:prstGeom>
                  </pic:spPr>
                </pic:pic>
              </a:graphicData>
            </a:graphic>
          </wp:inline>
        </w:drawing>
      </w:r>
    </w:p>
    <w:p w:rsidR="00967866" w:rsidRPr="005B2CE6" w:rsidRDefault="00967866" w:rsidP="00A872B7">
      <w:pPr>
        <w:rPr>
          <w:rFonts w:cstheme="minorHAnsi"/>
          <w:sz w:val="22"/>
          <w:szCs w:val="22"/>
        </w:rPr>
      </w:pPr>
    </w:p>
    <w:p w:rsidR="00646440" w:rsidRPr="005B2CE6" w:rsidRDefault="00646440" w:rsidP="00646440">
      <w:pPr>
        <w:pStyle w:val="Heading1"/>
        <w:rPr>
          <w:rFonts w:asciiTheme="minorHAnsi" w:hAnsiTheme="minorHAnsi" w:cstheme="minorHAnsi"/>
        </w:rPr>
      </w:pPr>
      <w:r w:rsidRPr="005B2CE6">
        <w:rPr>
          <w:rFonts w:asciiTheme="minorHAnsi" w:hAnsiTheme="minorHAnsi" w:cstheme="minorHAnsi"/>
        </w:rPr>
        <w:lastRenderedPageBreak/>
        <w:t>mTORC1 Hyperactivation as a Model of Obesity</w:t>
      </w:r>
    </w:p>
    <w:p w:rsidR="00967866" w:rsidRPr="005B2CE6" w:rsidRDefault="00967866" w:rsidP="00967866">
      <w:pPr>
        <w:pStyle w:val="Heading2"/>
        <w:rPr>
          <w:rFonts w:asciiTheme="minorHAnsi" w:hAnsiTheme="minorHAnsi" w:cstheme="minorHAnsi"/>
        </w:rPr>
      </w:pPr>
      <w:r w:rsidRPr="005B2CE6">
        <w:rPr>
          <w:rFonts w:asciiTheme="minorHAnsi" w:hAnsiTheme="minorHAnsi" w:cstheme="minorHAnsi"/>
        </w:rPr>
        <w:t>Placental mTORC1</w:t>
      </w:r>
    </w:p>
    <w:p w:rsidR="00646440" w:rsidRPr="005B2CE6" w:rsidRDefault="00967866" w:rsidP="00A872B7">
      <w:pPr>
        <w:rPr>
          <w:rFonts w:cstheme="minorHAnsi"/>
          <w:sz w:val="22"/>
          <w:szCs w:val="22"/>
        </w:rPr>
      </w:pPr>
      <w:r w:rsidRPr="005B2CE6">
        <w:rPr>
          <w:rFonts w:cstheme="minorHAnsi"/>
          <w:sz w:val="22"/>
          <w:szCs w:val="22"/>
        </w:rPr>
        <w:t>Mechanistic target of rapamycin 1 (</w:t>
      </w:r>
      <w:r w:rsidRPr="005B2CE6">
        <w:rPr>
          <w:rFonts w:cstheme="minorHAnsi"/>
          <w:sz w:val="22"/>
          <w:szCs w:val="22"/>
        </w:rPr>
        <w:t>mTORC1</w:t>
      </w:r>
      <w:r w:rsidRPr="005B2CE6">
        <w:rPr>
          <w:rFonts w:cstheme="minorHAnsi"/>
          <w:sz w:val="22"/>
          <w:szCs w:val="22"/>
        </w:rPr>
        <w:t>)</w:t>
      </w:r>
      <w:r w:rsidRPr="005B2CE6">
        <w:rPr>
          <w:rFonts w:cstheme="minorHAnsi"/>
          <w:sz w:val="22"/>
          <w:szCs w:val="22"/>
        </w:rPr>
        <w:t xml:space="preserve"> is a crucial nutrient sensor that plays a role in integrating maternal and fetal signals to ensure adequate nutrient transport to the fetus through the placenta </w:t>
      </w:r>
      <w:r w:rsidRPr="005B2CE6">
        <w:rPr>
          <w:rFonts w:cstheme="minorHAnsi"/>
          <w:sz w:val="22"/>
          <w:szCs w:val="22"/>
        </w:rPr>
        <w:fldChar w:fldCharType="begin" w:fldLock="1"/>
      </w:r>
      <w:r w:rsidRPr="005B2CE6">
        <w:rPr>
          <w:rFonts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5B2CE6">
        <w:rPr>
          <w:rFonts w:cstheme="minorHAnsi"/>
          <w:sz w:val="22"/>
          <w:szCs w:val="22"/>
        </w:rPr>
        <w:fldChar w:fldCharType="separate"/>
      </w:r>
      <w:r w:rsidRPr="005B2CE6">
        <w:rPr>
          <w:rFonts w:cstheme="minorHAnsi"/>
          <w:noProof/>
          <w:sz w:val="22"/>
          <w:szCs w:val="22"/>
        </w:rPr>
        <w:t xml:space="preserve">(Wen </w:t>
      </w:r>
      <w:r w:rsidRPr="005B2CE6">
        <w:rPr>
          <w:rFonts w:cstheme="minorHAnsi"/>
          <w:i/>
          <w:noProof/>
          <w:sz w:val="22"/>
          <w:szCs w:val="22"/>
        </w:rPr>
        <w:t>et al.</w:t>
      </w:r>
      <w:r w:rsidRPr="005B2CE6">
        <w:rPr>
          <w:rFonts w:cstheme="minorHAnsi"/>
          <w:noProof/>
          <w:sz w:val="22"/>
          <w:szCs w:val="22"/>
        </w:rPr>
        <w:t xml:space="preserve">, 2005; Roos </w:t>
      </w:r>
      <w:r w:rsidRPr="005B2CE6">
        <w:rPr>
          <w:rFonts w:cstheme="minorHAnsi"/>
          <w:i/>
          <w:noProof/>
          <w:sz w:val="22"/>
          <w:szCs w:val="22"/>
        </w:rPr>
        <w:t>et al.</w:t>
      </w:r>
      <w:r w:rsidRPr="005B2CE6">
        <w:rPr>
          <w:rFonts w:cstheme="minorHAnsi"/>
          <w:noProof/>
          <w:sz w:val="22"/>
          <w:szCs w:val="22"/>
        </w:rPr>
        <w:t xml:space="preserve">, 2007; Mparmpakas </w:t>
      </w:r>
      <w:r w:rsidRPr="005B2CE6">
        <w:rPr>
          <w:rFonts w:cstheme="minorHAnsi"/>
          <w:i/>
          <w:noProof/>
          <w:sz w:val="22"/>
          <w:szCs w:val="22"/>
        </w:rPr>
        <w:t>et al.</w:t>
      </w:r>
      <w:r w:rsidRPr="005B2CE6">
        <w:rPr>
          <w:rFonts w:cstheme="minorHAnsi"/>
          <w:noProof/>
          <w:sz w:val="22"/>
          <w:szCs w:val="22"/>
        </w:rPr>
        <w:t>, 2012; Jansson &amp; Powell, 2013)</w:t>
      </w:r>
      <w:r w:rsidRPr="005B2CE6">
        <w:rPr>
          <w:rFonts w:cstheme="minorHAnsi"/>
          <w:sz w:val="22"/>
          <w:szCs w:val="22"/>
        </w:rPr>
        <w:fldChar w:fldCharType="end"/>
      </w:r>
      <w:r w:rsidRPr="005B2CE6">
        <w:rPr>
          <w:rFonts w:cstheme="minorHAnsi"/>
          <w:sz w:val="22"/>
          <w:szCs w:val="22"/>
        </w:rPr>
        <w:t>.</w:t>
      </w:r>
      <w:r w:rsidR="00062890" w:rsidRPr="005B2CE6">
        <w:rPr>
          <w:rFonts w:cstheme="minorHAnsi"/>
          <w:sz w:val="22"/>
          <w:szCs w:val="22"/>
        </w:rPr>
        <w:t xml:space="preserve"> </w:t>
      </w:r>
      <w:r w:rsidR="00234F67" w:rsidRPr="005B2CE6">
        <w:rPr>
          <w:rFonts w:cstheme="minorHAnsi"/>
          <w:sz w:val="22"/>
          <w:szCs w:val="22"/>
        </w:rPr>
        <w:t>mTORC</w:t>
      </w:r>
      <w:r w:rsidR="00062890" w:rsidRPr="005B2CE6">
        <w:rPr>
          <w:rFonts w:cstheme="minorHAnsi"/>
          <w:sz w:val="22"/>
          <w:szCs w:val="22"/>
        </w:rPr>
        <w:t xml:space="preserve">1 </w:t>
      </w:r>
      <w:r w:rsidR="00234F67" w:rsidRPr="005B2CE6">
        <w:rPr>
          <w:rFonts w:cstheme="minorHAnsi"/>
          <w:sz w:val="22"/>
          <w:szCs w:val="22"/>
        </w:rPr>
        <w:t xml:space="preserve">has been identified as being upregulated in obesity and was implicated </w:t>
      </w:r>
      <w:r w:rsidR="00884848" w:rsidRPr="005B2CE6">
        <w:rPr>
          <w:rFonts w:cstheme="minorHAnsi"/>
          <w:sz w:val="22"/>
          <w:szCs w:val="22"/>
        </w:rPr>
        <w:t>as the main driver of</w:t>
      </w:r>
      <w:r w:rsidR="00234F67" w:rsidRPr="005B2CE6">
        <w:rPr>
          <w:rFonts w:cstheme="minorHAnsi"/>
          <w:sz w:val="22"/>
          <w:szCs w:val="22"/>
        </w:rPr>
        <w:t xml:space="preserve"> offspring phenotype </w:t>
      </w:r>
      <w:r w:rsidR="00884848" w:rsidRPr="005B2CE6">
        <w:rPr>
          <w:rFonts w:cstheme="minorHAnsi"/>
          <w:sz w:val="22"/>
          <w:szCs w:val="22"/>
        </w:rPr>
        <w:t>in maternal obesity</w:t>
      </w:r>
      <w:r w:rsidR="00234F67" w:rsidRPr="005B2CE6">
        <w:rPr>
          <w:rFonts w:cstheme="minorHAnsi"/>
          <w:sz w:val="22"/>
          <w:szCs w:val="22"/>
        </w:rPr>
        <w:t xml:space="preserve"> </w:t>
      </w:r>
      <w:r w:rsidR="00234F67" w:rsidRPr="005B2CE6">
        <w:rPr>
          <w:rFonts w:cstheme="minorHAnsi"/>
          <w:sz w:val="22"/>
          <w:szCs w:val="22"/>
        </w:rPr>
        <w:fldChar w:fldCharType="begin" w:fldLock="1"/>
      </w:r>
      <w:r w:rsidR="00A3380A">
        <w:rPr>
          <w:rFonts w:cstheme="minorHAnsi"/>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sidR="00234F67" w:rsidRPr="005B2CE6">
        <w:rPr>
          <w:rFonts w:cstheme="minorHAnsi"/>
          <w:sz w:val="22"/>
          <w:szCs w:val="22"/>
        </w:rPr>
        <w:fldChar w:fldCharType="separate"/>
      </w:r>
      <w:r w:rsidR="00234F67" w:rsidRPr="005B2CE6">
        <w:rPr>
          <w:rFonts w:cstheme="minorHAnsi"/>
          <w:noProof/>
          <w:sz w:val="22"/>
          <w:szCs w:val="22"/>
        </w:rPr>
        <w:t xml:space="preserve">(Jansson </w:t>
      </w:r>
      <w:r w:rsidR="00234F67" w:rsidRPr="005B2CE6">
        <w:rPr>
          <w:rFonts w:cstheme="minorHAnsi"/>
          <w:i/>
          <w:noProof/>
          <w:sz w:val="22"/>
          <w:szCs w:val="22"/>
        </w:rPr>
        <w:t>et al.</w:t>
      </w:r>
      <w:r w:rsidR="00234F67" w:rsidRPr="005B2CE6">
        <w:rPr>
          <w:rFonts w:cstheme="minorHAnsi"/>
          <w:noProof/>
          <w:sz w:val="22"/>
          <w:szCs w:val="22"/>
        </w:rPr>
        <w:t>, 2013)</w:t>
      </w:r>
      <w:r w:rsidR="00234F67" w:rsidRPr="005B2CE6">
        <w:rPr>
          <w:rFonts w:cstheme="minorHAnsi"/>
          <w:sz w:val="22"/>
          <w:szCs w:val="22"/>
        </w:rPr>
        <w:fldChar w:fldCharType="end"/>
      </w:r>
      <w:r w:rsidR="00234F67" w:rsidRPr="005B2CE6">
        <w:rPr>
          <w:rFonts w:cstheme="minorHAnsi"/>
          <w:sz w:val="22"/>
          <w:szCs w:val="22"/>
        </w:rPr>
        <w:t xml:space="preserve">. </w:t>
      </w:r>
      <w:r w:rsidR="00234F67" w:rsidRPr="005B2CE6">
        <w:rPr>
          <w:rFonts w:cstheme="minorHAnsi"/>
          <w:sz w:val="22"/>
          <w:szCs w:val="22"/>
        </w:rPr>
        <w:t>My model of mTORC1 hyperactivation in the placenta, allows us to better test the mechanisms by which placental mTORC1 affects placental function and offspring outcome. Furthermore,</w:t>
      </w:r>
      <w:r w:rsidR="006E5C07" w:rsidRPr="005B2CE6">
        <w:rPr>
          <w:rFonts w:cstheme="minorHAnsi"/>
          <w:sz w:val="22"/>
          <w:szCs w:val="22"/>
        </w:rPr>
        <w:t xml:space="preserve"> this model further elucidates exact mechanisms of mTORC1 without the confounding variables </w:t>
      </w:r>
      <w:r w:rsidR="00234F67" w:rsidRPr="005B2CE6">
        <w:rPr>
          <w:rFonts w:cstheme="minorHAnsi"/>
          <w:sz w:val="22"/>
          <w:szCs w:val="22"/>
        </w:rPr>
        <w:t xml:space="preserve">stemming from maternal obesity such as altered insulin sensitivity, glucose homeostasis, adipokine and hormone levels, </w:t>
      </w:r>
      <w:r w:rsidR="00884848" w:rsidRPr="005B2CE6">
        <w:rPr>
          <w:rFonts w:cstheme="minorHAnsi"/>
          <w:sz w:val="22"/>
          <w:szCs w:val="22"/>
        </w:rPr>
        <w:t xml:space="preserve">and inflammatory profile. </w:t>
      </w:r>
      <w:r w:rsidR="006E5C07" w:rsidRPr="005B2CE6">
        <w:rPr>
          <w:rFonts w:cstheme="minorHAnsi"/>
          <w:sz w:val="22"/>
          <w:szCs w:val="22"/>
        </w:rPr>
        <w:t>Strengths: better understand the role of mTORC1 as it has been implicated as the main driver of fetal growth in obesity.</w:t>
      </w:r>
    </w:p>
    <w:p w:rsidR="006E5C07" w:rsidRPr="005B2CE6" w:rsidRDefault="006E5C07" w:rsidP="00646440">
      <w:pPr>
        <w:rPr>
          <w:rFonts w:cstheme="minorHAnsi"/>
        </w:rPr>
      </w:pPr>
    </w:p>
    <w:p w:rsidR="005B2CE6" w:rsidRDefault="005B2CE6" w:rsidP="005B2CE6">
      <w:pPr>
        <w:pStyle w:val="Heading2"/>
        <w:rPr>
          <w:rFonts w:asciiTheme="minorHAnsi" w:hAnsiTheme="minorHAnsi" w:cstheme="minorHAnsi"/>
        </w:rPr>
      </w:pPr>
      <w:r w:rsidRPr="005B2CE6">
        <w:rPr>
          <w:rFonts w:asciiTheme="minorHAnsi" w:hAnsiTheme="minorHAnsi" w:cstheme="minorHAnsi"/>
        </w:rPr>
        <w:t xml:space="preserve">Adipocyte </w:t>
      </w:r>
      <w:r w:rsidRPr="005B2CE6">
        <w:rPr>
          <w:rFonts w:asciiTheme="minorHAnsi" w:hAnsiTheme="minorHAnsi" w:cstheme="minorHAnsi"/>
        </w:rPr>
        <w:t>mTORC1</w:t>
      </w:r>
    </w:p>
    <w:p w:rsidR="00EF2193" w:rsidRPr="001A2A23" w:rsidRDefault="00EF2193" w:rsidP="00EF2193">
      <w:pPr>
        <w:rPr>
          <w:i/>
        </w:rPr>
      </w:pPr>
      <w:r>
        <w:rPr>
          <w:rFonts w:cstheme="minorHAnsi"/>
          <w:sz w:val="22"/>
          <w:szCs w:val="22"/>
        </w:rPr>
        <w:t>mTORC1 is a nutrient sensor and</w:t>
      </w:r>
      <w:r w:rsidRPr="00A6706A">
        <w:rPr>
          <w:rFonts w:cstheme="minorHAnsi"/>
          <w:sz w:val="22"/>
          <w:szCs w:val="22"/>
        </w:rPr>
        <w:t xml:space="preserve"> a main regulator of protein and lipid synthesis </w:t>
      </w:r>
      <w:r w:rsidRPr="00A6706A">
        <w:rPr>
          <w:rFonts w:cstheme="minorHAnsi"/>
          <w:sz w:val="22"/>
          <w:szCs w:val="22"/>
        </w:rPr>
        <w:fldChar w:fldCharType="begin" w:fldLock="1"/>
      </w:r>
      <w:r w:rsidR="00A3380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&amp; Proud, 2006; Cai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w:t>
      </w:r>
      <w:r>
        <w:rPr>
          <w:rFonts w:cstheme="minorHAnsi"/>
          <w:sz w:val="22"/>
          <w:szCs w:val="22"/>
        </w:rPr>
        <w:t xml:space="preserve"> </w:t>
      </w:r>
      <w:r w:rsidRPr="00A6706A">
        <w:rPr>
          <w:rFonts w:cstheme="minorHAnsi"/>
          <w:sz w:val="22"/>
          <w:szCs w:val="22"/>
        </w:rPr>
        <w:t xml:space="preserve">Obesity, identified by having excess fat mass, promotes mTORC1 activity </w:t>
      </w:r>
      <w:r w:rsidRPr="00A6706A">
        <w:rPr>
          <w:rFonts w:cstheme="minorHAnsi"/>
          <w:sz w:val="22"/>
          <w:szCs w:val="22"/>
        </w:rPr>
        <w:fldChar w:fldCharType="begin" w:fldLock="1"/>
      </w:r>
      <w:r w:rsidR="00A3380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(Catania </w:t>
      </w:r>
      <w:r w:rsidRPr="00A6706A">
        <w:rPr>
          <w:rFonts w:cstheme="minorHAnsi"/>
          <w:i/>
          <w:noProof/>
          <w:sz w:val="22"/>
          <w:szCs w:val="22"/>
        </w:rPr>
        <w:t>et al.</w:t>
      </w:r>
      <w:r w:rsidRPr="00A6706A">
        <w:rPr>
          <w:rFonts w:cstheme="minorHAnsi"/>
          <w:noProof/>
          <w:sz w:val="22"/>
          <w:szCs w:val="22"/>
        </w:rPr>
        <w:t>, 2011)</w:t>
      </w:r>
      <w:r w:rsidRPr="00A6706A">
        <w:rPr>
          <w:rFonts w:cstheme="minorHAnsi"/>
          <w:sz w:val="22"/>
          <w:szCs w:val="22"/>
        </w:rPr>
        <w:fldChar w:fldCharType="end"/>
      </w:r>
      <w:r w:rsidRPr="00A6706A">
        <w:rPr>
          <w:rFonts w:cstheme="minorHAnsi"/>
          <w:sz w:val="22"/>
          <w:szCs w:val="22"/>
        </w:rPr>
        <w:t xml:space="preserve">. In obese subjects, gene expression of mTORC1 was upregulated in the visceral fat compartments </w:t>
      </w:r>
      <w:r w:rsidRPr="00A6706A">
        <w:rPr>
          <w:rFonts w:cstheme="minorHAnsi"/>
          <w:sz w:val="22"/>
          <w:szCs w:val="22"/>
        </w:rPr>
        <w:fldChar w:fldCharType="begin" w:fldLock="1"/>
      </w:r>
      <w:r w:rsidR="00A3380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(Catalán </w:t>
      </w:r>
      <w:r w:rsidRPr="00A6706A">
        <w:rPr>
          <w:rFonts w:cstheme="minorHAnsi"/>
          <w:i/>
          <w:noProof/>
          <w:sz w:val="22"/>
          <w:szCs w:val="22"/>
        </w:rPr>
        <w:t>et al.</w:t>
      </w:r>
      <w:r w:rsidRPr="00A6706A">
        <w:rPr>
          <w:rFonts w:cstheme="minorHAnsi"/>
          <w:noProof/>
          <w:sz w:val="22"/>
          <w:szCs w:val="22"/>
        </w:rPr>
        <w:t>, 2015)</w:t>
      </w:r>
      <w:r w:rsidRPr="00A6706A">
        <w:rPr>
          <w:rFonts w:cstheme="minorHAnsi"/>
          <w:sz w:val="22"/>
          <w:szCs w:val="22"/>
        </w:rPr>
        <w:fldChar w:fldCharType="end"/>
      </w:r>
      <w:r w:rsidRPr="00A6706A">
        <w:rPr>
          <w:rFonts w:cstheme="minorHAnsi"/>
          <w:sz w:val="22"/>
          <w:szCs w:val="22"/>
        </w:rPr>
        <w:t>.</w:t>
      </w:r>
      <w:r w:rsidR="001A2A23">
        <w:rPr>
          <w:rFonts w:cstheme="minorHAnsi"/>
          <w:sz w:val="22"/>
          <w:szCs w:val="22"/>
        </w:rPr>
        <w:t xml:space="preserve"> My model of adipocyte mTORC1 hyperactivation mimics the obesogenic environment and better allows us to understand the mechanisms by which milk composition and volume are altered in a nutrient-excess medium with mTORC1 hyperactivation. It is worth noting that our model has mTORC1 hyperactivation in all the adipocytes and not specifically the mammary adipocytes, as no mammary-gland-specific adipocyte driver has been identified yet.</w:t>
      </w:r>
    </w:p>
    <w:p w:rsidR="00EF2193" w:rsidRPr="00EF2193" w:rsidRDefault="00EF2193" w:rsidP="00EF2193"/>
    <w:p w:rsidR="00646440" w:rsidRPr="005B2CE6" w:rsidRDefault="00646440" w:rsidP="00646440">
      <w:pPr>
        <w:pStyle w:val="Heading1"/>
        <w:rPr>
          <w:rFonts w:asciiTheme="minorHAnsi" w:hAnsiTheme="minorHAnsi" w:cstheme="minorHAnsi"/>
        </w:rPr>
      </w:pPr>
      <w:r w:rsidRPr="005B2CE6">
        <w:rPr>
          <w:rFonts w:asciiTheme="minorHAnsi" w:hAnsiTheme="minorHAnsi" w:cstheme="minorHAnsi"/>
        </w:rPr>
        <w:t>Strengths and Limitations of Using M</w:t>
      </w:r>
      <w:r w:rsidR="002E7668">
        <w:rPr>
          <w:rFonts w:asciiTheme="minorHAnsi" w:hAnsiTheme="minorHAnsi" w:cstheme="minorHAnsi"/>
        </w:rPr>
        <w:t>ouse</w:t>
      </w:r>
      <w:r w:rsidRPr="005B2CE6">
        <w:rPr>
          <w:rFonts w:asciiTheme="minorHAnsi" w:hAnsiTheme="minorHAnsi" w:cstheme="minorHAnsi"/>
        </w:rPr>
        <w:t xml:space="preserve"> Model</w:t>
      </w:r>
    </w:p>
    <w:p w:rsidR="00646440" w:rsidRDefault="00646440" w:rsidP="00646440">
      <w:pPr>
        <w:pStyle w:val="Heading2"/>
        <w:rPr>
          <w:rFonts w:asciiTheme="minorHAnsi" w:hAnsiTheme="minorHAnsi" w:cstheme="minorHAnsi"/>
        </w:rPr>
      </w:pPr>
      <w:r w:rsidRPr="005B2CE6">
        <w:rPr>
          <w:rFonts w:asciiTheme="minorHAnsi" w:hAnsiTheme="minorHAnsi" w:cstheme="minorHAnsi"/>
        </w:rPr>
        <w:t>Mice vs Humans</w:t>
      </w:r>
    </w:p>
    <w:p w:rsidR="00D94B2B" w:rsidRDefault="004E3CE5" w:rsidP="00D94B2B">
      <w:r>
        <w:t>Human and mice are both mammals that develop very similarly</w:t>
      </w:r>
      <w:r w:rsidR="0099638B">
        <w:t xml:space="preserve"> </w:t>
      </w:r>
      <w:r w:rsidR="0099638B">
        <w:rPr>
          <w:rStyle w:val="FootnoteReference"/>
        </w:rPr>
        <w:footnoteReference w:id="3"/>
      </w:r>
      <w:r>
        <w:t xml:space="preserve">. </w:t>
      </w:r>
      <w:r w:rsidR="00906D23">
        <w:t xml:space="preserve">The mouse and human genome is </w:t>
      </w:r>
      <w:r w:rsidR="001F4694">
        <w:t xml:space="preserve">also </w:t>
      </w:r>
      <w:r w:rsidR="00906D23">
        <w:t>85% similar</w:t>
      </w:r>
      <w:r w:rsidR="005F163F">
        <w:t xml:space="preserve"> </w:t>
      </w:r>
      <w:r w:rsidR="00F42D08">
        <w:rPr>
          <w:rStyle w:val="FootnoteReference"/>
        </w:rPr>
        <w:footnoteReference w:id="4"/>
      </w:r>
      <w:r w:rsidR="005F163F">
        <w:t xml:space="preserve"> and both mammals share very similar organ and system functions</w:t>
      </w:r>
      <w:r w:rsidR="00E64CAC">
        <w:t xml:space="preserve"> </w:t>
      </w:r>
      <w:r w:rsidR="00E64CAC">
        <w:fldChar w:fldCharType="begin" w:fldLock="1"/>
      </w:r>
      <w:r w:rsidR="00665EE6">
        <w:instrText>ADDIN CSL_CITATION {"citationItems":[{"id":"ITEM-1","itemData":{"DOI":"10.1038/nrc1235","ISSN":"1474-175X","abstract":"Laboratory mice have represented a powerful experimental system for understanding the intricacy of human cancer pathogenesis. Indeed, much of our current conceptualization of how tumorigenesis occurs in humans is strongly influenced by mouse models of cancer development. However, an emerging body of evidence indicates that there are fundamental differences in how the process of tumorigenesis occurs in mice and humans. What are these species-specific differences and how do they affect the use of mice as models of human tumour pathogenesis?","author":[{"dropping-particle":"","family":"Rangarajan","given":"Annapoorni","non-dropping-particle":"","parse-names":false,"suffix":""},{"dropping-particle":"","family":"Weinberg","given":"Robert A.","non-dropping-particle":"","parse-names":false,"suffix":""}],"container-title":"Nature Reviews Cancer","id":"ITEM-1","issue":"12","issued":{"date-parts":[["2003","12"]]},"page":"952-959","publisher":"Nature Publishing Group","title":"Comparative biology of mouse versus human cells: modelling human cancer in mice","type":"article-journal","volume":"3"},"uris":["http://www.mendeley.com/documents/?uuid=56c5eee6-bffe-393d-8037-422ee4dfae82"]}],"mendeley":{"formattedCitation":"(Rangarajan &amp; Weinberg, 2003)","plainTextFormattedCitation":"(Rangarajan &amp; Weinberg, 2003)","previouslyFormattedCitation":"(Rangarajan &amp; Weinberg, 2003)"},"properties":{"noteIndex":0},"schema":"https://github.com/citation-style-language/schema/raw/master/csl-citation.json"}</w:instrText>
      </w:r>
      <w:r w:rsidR="00E64CAC">
        <w:fldChar w:fldCharType="separate"/>
      </w:r>
      <w:r w:rsidR="00E64CAC" w:rsidRPr="00E64CAC">
        <w:rPr>
          <w:noProof/>
        </w:rPr>
        <w:t>(Rangarajan &amp; Weinberg, 2003)</w:t>
      </w:r>
      <w:r w:rsidR="00E64CAC">
        <w:fldChar w:fldCharType="end"/>
      </w:r>
      <w:r w:rsidR="00906D23">
        <w:t>.</w:t>
      </w:r>
      <w:r w:rsidR="00611AE6">
        <w:t xml:space="preserve"> </w:t>
      </w:r>
      <w:r w:rsidR="001F4694">
        <w:t xml:space="preserve">Genome editing is possible in a mouse model but not in humans, allowing us to better understand mechanisms. Furthermore, tissue collection in mice is feasible at any point in life. </w:t>
      </w:r>
      <w:r w:rsidR="00611AE6">
        <w:t>The proposed experiments i</w:t>
      </w:r>
      <w:r w:rsidR="001F4694">
        <w:t xml:space="preserve">n my proposal would be unethical to conduct in human data. Additionally, human samples (i.e. placentas) cannot be easily collected anytime during pregnancy due to ethical considerations. Even with human samples available, it is very hard to discern the exact mechanisms at play since humans are complex beings that are influenced by multiple exposures and lifestyle. Mice, on the other hand, are easier to control, manipulate, and assess </w:t>
      </w:r>
      <w:r w:rsidR="004771B4">
        <w:t xml:space="preserve">environmental or dietary exposures for, which makes our analysis less confounded by multiple variables. Despite their great use, mice are not a perfect model to </w:t>
      </w:r>
      <w:r w:rsidR="004771B4">
        <w:lastRenderedPageBreak/>
        <w:t>replicate human development, but they remain an invaluable resource to elucidate potential mechanisms at play.</w:t>
      </w:r>
    </w:p>
    <w:p w:rsidR="00E44703" w:rsidRPr="00D94B2B" w:rsidRDefault="00E44703" w:rsidP="00D94B2B">
      <w:bookmarkStart w:id="1" w:name="_GoBack"/>
      <w:bookmarkEnd w:id="1"/>
    </w:p>
    <w:p w:rsidR="000022CB" w:rsidRDefault="00646440" w:rsidP="00646440">
      <w:pPr>
        <w:pStyle w:val="Heading2"/>
        <w:rPr>
          <w:rFonts w:asciiTheme="minorHAnsi" w:hAnsiTheme="minorHAnsi" w:cstheme="minorHAnsi"/>
        </w:rPr>
      </w:pPr>
      <w:r w:rsidRPr="005B2CE6">
        <w:rPr>
          <w:rFonts w:asciiTheme="minorHAnsi" w:hAnsiTheme="minorHAnsi" w:cstheme="minorHAnsi"/>
        </w:rPr>
        <w:t>Mice vs Cells</w:t>
      </w:r>
    </w:p>
    <w:p w:rsidR="004771B4" w:rsidRPr="004771B4" w:rsidRDefault="005F163F" w:rsidP="004771B4">
      <w:r>
        <w:t xml:space="preserve">Studying cells in media has advanced science whether it is using </w:t>
      </w:r>
      <w:r w:rsidR="0019722F">
        <w:t xml:space="preserve">human/animal </w:t>
      </w:r>
      <w:r>
        <w:t>cell lines or tissue explants.</w:t>
      </w:r>
      <w:r w:rsidR="00015291">
        <w:t xml:space="preserve"> Cell </w:t>
      </w:r>
      <w:r w:rsidR="00C04694">
        <w:t xml:space="preserve">studies are cheaper, easier to purchase, and easier to manipulate by changing the media constituents </w:t>
      </w:r>
      <w:r w:rsidR="00C04694">
        <w:rPr>
          <w:rStyle w:val="FootnoteReference"/>
        </w:rPr>
        <w:footnoteReference w:id="5"/>
      </w:r>
      <w:r w:rsidR="00C04694">
        <w:t>.</w:t>
      </w:r>
      <w:r w:rsidR="0019722F">
        <w:t xml:space="preserve"> Nonetheless, cell studies remain very limited and far removed from the effects of the bodily systems, making extrapolating data to humans very challenging</w:t>
      </w:r>
      <w:r w:rsidR="00665EE6">
        <w:t xml:space="preserve"> since they are studied outside their natural environment, inside the body, where they are in contact with other cell types and systems </w:t>
      </w:r>
      <w:r w:rsidR="00665EE6">
        <w:fldChar w:fldCharType="begin" w:fldLock="1"/>
      </w:r>
      <w:r w:rsidR="00665EE6">
        <w:instrText>ADDIN CSL_CITATION {"citationItems":[{"id":"ITEM-1","itemData":{"DOI":"10.4161/spmg.19885","ISSN":"2156-5554","PMID":"22553484","abstract":"Cell lines are often used in place of primary cells to study biological processes. However, care must be taken when interpreting the results as cell lines do not always accurately replicate the primary cells. In this article, we will briefly talk about advantages and disadvantages of cell lines and then discuss results using the mouse Sertoli cell line, MSC-1, compared with primary mouse Sertoli cells. MSC-1 cells resemble Sertoli cells morphologically and possess several biochemical markers associated with Sertoli cells. Studies have demonstrated that the function and regulation of retinoic acid receptor α (RARα) is similar between MSC-1 and rat Sertoli cells. However, MSC-1 cells lack some of the immune privilege properties associated with primary Sertoli cells, including survival in animals with a fully functional immune system. Therefore, it has to be kept in mind that cell lines do not behave identically with primary cells and should not be used to replace primary cells. In order to strengthen the findings, key control experiments using primary cells should always be performed.","author":[{"dropping-particle":"","family":"Kaur","given":"Gurvinder","non-dropping-particle":"","parse-names":false,"suffix":""},{"dropping-particle":"","family":"Dufour","given":"Jannette M","non-dropping-particle":"","parse-names":false,"suffix":""}],"container-title":"Spermatogenesis","id":"ITEM-1","issue":"1","issued":{"date-parts":[["2012","1","1"]]},"page":"1-5","publisher":"Taylor &amp; Francis","title":"Cell lines: Valuable tools or useless artifacts.","type":"article-journal","volume":"2"},"uris":["http://www.mendeley.com/documents/?uuid=01277774-5cd4-3b86-8c57-c85f0b0df494"]}],"mendeley":{"formattedCitation":"(Kaur &amp; Dufour, 2012)","plainTextFormattedCitation":"(Kaur &amp; Dufour, 2012)"},"properties":{"noteIndex":0},"schema":"https://github.com/citation-style-language/schema/raw/master/csl-citation.json"}</w:instrText>
      </w:r>
      <w:r w:rsidR="00665EE6">
        <w:fldChar w:fldCharType="separate"/>
      </w:r>
      <w:r w:rsidR="00665EE6" w:rsidRPr="00665EE6">
        <w:rPr>
          <w:noProof/>
        </w:rPr>
        <w:t>(Kaur &amp; Dufour, 2012)</w:t>
      </w:r>
      <w:r w:rsidR="00665EE6">
        <w:fldChar w:fldCharType="end"/>
      </w:r>
      <w:r w:rsidR="0019722F">
        <w:t xml:space="preserve">. Mouse models still offer a better option as opposed to cell studies as the mouse allows for broader understanding of organ functionality and role when the full body is otherwise intact and functioning. </w:t>
      </w:r>
    </w:p>
    <w:p w:rsidR="000022CB" w:rsidRPr="005B2CE6" w:rsidRDefault="000022CB" w:rsidP="000022CB">
      <w:pPr>
        <w:rPr>
          <w:rFonts w:eastAsiaTheme="majorEastAsia" w:cstheme="minorHAnsi"/>
          <w:color w:val="2F5496" w:themeColor="accent1" w:themeShade="BF"/>
          <w:sz w:val="26"/>
          <w:szCs w:val="26"/>
        </w:rPr>
      </w:pPr>
      <w:r w:rsidRPr="005B2CE6">
        <w:rPr>
          <w:rFonts w:cstheme="minorHAnsi"/>
        </w:rPr>
        <w:br w:type="page"/>
      </w:r>
    </w:p>
    <w:p w:rsidR="00665EE6" w:rsidRPr="00E44703" w:rsidRDefault="000022CB" w:rsidP="00665EE6">
      <w:pPr>
        <w:widowControl w:val="0"/>
        <w:autoSpaceDE w:val="0"/>
        <w:autoSpaceDN w:val="0"/>
        <w:adjustRightInd w:val="0"/>
        <w:spacing w:before="40"/>
        <w:ind w:left="480" w:hanging="480"/>
        <w:rPr>
          <w:rFonts w:ascii="Calibri" w:hAnsi="Calibri" w:cs="Calibri"/>
          <w:noProof/>
        </w:rPr>
      </w:pPr>
      <w:r w:rsidRPr="00E44703">
        <w:rPr>
          <w:rFonts w:cstheme="minorHAnsi"/>
        </w:rPr>
        <w:lastRenderedPageBreak/>
        <w:fldChar w:fldCharType="begin" w:fldLock="1"/>
      </w:r>
      <w:r w:rsidRPr="00E44703">
        <w:rPr>
          <w:rFonts w:cstheme="minorHAnsi"/>
        </w:rPr>
        <w:instrText xml:space="preserve">ADDIN Mendeley Bibliography CSL_BIBLIOGRAPHY </w:instrText>
      </w:r>
      <w:r w:rsidRPr="00E44703">
        <w:rPr>
          <w:rFonts w:cstheme="minorHAnsi"/>
        </w:rPr>
        <w:fldChar w:fldCharType="separate"/>
      </w:r>
      <w:r w:rsidR="00665EE6" w:rsidRPr="00E44703">
        <w:rPr>
          <w:rFonts w:ascii="Calibri" w:hAnsi="Calibri" w:cs="Calibri"/>
          <w:noProof/>
        </w:rPr>
        <w:t xml:space="preserve">Cai H, Dong LQ &amp; Liu F (2016). Recent Advances in Adipose mTOR Signaling and Function: Therapeutic Prospects. </w:t>
      </w:r>
      <w:r w:rsidR="00665EE6" w:rsidRPr="00E44703">
        <w:rPr>
          <w:rFonts w:ascii="Calibri" w:hAnsi="Calibri" w:cs="Calibri"/>
          <w:i/>
          <w:iCs/>
          <w:noProof/>
        </w:rPr>
        <w:t>Trends Pharmacol Sci</w:t>
      </w:r>
      <w:r w:rsidR="00665EE6" w:rsidRPr="00E44703">
        <w:rPr>
          <w:rFonts w:ascii="Calibri" w:hAnsi="Calibri" w:cs="Calibri"/>
          <w:noProof/>
        </w:rPr>
        <w:t xml:space="preserve"> </w:t>
      </w:r>
      <w:r w:rsidR="00665EE6" w:rsidRPr="00E44703">
        <w:rPr>
          <w:rFonts w:ascii="Calibri" w:hAnsi="Calibri" w:cs="Calibri"/>
          <w:b/>
          <w:bCs/>
          <w:noProof/>
        </w:rPr>
        <w:t>37,</w:t>
      </w:r>
      <w:r w:rsidR="00665EE6" w:rsidRPr="00E44703">
        <w:rPr>
          <w:rFonts w:ascii="Calibri" w:hAnsi="Calibri" w:cs="Calibri"/>
          <w:noProof/>
        </w:rPr>
        <w:t xml:space="preserve"> 303–317.</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E44703">
        <w:rPr>
          <w:rFonts w:ascii="Calibri" w:hAnsi="Calibri" w:cs="Calibri"/>
          <w:i/>
          <w:iCs/>
          <w:noProof/>
        </w:rPr>
        <w:t>Acta Diabetol</w:t>
      </w:r>
      <w:r w:rsidRPr="00E44703">
        <w:rPr>
          <w:rFonts w:ascii="Calibri" w:hAnsi="Calibri" w:cs="Calibri"/>
          <w:noProof/>
        </w:rPr>
        <w:t xml:space="preserve"> </w:t>
      </w:r>
      <w:r w:rsidRPr="00E44703">
        <w:rPr>
          <w:rFonts w:ascii="Calibri" w:hAnsi="Calibri" w:cs="Calibri"/>
          <w:b/>
          <w:bCs/>
          <w:noProof/>
        </w:rPr>
        <w:t>52,</w:t>
      </w:r>
      <w:r w:rsidRPr="00E44703">
        <w:rPr>
          <w:rFonts w:ascii="Calibri" w:hAnsi="Calibri" w:cs="Calibri"/>
          <w:noProof/>
        </w:rPr>
        <w:t xml:space="preserve"> 257–266.</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Catania C, Binder E &amp; Cota D (2011). mTORC1 signaling in energy balance and metabolic disease. </w:t>
      </w:r>
      <w:r w:rsidRPr="00E44703">
        <w:rPr>
          <w:rFonts w:ascii="Calibri" w:hAnsi="Calibri" w:cs="Calibri"/>
          <w:i/>
          <w:iCs/>
          <w:noProof/>
        </w:rPr>
        <w:t>Int J Obes</w:t>
      </w:r>
      <w:r w:rsidRPr="00E44703">
        <w:rPr>
          <w:rFonts w:ascii="Calibri" w:hAnsi="Calibri" w:cs="Calibri"/>
          <w:noProof/>
        </w:rPr>
        <w:t xml:space="preserve"> </w:t>
      </w:r>
      <w:r w:rsidRPr="00E44703">
        <w:rPr>
          <w:rFonts w:ascii="Calibri" w:hAnsi="Calibri" w:cs="Calibri"/>
          <w:b/>
          <w:bCs/>
          <w:noProof/>
        </w:rPr>
        <w:t>35,</w:t>
      </w:r>
      <w:r w:rsidRPr="00E44703">
        <w:rPr>
          <w:rFonts w:ascii="Calibri" w:hAnsi="Calibri" w:cs="Calibri"/>
          <w:noProof/>
        </w:rPr>
        <w:t xml:space="preserve"> 751–761.</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Collins JW, David RJ, Handler A, Wall S, Andes S &amp; Andes S (2004). Very low birthweight in African American infants: the role of maternal exposure to interpersonal racial discrimination. </w:t>
      </w:r>
      <w:r w:rsidRPr="00E44703">
        <w:rPr>
          <w:rFonts w:ascii="Calibri" w:hAnsi="Calibri" w:cs="Calibri"/>
          <w:i/>
          <w:iCs/>
          <w:noProof/>
        </w:rPr>
        <w:t>Am J Public Health</w:t>
      </w:r>
      <w:r w:rsidRPr="00E44703">
        <w:rPr>
          <w:rFonts w:ascii="Calibri" w:hAnsi="Calibri" w:cs="Calibri"/>
          <w:noProof/>
        </w:rPr>
        <w:t xml:space="preserve"> </w:t>
      </w:r>
      <w:r w:rsidRPr="00E44703">
        <w:rPr>
          <w:rFonts w:ascii="Calibri" w:hAnsi="Calibri" w:cs="Calibri"/>
          <w:b/>
          <w:bCs/>
          <w:noProof/>
        </w:rPr>
        <w:t>94,</w:t>
      </w:r>
      <w:r w:rsidRPr="00E44703">
        <w:rPr>
          <w:rFonts w:ascii="Calibri" w:hAnsi="Calibri" w:cs="Calibri"/>
          <w:noProof/>
        </w:rPr>
        <w:t xml:space="preserve"> 2132–2138.</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Eskenazi B, Marks AR, Catalano R, Bruckner T &amp; Toniolo PG (2007). Low birthweight in New York city and upstate New York following the events of September 11th. </w:t>
      </w:r>
      <w:r w:rsidRPr="00E44703">
        <w:rPr>
          <w:rFonts w:ascii="Calibri" w:hAnsi="Calibri" w:cs="Calibri"/>
          <w:i/>
          <w:iCs/>
          <w:noProof/>
        </w:rPr>
        <w:t>Hum Reprod</w:t>
      </w:r>
      <w:r w:rsidRPr="00E44703">
        <w:rPr>
          <w:rFonts w:ascii="Calibri" w:hAnsi="Calibri" w:cs="Calibri"/>
          <w:noProof/>
        </w:rPr>
        <w:t xml:space="preserve"> </w:t>
      </w:r>
      <w:r w:rsidRPr="00E44703">
        <w:rPr>
          <w:rFonts w:ascii="Calibri" w:hAnsi="Calibri" w:cs="Calibri"/>
          <w:b/>
          <w:bCs/>
          <w:noProof/>
        </w:rPr>
        <w:t>22,</w:t>
      </w:r>
      <w:r w:rsidRPr="00E44703">
        <w:rPr>
          <w:rFonts w:ascii="Calibri" w:hAnsi="Calibri" w:cs="Calibri"/>
          <w:noProof/>
        </w:rPr>
        <w:t xml:space="preserve"> 3013–3020.</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Jansson N, Rosario FJ, Gaccioli F, Lager S, Jones HN, Roos S, Jansson T &amp; Powell TL (2013). Activation of Placental mTOR Signaling and Amino Acid Transporters in Obese Women Giving Birth to Large Babies. </w:t>
      </w:r>
      <w:r w:rsidRPr="00E44703">
        <w:rPr>
          <w:rFonts w:ascii="Calibri" w:hAnsi="Calibri" w:cs="Calibri"/>
          <w:i/>
          <w:iCs/>
          <w:noProof/>
        </w:rPr>
        <w:t>J Clin Endocrinol Metab</w:t>
      </w:r>
      <w:r w:rsidRPr="00E44703">
        <w:rPr>
          <w:rFonts w:ascii="Calibri" w:hAnsi="Calibri" w:cs="Calibri"/>
          <w:noProof/>
        </w:rPr>
        <w:t xml:space="preserve"> </w:t>
      </w:r>
      <w:r w:rsidRPr="00E44703">
        <w:rPr>
          <w:rFonts w:ascii="Calibri" w:hAnsi="Calibri" w:cs="Calibri"/>
          <w:b/>
          <w:bCs/>
          <w:noProof/>
        </w:rPr>
        <w:t>98,</w:t>
      </w:r>
      <w:r w:rsidRPr="00E44703">
        <w:rPr>
          <w:rFonts w:ascii="Calibri" w:hAnsi="Calibri" w:cs="Calibri"/>
          <w:noProof/>
        </w:rPr>
        <w:t xml:space="preserve"> 105–113.</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Jansson T &amp; Powell TL (2013). Role of placental nutrient sensing in developmental programming. </w:t>
      </w:r>
      <w:r w:rsidRPr="00E44703">
        <w:rPr>
          <w:rFonts w:ascii="Calibri" w:hAnsi="Calibri" w:cs="Calibri"/>
          <w:i/>
          <w:iCs/>
          <w:noProof/>
        </w:rPr>
        <w:t>Clin Obstet Gynecol</w:t>
      </w:r>
      <w:r w:rsidRPr="00E44703">
        <w:rPr>
          <w:rFonts w:ascii="Calibri" w:hAnsi="Calibri" w:cs="Calibri"/>
          <w:noProof/>
        </w:rPr>
        <w:t xml:space="preserve"> </w:t>
      </w:r>
      <w:r w:rsidRPr="00E44703">
        <w:rPr>
          <w:rFonts w:ascii="Calibri" w:hAnsi="Calibri" w:cs="Calibri"/>
          <w:b/>
          <w:bCs/>
          <w:noProof/>
        </w:rPr>
        <w:t>56,</w:t>
      </w:r>
      <w:r w:rsidRPr="00E44703">
        <w:rPr>
          <w:rFonts w:ascii="Calibri" w:hAnsi="Calibri" w:cs="Calibri"/>
          <w:noProof/>
        </w:rPr>
        <w:t xml:space="preserve"> 591–601.</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Kaur G &amp; Dufour JM (2012). Cell lines: Valuable tools or useless artifacts. </w:t>
      </w:r>
      <w:r w:rsidRPr="00E44703">
        <w:rPr>
          <w:rFonts w:ascii="Calibri" w:hAnsi="Calibri" w:cs="Calibri"/>
          <w:i/>
          <w:iCs/>
          <w:noProof/>
        </w:rPr>
        <w:t>Spermatogenesis</w:t>
      </w:r>
      <w:r w:rsidRPr="00E44703">
        <w:rPr>
          <w:rFonts w:ascii="Calibri" w:hAnsi="Calibri" w:cs="Calibri"/>
          <w:noProof/>
        </w:rPr>
        <w:t xml:space="preserve"> </w:t>
      </w:r>
      <w:r w:rsidRPr="00E44703">
        <w:rPr>
          <w:rFonts w:ascii="Calibri" w:hAnsi="Calibri" w:cs="Calibri"/>
          <w:b/>
          <w:bCs/>
          <w:noProof/>
        </w:rPr>
        <w:t>2,</w:t>
      </w:r>
      <w:r w:rsidRPr="00E44703">
        <w:rPr>
          <w:rFonts w:ascii="Calibri" w:hAnsi="Calibri" w:cs="Calibri"/>
          <w:noProof/>
        </w:rPr>
        <w:t xml:space="preserve"> 1–5.</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Mparmpakas D, Zachariades E, Goumenou A, Gidron Y &amp; Karteris E (2012). Placental DEPTOR as a stress sensor during pregnancy. </w:t>
      </w:r>
      <w:r w:rsidRPr="00E44703">
        <w:rPr>
          <w:rFonts w:ascii="Calibri" w:hAnsi="Calibri" w:cs="Calibri"/>
          <w:i/>
          <w:iCs/>
          <w:noProof/>
        </w:rPr>
        <w:t>Clin Sci (Lond)</w:t>
      </w:r>
      <w:r w:rsidRPr="00E44703">
        <w:rPr>
          <w:rFonts w:ascii="Calibri" w:hAnsi="Calibri" w:cs="Calibri"/>
          <w:noProof/>
        </w:rPr>
        <w:t xml:space="preserve"> </w:t>
      </w:r>
      <w:r w:rsidRPr="00E44703">
        <w:rPr>
          <w:rFonts w:ascii="Calibri" w:hAnsi="Calibri" w:cs="Calibri"/>
          <w:b/>
          <w:bCs/>
          <w:noProof/>
        </w:rPr>
        <w:t>122,</w:t>
      </w:r>
      <w:r w:rsidRPr="00E44703">
        <w:rPr>
          <w:rFonts w:ascii="Calibri" w:hAnsi="Calibri" w:cs="Calibri"/>
          <w:noProof/>
        </w:rPr>
        <w:t xml:space="preserve"> 349–359.</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Rangarajan A &amp; Weinberg RA (2003). Comparative biology of mouse versus human cells: modelling human cancer in mice. </w:t>
      </w:r>
      <w:r w:rsidRPr="00E44703">
        <w:rPr>
          <w:rFonts w:ascii="Calibri" w:hAnsi="Calibri" w:cs="Calibri"/>
          <w:i/>
          <w:iCs/>
          <w:noProof/>
        </w:rPr>
        <w:t>Nat Rev Cancer</w:t>
      </w:r>
      <w:r w:rsidRPr="00E44703">
        <w:rPr>
          <w:rFonts w:ascii="Calibri" w:hAnsi="Calibri" w:cs="Calibri"/>
          <w:noProof/>
        </w:rPr>
        <w:t xml:space="preserve"> </w:t>
      </w:r>
      <w:r w:rsidRPr="00E44703">
        <w:rPr>
          <w:rFonts w:ascii="Calibri" w:hAnsi="Calibri" w:cs="Calibri"/>
          <w:b/>
          <w:bCs/>
          <w:noProof/>
        </w:rPr>
        <w:t>3,</w:t>
      </w:r>
      <w:r w:rsidRPr="00E44703">
        <w:rPr>
          <w:rFonts w:ascii="Calibri" w:hAnsi="Calibri" w:cs="Calibri"/>
          <w:noProof/>
        </w:rPr>
        <w:t xml:space="preserve"> 952–959.</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Roos S, Jansson N, Palmberg I, Säljö K, Powell TL &amp; Jansson T (2007). Mammalian target of rapamycin in the human placenta regulates leucine transport and is down-regulated in restricted fetal growth. </w:t>
      </w:r>
      <w:r w:rsidRPr="00E44703">
        <w:rPr>
          <w:rFonts w:ascii="Calibri" w:hAnsi="Calibri" w:cs="Calibri"/>
          <w:i/>
          <w:iCs/>
          <w:noProof/>
        </w:rPr>
        <w:t>J Physiol</w:t>
      </w:r>
      <w:r w:rsidRPr="00E44703">
        <w:rPr>
          <w:rFonts w:ascii="Calibri" w:hAnsi="Calibri" w:cs="Calibri"/>
          <w:noProof/>
        </w:rPr>
        <w:t xml:space="preserve"> </w:t>
      </w:r>
      <w:r w:rsidRPr="00E44703">
        <w:rPr>
          <w:rFonts w:ascii="Calibri" w:hAnsi="Calibri" w:cs="Calibri"/>
          <w:b/>
          <w:bCs/>
          <w:noProof/>
        </w:rPr>
        <w:t>582,</w:t>
      </w:r>
      <w:r w:rsidRPr="00E44703">
        <w:rPr>
          <w:rFonts w:ascii="Calibri" w:hAnsi="Calibri" w:cs="Calibri"/>
          <w:noProof/>
        </w:rPr>
        <w:t xml:space="preserve"> 449–459.</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De Souza SW, F Adlard BP &amp; Souza D (1973). </w:t>
      </w:r>
      <w:r w:rsidRPr="00E44703">
        <w:rPr>
          <w:rFonts w:ascii="Calibri" w:hAnsi="Calibri" w:cs="Calibri"/>
          <w:i/>
          <w:iCs/>
          <w:noProof/>
        </w:rPr>
        <w:t>Growth of suckling rats after treatment with dexamethasone or cortisol Implications for steroid therapy in human infants</w:t>
      </w:r>
      <w:r w:rsidRPr="00E44703">
        <w:rPr>
          <w:rFonts w:ascii="Calibri" w:hAnsi="Calibri" w:cs="Calibri"/>
          <w:noProof/>
        </w:rPr>
        <w:t>. Available at: https://www.ncbi.nlm.nih.gov/pmc/articles/PMC1648459/pdf/archdisch00863-0029.pdf [Accessed August 18, 2019].</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Stephens MAC &amp; Wand G (2012). Stress and the HPA axis: role of glucocorticoids in alcohol dependence. </w:t>
      </w:r>
      <w:r w:rsidRPr="00E44703">
        <w:rPr>
          <w:rFonts w:ascii="Calibri" w:hAnsi="Calibri" w:cs="Calibri"/>
          <w:i/>
          <w:iCs/>
          <w:noProof/>
        </w:rPr>
        <w:t>Alcohol Res</w:t>
      </w:r>
      <w:r w:rsidRPr="00E44703">
        <w:rPr>
          <w:rFonts w:ascii="Calibri" w:hAnsi="Calibri" w:cs="Calibri"/>
          <w:noProof/>
        </w:rPr>
        <w:t xml:space="preserve"> </w:t>
      </w:r>
      <w:r w:rsidRPr="00E44703">
        <w:rPr>
          <w:rFonts w:ascii="Calibri" w:hAnsi="Calibri" w:cs="Calibri"/>
          <w:b/>
          <w:bCs/>
          <w:noProof/>
        </w:rPr>
        <w:t>34,</w:t>
      </w:r>
      <w:r w:rsidRPr="00E44703">
        <w:rPr>
          <w:rFonts w:ascii="Calibri" w:hAnsi="Calibri" w:cs="Calibri"/>
          <w:noProof/>
        </w:rPr>
        <w:t xml:space="preserve"> 468–483.</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Wang X &amp; Proud CG (2006). The mTOR Pathway in the Control of Protein Synthesis. </w:t>
      </w:r>
      <w:r w:rsidRPr="00E44703">
        <w:rPr>
          <w:rFonts w:ascii="Calibri" w:hAnsi="Calibri" w:cs="Calibri"/>
          <w:i/>
          <w:iCs/>
          <w:noProof/>
        </w:rPr>
        <w:t>Physiology</w:t>
      </w:r>
      <w:r w:rsidRPr="00E44703">
        <w:rPr>
          <w:rFonts w:ascii="Calibri" w:hAnsi="Calibri" w:cs="Calibri"/>
          <w:noProof/>
        </w:rPr>
        <w:t xml:space="preserve"> </w:t>
      </w:r>
      <w:r w:rsidRPr="00E44703">
        <w:rPr>
          <w:rFonts w:ascii="Calibri" w:hAnsi="Calibri" w:cs="Calibri"/>
          <w:b/>
          <w:bCs/>
          <w:noProof/>
        </w:rPr>
        <w:t>21,</w:t>
      </w:r>
      <w:r w:rsidRPr="00E44703">
        <w:rPr>
          <w:rFonts w:ascii="Calibri" w:hAnsi="Calibri" w:cs="Calibri"/>
          <w:noProof/>
        </w:rPr>
        <w:t xml:space="preserve"> 362–369.</w:t>
      </w:r>
    </w:p>
    <w:p w:rsidR="00665EE6" w:rsidRPr="00E44703" w:rsidRDefault="00665EE6" w:rsidP="00665EE6">
      <w:pPr>
        <w:widowControl w:val="0"/>
        <w:autoSpaceDE w:val="0"/>
        <w:autoSpaceDN w:val="0"/>
        <w:adjustRightInd w:val="0"/>
        <w:spacing w:before="40"/>
        <w:ind w:left="480" w:hanging="480"/>
        <w:rPr>
          <w:rFonts w:ascii="Calibri" w:hAnsi="Calibri" w:cs="Calibri"/>
          <w:noProof/>
        </w:rPr>
      </w:pPr>
      <w:r w:rsidRPr="00E44703">
        <w:rPr>
          <w:rFonts w:ascii="Calibri" w:hAnsi="Calibri" w:cs="Calibri"/>
          <w:noProof/>
        </w:rPr>
        <w:t xml:space="preserve">Wen HY, Abbasi S, Kellems RE &amp; Xia Y (2005). mTOR: A placental growth signaling sensor. </w:t>
      </w:r>
      <w:r w:rsidRPr="00E44703">
        <w:rPr>
          <w:rFonts w:ascii="Calibri" w:hAnsi="Calibri" w:cs="Calibri"/>
          <w:i/>
          <w:iCs/>
          <w:noProof/>
        </w:rPr>
        <w:t>Placenta</w:t>
      </w:r>
      <w:r w:rsidRPr="00E44703">
        <w:rPr>
          <w:rFonts w:ascii="Calibri" w:hAnsi="Calibri" w:cs="Calibri"/>
          <w:noProof/>
        </w:rPr>
        <w:t xml:space="preserve"> </w:t>
      </w:r>
      <w:r w:rsidRPr="00E44703">
        <w:rPr>
          <w:rFonts w:ascii="Calibri" w:hAnsi="Calibri" w:cs="Calibri"/>
          <w:b/>
          <w:bCs/>
          <w:noProof/>
        </w:rPr>
        <w:t>26,</w:t>
      </w:r>
      <w:r w:rsidRPr="00E44703">
        <w:rPr>
          <w:rFonts w:ascii="Calibri" w:hAnsi="Calibri" w:cs="Calibri"/>
          <w:noProof/>
        </w:rPr>
        <w:t xml:space="preserve"> S63–S69.</w:t>
      </w:r>
    </w:p>
    <w:p w:rsidR="00646440" w:rsidRPr="005B2CE6" w:rsidRDefault="000022CB" w:rsidP="00E44703">
      <w:pPr>
        <w:widowControl w:val="0"/>
        <w:autoSpaceDE w:val="0"/>
        <w:autoSpaceDN w:val="0"/>
        <w:adjustRightInd w:val="0"/>
        <w:spacing w:before="40"/>
        <w:rPr>
          <w:rFonts w:cstheme="minorHAnsi"/>
        </w:rPr>
      </w:pPr>
      <w:r w:rsidRPr="00E44703">
        <w:rPr>
          <w:rFonts w:cstheme="minorHAnsi"/>
        </w:rPr>
        <w:fldChar w:fldCharType="end"/>
      </w:r>
    </w:p>
    <w:sectPr w:rsidR="00646440" w:rsidRPr="005B2CE6" w:rsidSect="002121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957" w:rsidRDefault="00254957" w:rsidP="00324F58">
      <w:r>
        <w:separator/>
      </w:r>
    </w:p>
  </w:endnote>
  <w:endnote w:type="continuationSeparator" w:id="0">
    <w:p w:rsidR="00254957" w:rsidRDefault="00254957" w:rsidP="003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F58" w:rsidRDefault="00324F58">
    <w:pPr>
      <w:pStyle w:val="Footer"/>
    </w:pPr>
  </w:p>
  <w:p w:rsidR="00324F58" w:rsidRDefault="00324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957" w:rsidRDefault="00254957" w:rsidP="00324F58">
      <w:r>
        <w:separator/>
      </w:r>
    </w:p>
  </w:footnote>
  <w:footnote w:type="continuationSeparator" w:id="0">
    <w:p w:rsidR="00254957" w:rsidRDefault="00254957" w:rsidP="00324F58">
      <w:r>
        <w:continuationSeparator/>
      </w:r>
    </w:p>
  </w:footnote>
  <w:footnote w:id="1">
    <w:p w:rsidR="00E75EE7" w:rsidRPr="006273C8" w:rsidRDefault="00E75EE7" w:rsidP="00AD5F5F">
      <w:pPr>
        <w:rPr>
          <w:rFonts w:cstheme="minorHAnsi"/>
          <w:sz w:val="20"/>
          <w:szCs w:val="20"/>
        </w:rPr>
      </w:pPr>
      <w:r w:rsidRPr="006273C8">
        <w:rPr>
          <w:rStyle w:val="FootnoteReference"/>
          <w:sz w:val="20"/>
          <w:szCs w:val="20"/>
        </w:rPr>
        <w:footnoteRef/>
      </w:r>
      <w:r w:rsidRPr="006273C8">
        <w:rPr>
          <w:sz w:val="20"/>
          <w:szCs w:val="20"/>
        </w:rPr>
        <w:t xml:space="preserve"> </w:t>
      </w:r>
      <w:r w:rsidRPr="006273C8">
        <w:rPr>
          <w:rFonts w:cstheme="minorHAnsi"/>
          <w:sz w:val="20"/>
          <w:szCs w:val="20"/>
        </w:rPr>
        <w:t xml:space="preserve">Understanding the stress response, Harvard Health Publishing, HARVARD MEDICAL SCHOOL. Retrieved from </w:t>
      </w:r>
      <w:hyperlink r:id="rId1" w:history="1">
        <w:r w:rsidRPr="006273C8">
          <w:rPr>
            <w:rStyle w:val="Heading1Char"/>
            <w:rFonts w:asciiTheme="minorHAnsi" w:hAnsiTheme="minorHAnsi" w:cstheme="minorHAnsi"/>
            <w:sz w:val="20"/>
            <w:szCs w:val="20"/>
          </w:rPr>
          <w:t>https://www.health.harvard.edu/staying-healthy/understanding-the-stress-response</w:t>
        </w:r>
      </w:hyperlink>
    </w:p>
  </w:footnote>
  <w:footnote w:id="2">
    <w:p w:rsidR="00E75EE7" w:rsidRDefault="00E75EE7">
      <w:pPr>
        <w:pStyle w:val="FootnoteText"/>
      </w:pPr>
      <w:r w:rsidRPr="006273C8">
        <w:rPr>
          <w:rStyle w:val="FootnoteReference"/>
        </w:rPr>
        <w:footnoteRef/>
      </w:r>
      <w:r w:rsidRPr="006273C8">
        <w:t xml:space="preserve"> Know your brain: HPA axis, NEUROSCIENTIFICALLY CHALLENGED,</w:t>
      </w:r>
      <w:r w:rsidRPr="006273C8">
        <w:rPr>
          <w:i/>
        </w:rPr>
        <w:t xml:space="preserve"> </w:t>
      </w:r>
      <w:r w:rsidRPr="006273C8">
        <w:t>Published June 04,2014. Retrieved from:</w:t>
      </w:r>
      <w:r w:rsidRPr="006273C8">
        <w:rPr>
          <w:rFonts w:ascii="Times New Roman" w:eastAsia="Times New Roman" w:hAnsi="Times New Roman" w:cs="Times New Roman"/>
        </w:rPr>
        <w:t xml:space="preserve"> </w:t>
      </w:r>
      <w:hyperlink r:id="rId2" w:history="1">
        <w:r w:rsidRPr="006273C8">
          <w:rPr>
            <w:rStyle w:val="Hyperlink"/>
          </w:rPr>
          <w:t>https://www.neuroscientificallychallenged.com/blog/2014/5/31/what-is-the-hpa-axis</w:t>
        </w:r>
      </w:hyperlink>
    </w:p>
  </w:footnote>
  <w:footnote w:id="3">
    <w:p w:rsidR="0099638B" w:rsidRDefault="0099638B">
      <w:pPr>
        <w:pStyle w:val="FootnoteText"/>
      </w:pPr>
      <w:r>
        <w:rPr>
          <w:rStyle w:val="FootnoteReference"/>
        </w:rPr>
        <w:footnoteRef/>
      </w:r>
      <w:r>
        <w:t xml:space="preserve"> Why are mice considered excellent models for humans?, The Jackson Laboratory. Retrieved from </w:t>
      </w:r>
      <w:hyperlink r:id="rId3" w:history="1">
        <w:r w:rsidRPr="0099638B">
          <w:rPr>
            <w:rStyle w:val="Hyperlink"/>
          </w:rPr>
          <w:t>https://www.jax.org/why-the-mouse/excellent-models</w:t>
        </w:r>
      </w:hyperlink>
      <w:r w:rsidR="008E778B">
        <w:t xml:space="preserve"> </w:t>
      </w:r>
    </w:p>
  </w:footnote>
  <w:footnote w:id="4">
    <w:p w:rsidR="00F42D08" w:rsidRPr="00F42D08" w:rsidRDefault="00F42D08" w:rsidP="00F42D08">
      <w:pPr>
        <w:rPr>
          <w:sz w:val="20"/>
          <w:szCs w:val="20"/>
        </w:rPr>
      </w:pPr>
      <w:r w:rsidRPr="00F42D08">
        <w:rPr>
          <w:rStyle w:val="FootnoteReference"/>
          <w:sz w:val="20"/>
          <w:szCs w:val="20"/>
        </w:rPr>
        <w:footnoteRef/>
      </w:r>
      <w:r w:rsidRPr="00F42D08">
        <w:rPr>
          <w:sz w:val="20"/>
          <w:szCs w:val="20"/>
        </w:rPr>
        <w:t xml:space="preserve"> The Mouse Model: Less than Perfect, Still Invaluable, Institute for Basic Biomedical Sciences, JOHNS HOPKINS MEDICINE. Retrieved from </w:t>
      </w:r>
      <w:hyperlink r:id="rId4" w:history="1">
        <w:r w:rsidRPr="00F42D08">
          <w:rPr>
            <w:rStyle w:val="Hyperlink"/>
            <w:sz w:val="20"/>
            <w:szCs w:val="20"/>
          </w:rPr>
          <w:t>https://www.hopkinsmedicine.org/institute_basic_biomedical_sciences/news_events/articles_and_stories/model_organisms/201010_mouse_model.html</w:t>
        </w:r>
      </w:hyperlink>
    </w:p>
    <w:p w:rsidR="00F42D08" w:rsidRDefault="00F42D08">
      <w:pPr>
        <w:pStyle w:val="FootnoteText"/>
      </w:pPr>
    </w:p>
  </w:footnote>
  <w:footnote w:id="5">
    <w:p w:rsidR="00C04694" w:rsidRPr="00C04694" w:rsidRDefault="00C04694" w:rsidP="00C04694">
      <w:pPr>
        <w:rPr>
          <w:sz w:val="20"/>
          <w:szCs w:val="20"/>
        </w:rPr>
      </w:pPr>
      <w:r w:rsidRPr="00C04694">
        <w:rPr>
          <w:rStyle w:val="FootnoteReference"/>
          <w:sz w:val="20"/>
          <w:szCs w:val="20"/>
        </w:rPr>
        <w:footnoteRef/>
      </w:r>
      <w:r w:rsidRPr="00C04694">
        <w:rPr>
          <w:sz w:val="20"/>
          <w:szCs w:val="20"/>
        </w:rPr>
        <w:t xml:space="preserve"> Mouse Cell Line, ingenious targeting laboratory. Published January 2, 2018. Retrieved from </w:t>
      </w:r>
      <w:hyperlink r:id="rId5" w:history="1">
        <w:r w:rsidRPr="00C04694">
          <w:rPr>
            <w:rStyle w:val="Hyperlink"/>
            <w:sz w:val="20"/>
            <w:szCs w:val="20"/>
          </w:rPr>
          <w:t>https://www.genetargeting.com/stem-cell/mouse-cell-line/</w:t>
        </w:r>
      </w:hyperlink>
    </w:p>
    <w:p w:rsidR="00C04694" w:rsidRDefault="00C0469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40"/>
    <w:rsid w:val="000022CB"/>
    <w:rsid w:val="0000529C"/>
    <w:rsid w:val="000150C7"/>
    <w:rsid w:val="00015291"/>
    <w:rsid w:val="00032275"/>
    <w:rsid w:val="00062890"/>
    <w:rsid w:val="00091375"/>
    <w:rsid w:val="00105FD0"/>
    <w:rsid w:val="00166CB9"/>
    <w:rsid w:val="00192012"/>
    <w:rsid w:val="0019722F"/>
    <w:rsid w:val="001A2A23"/>
    <w:rsid w:val="001F4694"/>
    <w:rsid w:val="00212190"/>
    <w:rsid w:val="0023363C"/>
    <w:rsid w:val="00234F67"/>
    <w:rsid w:val="002471D8"/>
    <w:rsid w:val="00254957"/>
    <w:rsid w:val="00275911"/>
    <w:rsid w:val="002A30C4"/>
    <w:rsid w:val="002D4A44"/>
    <w:rsid w:val="002E7668"/>
    <w:rsid w:val="00324F58"/>
    <w:rsid w:val="00352437"/>
    <w:rsid w:val="003642B8"/>
    <w:rsid w:val="00426CA7"/>
    <w:rsid w:val="00450AB5"/>
    <w:rsid w:val="00473AD2"/>
    <w:rsid w:val="004771B4"/>
    <w:rsid w:val="004A3CE3"/>
    <w:rsid w:val="004E3CE5"/>
    <w:rsid w:val="00501202"/>
    <w:rsid w:val="00504D82"/>
    <w:rsid w:val="005A44E3"/>
    <w:rsid w:val="005B2CE6"/>
    <w:rsid w:val="005F163F"/>
    <w:rsid w:val="0060128E"/>
    <w:rsid w:val="00611AE6"/>
    <w:rsid w:val="006273C8"/>
    <w:rsid w:val="00646440"/>
    <w:rsid w:val="00665EE6"/>
    <w:rsid w:val="00676215"/>
    <w:rsid w:val="006B7F19"/>
    <w:rsid w:val="006E5C07"/>
    <w:rsid w:val="00704C87"/>
    <w:rsid w:val="00734295"/>
    <w:rsid w:val="00743FAF"/>
    <w:rsid w:val="00746770"/>
    <w:rsid w:val="00793054"/>
    <w:rsid w:val="007B595F"/>
    <w:rsid w:val="007C37F1"/>
    <w:rsid w:val="007C6D87"/>
    <w:rsid w:val="007E1DAE"/>
    <w:rsid w:val="00801534"/>
    <w:rsid w:val="00884848"/>
    <w:rsid w:val="008E778B"/>
    <w:rsid w:val="00906D23"/>
    <w:rsid w:val="00967866"/>
    <w:rsid w:val="00994E35"/>
    <w:rsid w:val="0099638B"/>
    <w:rsid w:val="009B6C66"/>
    <w:rsid w:val="00A3380A"/>
    <w:rsid w:val="00A872B7"/>
    <w:rsid w:val="00AD5F5F"/>
    <w:rsid w:val="00B22144"/>
    <w:rsid w:val="00B35D1D"/>
    <w:rsid w:val="00BB4171"/>
    <w:rsid w:val="00C04694"/>
    <w:rsid w:val="00C52263"/>
    <w:rsid w:val="00C826F7"/>
    <w:rsid w:val="00C932DC"/>
    <w:rsid w:val="00CF40E9"/>
    <w:rsid w:val="00D01B92"/>
    <w:rsid w:val="00D57286"/>
    <w:rsid w:val="00D6363F"/>
    <w:rsid w:val="00D94B2B"/>
    <w:rsid w:val="00DB6A61"/>
    <w:rsid w:val="00DD26EF"/>
    <w:rsid w:val="00E44703"/>
    <w:rsid w:val="00E5114E"/>
    <w:rsid w:val="00E57E4D"/>
    <w:rsid w:val="00E64CAC"/>
    <w:rsid w:val="00E75EE7"/>
    <w:rsid w:val="00EC58E4"/>
    <w:rsid w:val="00EF2193"/>
    <w:rsid w:val="00F03BC3"/>
    <w:rsid w:val="00F4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FEE9"/>
  <w15:chartTrackingRefBased/>
  <w15:docId w15:val="{814AED2F-20DA-8D46-A4B8-708B1BA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4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4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6440"/>
    <w:rPr>
      <w:color w:val="0000FF"/>
      <w:u w:val="single"/>
    </w:rPr>
  </w:style>
  <w:style w:type="paragraph" w:styleId="Header">
    <w:name w:val="header"/>
    <w:basedOn w:val="Normal"/>
    <w:link w:val="HeaderChar"/>
    <w:uiPriority w:val="99"/>
    <w:unhideWhenUsed/>
    <w:rsid w:val="00324F58"/>
    <w:pPr>
      <w:tabs>
        <w:tab w:val="center" w:pos="4680"/>
        <w:tab w:val="right" w:pos="9360"/>
      </w:tabs>
    </w:pPr>
  </w:style>
  <w:style w:type="character" w:customStyle="1" w:styleId="HeaderChar">
    <w:name w:val="Header Char"/>
    <w:basedOn w:val="DefaultParagraphFont"/>
    <w:link w:val="Header"/>
    <w:uiPriority w:val="99"/>
    <w:rsid w:val="00324F58"/>
  </w:style>
  <w:style w:type="paragraph" w:styleId="Footer">
    <w:name w:val="footer"/>
    <w:basedOn w:val="Normal"/>
    <w:link w:val="FooterChar"/>
    <w:uiPriority w:val="99"/>
    <w:unhideWhenUsed/>
    <w:rsid w:val="00324F58"/>
    <w:pPr>
      <w:tabs>
        <w:tab w:val="center" w:pos="4680"/>
        <w:tab w:val="right" w:pos="9360"/>
      </w:tabs>
    </w:pPr>
  </w:style>
  <w:style w:type="character" w:customStyle="1" w:styleId="FooterChar">
    <w:name w:val="Footer Char"/>
    <w:basedOn w:val="DefaultParagraphFont"/>
    <w:link w:val="Footer"/>
    <w:uiPriority w:val="99"/>
    <w:rsid w:val="00324F58"/>
  </w:style>
  <w:style w:type="paragraph" w:styleId="FootnoteText">
    <w:name w:val="footnote text"/>
    <w:basedOn w:val="Normal"/>
    <w:link w:val="FootnoteTextChar"/>
    <w:uiPriority w:val="99"/>
    <w:semiHidden/>
    <w:unhideWhenUsed/>
    <w:rsid w:val="009B6C66"/>
    <w:rPr>
      <w:sz w:val="20"/>
      <w:szCs w:val="20"/>
    </w:rPr>
  </w:style>
  <w:style w:type="character" w:customStyle="1" w:styleId="FootnoteTextChar">
    <w:name w:val="Footnote Text Char"/>
    <w:basedOn w:val="DefaultParagraphFont"/>
    <w:link w:val="FootnoteText"/>
    <w:uiPriority w:val="99"/>
    <w:semiHidden/>
    <w:rsid w:val="009B6C66"/>
    <w:rPr>
      <w:sz w:val="20"/>
      <w:szCs w:val="20"/>
    </w:rPr>
  </w:style>
  <w:style w:type="character" w:styleId="FootnoteReference">
    <w:name w:val="footnote reference"/>
    <w:basedOn w:val="DefaultParagraphFont"/>
    <w:uiPriority w:val="99"/>
    <w:unhideWhenUsed/>
    <w:rsid w:val="009B6C66"/>
    <w:rPr>
      <w:vertAlign w:val="superscript"/>
    </w:rPr>
  </w:style>
  <w:style w:type="character" w:styleId="UnresolvedMention">
    <w:name w:val="Unresolved Mention"/>
    <w:basedOn w:val="DefaultParagraphFont"/>
    <w:uiPriority w:val="99"/>
    <w:rsid w:val="003642B8"/>
    <w:rPr>
      <w:color w:val="605E5C"/>
      <w:shd w:val="clear" w:color="auto" w:fill="E1DFDD"/>
    </w:rPr>
  </w:style>
  <w:style w:type="character" w:styleId="EndnoteReference">
    <w:name w:val="endnote reference"/>
    <w:basedOn w:val="DefaultParagraphFont"/>
    <w:uiPriority w:val="99"/>
    <w:semiHidden/>
    <w:unhideWhenUsed/>
    <w:rsid w:val="006B7F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984">
      <w:bodyDiv w:val="1"/>
      <w:marLeft w:val="0"/>
      <w:marRight w:val="0"/>
      <w:marTop w:val="0"/>
      <w:marBottom w:val="0"/>
      <w:divBdr>
        <w:top w:val="none" w:sz="0" w:space="0" w:color="auto"/>
        <w:left w:val="none" w:sz="0" w:space="0" w:color="auto"/>
        <w:bottom w:val="none" w:sz="0" w:space="0" w:color="auto"/>
        <w:right w:val="none" w:sz="0" w:space="0" w:color="auto"/>
      </w:divBdr>
    </w:div>
    <w:div w:id="722488876">
      <w:bodyDiv w:val="1"/>
      <w:marLeft w:val="0"/>
      <w:marRight w:val="0"/>
      <w:marTop w:val="0"/>
      <w:marBottom w:val="0"/>
      <w:divBdr>
        <w:top w:val="none" w:sz="0" w:space="0" w:color="auto"/>
        <w:left w:val="none" w:sz="0" w:space="0" w:color="auto"/>
        <w:bottom w:val="none" w:sz="0" w:space="0" w:color="auto"/>
        <w:right w:val="none" w:sz="0" w:space="0" w:color="auto"/>
      </w:divBdr>
    </w:div>
    <w:div w:id="750614730">
      <w:bodyDiv w:val="1"/>
      <w:marLeft w:val="0"/>
      <w:marRight w:val="0"/>
      <w:marTop w:val="0"/>
      <w:marBottom w:val="0"/>
      <w:divBdr>
        <w:top w:val="none" w:sz="0" w:space="0" w:color="auto"/>
        <w:left w:val="none" w:sz="0" w:space="0" w:color="auto"/>
        <w:bottom w:val="none" w:sz="0" w:space="0" w:color="auto"/>
        <w:right w:val="none" w:sz="0" w:space="0" w:color="auto"/>
      </w:divBdr>
    </w:div>
    <w:div w:id="751004309">
      <w:bodyDiv w:val="1"/>
      <w:marLeft w:val="0"/>
      <w:marRight w:val="0"/>
      <w:marTop w:val="0"/>
      <w:marBottom w:val="0"/>
      <w:divBdr>
        <w:top w:val="none" w:sz="0" w:space="0" w:color="auto"/>
        <w:left w:val="none" w:sz="0" w:space="0" w:color="auto"/>
        <w:bottom w:val="none" w:sz="0" w:space="0" w:color="auto"/>
        <w:right w:val="none" w:sz="0" w:space="0" w:color="auto"/>
      </w:divBdr>
    </w:div>
    <w:div w:id="786391566">
      <w:bodyDiv w:val="1"/>
      <w:marLeft w:val="0"/>
      <w:marRight w:val="0"/>
      <w:marTop w:val="0"/>
      <w:marBottom w:val="0"/>
      <w:divBdr>
        <w:top w:val="none" w:sz="0" w:space="0" w:color="auto"/>
        <w:left w:val="none" w:sz="0" w:space="0" w:color="auto"/>
        <w:bottom w:val="none" w:sz="0" w:space="0" w:color="auto"/>
        <w:right w:val="none" w:sz="0" w:space="0" w:color="auto"/>
      </w:divBdr>
    </w:div>
    <w:div w:id="975984354">
      <w:bodyDiv w:val="1"/>
      <w:marLeft w:val="0"/>
      <w:marRight w:val="0"/>
      <w:marTop w:val="0"/>
      <w:marBottom w:val="0"/>
      <w:divBdr>
        <w:top w:val="none" w:sz="0" w:space="0" w:color="auto"/>
        <w:left w:val="none" w:sz="0" w:space="0" w:color="auto"/>
        <w:bottom w:val="none" w:sz="0" w:space="0" w:color="auto"/>
        <w:right w:val="none" w:sz="0" w:space="0" w:color="auto"/>
      </w:divBdr>
    </w:div>
    <w:div w:id="1056663728">
      <w:bodyDiv w:val="1"/>
      <w:marLeft w:val="0"/>
      <w:marRight w:val="0"/>
      <w:marTop w:val="0"/>
      <w:marBottom w:val="0"/>
      <w:divBdr>
        <w:top w:val="none" w:sz="0" w:space="0" w:color="auto"/>
        <w:left w:val="none" w:sz="0" w:space="0" w:color="auto"/>
        <w:bottom w:val="none" w:sz="0" w:space="0" w:color="auto"/>
        <w:right w:val="none" w:sz="0" w:space="0" w:color="auto"/>
      </w:divBdr>
    </w:div>
    <w:div w:id="1361123863">
      <w:bodyDiv w:val="1"/>
      <w:marLeft w:val="0"/>
      <w:marRight w:val="0"/>
      <w:marTop w:val="0"/>
      <w:marBottom w:val="0"/>
      <w:divBdr>
        <w:top w:val="none" w:sz="0" w:space="0" w:color="auto"/>
        <w:left w:val="none" w:sz="0" w:space="0" w:color="auto"/>
        <w:bottom w:val="none" w:sz="0" w:space="0" w:color="auto"/>
        <w:right w:val="none" w:sz="0" w:space="0" w:color="auto"/>
      </w:divBdr>
    </w:div>
    <w:div w:id="1608655108">
      <w:bodyDiv w:val="1"/>
      <w:marLeft w:val="0"/>
      <w:marRight w:val="0"/>
      <w:marTop w:val="0"/>
      <w:marBottom w:val="0"/>
      <w:divBdr>
        <w:top w:val="none" w:sz="0" w:space="0" w:color="auto"/>
        <w:left w:val="none" w:sz="0" w:space="0" w:color="auto"/>
        <w:bottom w:val="none" w:sz="0" w:space="0" w:color="auto"/>
        <w:right w:val="none" w:sz="0" w:space="0" w:color="auto"/>
      </w:divBdr>
    </w:div>
    <w:div w:id="1790738072">
      <w:bodyDiv w:val="1"/>
      <w:marLeft w:val="0"/>
      <w:marRight w:val="0"/>
      <w:marTop w:val="0"/>
      <w:marBottom w:val="0"/>
      <w:divBdr>
        <w:top w:val="none" w:sz="0" w:space="0" w:color="auto"/>
        <w:left w:val="none" w:sz="0" w:space="0" w:color="auto"/>
        <w:bottom w:val="none" w:sz="0" w:space="0" w:color="auto"/>
        <w:right w:val="none" w:sz="0" w:space="0" w:color="auto"/>
      </w:divBdr>
    </w:div>
    <w:div w:id="20450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ax.org/why-the-mouse/excellent-models" TargetMode="External"/><Relationship Id="rId2" Type="http://schemas.openxmlformats.org/officeDocument/2006/relationships/hyperlink" Target="https://www.neuroscientificallychallenged.com/blog/2014/5/31/what-is-the-hpa-axis" TargetMode="External"/><Relationship Id="rId1" Type="http://schemas.openxmlformats.org/officeDocument/2006/relationships/hyperlink" Target="https://www.health.harvard.edu/staying-healthy/understanding-the-stress-response" TargetMode="External"/><Relationship Id="rId5" Type="http://schemas.openxmlformats.org/officeDocument/2006/relationships/hyperlink" Target="https://www.genetargeting.com/stem-cell/mouse-cell-line/" TargetMode="External"/><Relationship Id="rId4" Type="http://schemas.openxmlformats.org/officeDocument/2006/relationships/hyperlink" Target="https://www.hopkinsmedicine.org/institute_basic_biomedical_sciences/news_events/articles_and_stories/model_organisms/201010_mouse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F757-A5D2-CD47-A1D3-6015BE7A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82</cp:revision>
  <dcterms:created xsi:type="dcterms:W3CDTF">2019-08-16T13:39:00Z</dcterms:created>
  <dcterms:modified xsi:type="dcterms:W3CDTF">2019-08-18T23:19:00Z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http://www.zotero.org/styles/endocrinology</vt:lpwstr>
  </property>
  <property fmtid="{D5CDD505-2E9C-101B-9397-08002B2CF9AE}" pid="9" name="Mendeley Recent Style Name 3_1">
    <vt:lpwstr>Endocrinology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