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w:t>
      </w:r>
      <w:proofErr w:type="spellStart"/>
      <w:r>
        <w:rPr>
          <w:rFonts w:ascii="Times New Roman" w:hAnsi="Times New Roman" w:cs="Times New Roman"/>
        </w:rPr>
        <w:t>Habbal</w:t>
      </w:r>
      <w:proofErr w:type="spellEnd"/>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113DEAC" w14:textId="77777777" w:rsidR="00B555A6" w:rsidRDefault="00B34F9F" w:rsidP="00CC5373">
      <w:pPr>
        <w:spacing w:line="360" w:lineRule="auto"/>
        <w:rPr>
          <w:ins w:id="1" w:author="Molly Mulcahy" w:date="2022-05-05T15:24:00Z"/>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 xml:space="preserve">in a temperature and humidity-controlled facility with a 12-hour </w:t>
      </w:r>
      <w:proofErr w:type="spellStart"/>
      <w:r w:rsidRPr="00303552">
        <w:rPr>
          <w:rFonts w:ascii="Times New Roman" w:hAnsi="Times New Roman" w:cs="Times New Roman"/>
        </w:rPr>
        <w:t>light:dark</w:t>
      </w:r>
      <w:proofErr w:type="spellEnd"/>
      <w:r w:rsidRPr="00303552">
        <w:rPr>
          <w:rFonts w:ascii="Times New Roman" w:hAnsi="Times New Roman" w:cs="Times New Roman"/>
        </w:rPr>
        <w:t xml:space="preserve">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ins w:id="2" w:author="Dave Bridges" w:date="2022-05-05T14:50:00Z">
        <w:r w:rsidR="00E40985">
          <w:rPr>
            <w:rFonts w:ascii="Times New Roman" w:hAnsi="Times New Roman" w:cs="Times New Roman"/>
          </w:rPr>
          <w:t xml:space="preserve">null </w:t>
        </w:r>
      </w:ins>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del w:id="3" w:author="Dave Bridges" w:date="2022-05-05T14:50:00Z">
        <w:r w:rsidR="00D071B1" w:rsidRPr="00303552" w:rsidDel="00E40985">
          <w:rPr>
            <w:rFonts w:ascii="Times New Roman" w:hAnsi="Times New Roman" w:cs="Times New Roman"/>
          </w:rPr>
          <w:delText xml:space="preserve">procured from the Seeley Lab at the university of Michigan. </w:delText>
        </w:r>
        <w:r w:rsidR="006B0F65" w:rsidRPr="00D3270D" w:rsidDel="00E40985">
          <w:rPr>
            <w:rFonts w:ascii="Times New Roman" w:hAnsi="Times New Roman" w:cs="Times New Roman"/>
            <w:i/>
            <w:iCs/>
          </w:rPr>
          <w:delText>G</w:delText>
        </w:r>
        <w:r w:rsidR="00D3270D" w:rsidRPr="00D3270D" w:rsidDel="00E40985">
          <w:rPr>
            <w:rFonts w:ascii="Times New Roman" w:hAnsi="Times New Roman" w:cs="Times New Roman"/>
            <w:i/>
            <w:iCs/>
          </w:rPr>
          <w:delText>df</w:delText>
        </w:r>
        <w:r w:rsidR="006B0F65" w:rsidRPr="00D3270D" w:rsidDel="00E40985">
          <w:rPr>
            <w:rFonts w:ascii="Times New Roman" w:hAnsi="Times New Roman" w:cs="Times New Roman"/>
            <w:i/>
            <w:iCs/>
          </w:rPr>
          <w:delText>15</w:delText>
        </w:r>
        <w:r w:rsidR="00D3270D" w:rsidDel="00E40985">
          <w:rPr>
            <w:rFonts w:ascii="Times New Roman" w:hAnsi="Times New Roman" w:cs="Times New Roman"/>
            <w:vertAlign w:val="superscript"/>
          </w:rPr>
          <w:delText>-/-</w:delText>
        </w:r>
        <w:r w:rsidR="006B0F65" w:rsidDel="00E40985">
          <w:rPr>
            <w:rFonts w:ascii="Times New Roman" w:hAnsi="Times New Roman" w:cs="Times New Roman"/>
          </w:rPr>
          <w:delText xml:space="preserve"> mice</w:delText>
        </w:r>
        <w:r w:rsidR="00D3270D" w:rsidDel="00E40985">
          <w:rPr>
            <w:rFonts w:ascii="Times New Roman" w:hAnsi="Times New Roman" w:cs="Times New Roman"/>
          </w:rPr>
          <w:delText xml:space="preserve"> (KO)</w:delText>
        </w:r>
        <w:r w:rsidR="006B0F65" w:rsidDel="00E40985">
          <w:rPr>
            <w:rFonts w:ascii="Times New Roman" w:hAnsi="Times New Roman" w:cs="Times New Roman"/>
          </w:rPr>
          <w:delText xml:space="preserve"> were </w:delText>
        </w:r>
      </w:del>
    </w:p>
    <w:p w14:paraId="6926DC6D" w14:textId="77777777" w:rsidR="004C147B" w:rsidRPr="00CC5373" w:rsidRDefault="006B0F65" w:rsidP="004C147B">
      <w:pPr>
        <w:spacing w:line="360" w:lineRule="auto"/>
        <w:rPr>
          <w:ins w:id="4" w:author="Molly Mulcahy" w:date="2022-05-05T15:28:00Z"/>
          <w:rFonts w:ascii="Times New Roman" w:eastAsia="Times New Roman" w:hAnsi="Times New Roman" w:cs="Times New Roman"/>
        </w:rPr>
      </w:pPr>
      <w:r>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ins w:id="5" w:author="Molly Mulcahy" w:date="2022-05-05T15:24:00Z">
        <w:r w:rsidR="00B555A6">
          <w:rPr>
            <w:rFonts w:ascii="Times New Roman" w:hAnsi="Times New Roman" w:cs="Times New Roman"/>
          </w:rPr>
          <w:t xml:space="preserve">Don’t need this level of </w:t>
        </w:r>
      </w:ins>
      <w:ins w:id="6" w:author="Molly Mulcahy" w:date="2022-05-05T15:25:00Z">
        <w:r w:rsidR="00B555A6">
          <w:rPr>
            <w:rFonts w:ascii="Times New Roman" w:hAnsi="Times New Roman" w:cs="Times New Roman"/>
          </w:rPr>
          <w:t xml:space="preserve">detail, just say CRISPR Cas-9 deletion of Exon 2. </w:t>
        </w:r>
      </w:ins>
      <w:ins w:id="7" w:author="Molly Mulcahy" w:date="2022-05-05T15:28:00Z">
        <w:r w:rsidR="004C147B">
          <w:rPr>
            <w:rFonts w:ascii="Times New Roman" w:hAnsi="Times New Roman" w:cs="Times New Roman"/>
          </w:rPr>
          <w:t>Exon 2 (translational start site) which we ablated, is in every GDF15 transcript (confirm)</w:t>
        </w:r>
      </w:ins>
    </w:p>
    <w:p w14:paraId="2186DD73" w14:textId="12E32FF8" w:rsidR="002375E1" w:rsidRPr="00CC5373" w:rsidRDefault="002375E1" w:rsidP="00CC5373">
      <w:pPr>
        <w:spacing w:line="360" w:lineRule="auto"/>
        <w:rPr>
          <w:rFonts w:ascii="Times New Roman" w:eastAsia="Times New Roman" w:hAnsi="Times New Roman" w:cs="Times New Roman"/>
        </w:rPr>
      </w:pPr>
      <w:r>
        <w:rPr>
          <w:rFonts w:ascii="Times New Roman" w:hAnsi="Times New Roman" w:cs="Times New Roman"/>
        </w:rPr>
        <w:t xml:space="preserve">Briefly, </w:t>
      </w:r>
      <w:r w:rsidR="008D11D5">
        <w:rPr>
          <w:rFonts w:ascii="Times New Roman" w:hAnsi="Times New Roman" w:cs="Times New Roman"/>
        </w:rPr>
        <w:t>C57BL6/J mice were obtained from Jackson laboratories (</w:t>
      </w:r>
      <w:commentRangeStart w:id="8"/>
      <w:r w:rsidR="008D11D5">
        <w:rPr>
          <w:rFonts w:ascii="Times New Roman" w:hAnsi="Times New Roman" w:cs="Times New Roman"/>
        </w:rPr>
        <w:t>RRID</w:t>
      </w:r>
      <w:r w:rsidR="00CC5373">
        <w:rPr>
          <w:rFonts w:ascii="Times New Roman" w:hAnsi="Times New Roman" w:cs="Times New Roman"/>
        </w:rPr>
        <w:t xml:space="preserve"> </w:t>
      </w:r>
      <w:r w:rsidR="00CC5373" w:rsidRPr="00CC5373">
        <w:rPr>
          <w:rFonts w:ascii="Times New Roman" w:hAnsi="Times New Roman" w:cs="Times New Roman"/>
        </w:rPr>
        <w:t>I</w:t>
      </w:r>
      <w:r w:rsidR="00CC5373" w:rsidRPr="00CC5373">
        <w:rPr>
          <w:rFonts w:ascii="Times New Roman" w:eastAsia="Times New Roman" w:hAnsi="Times New Roman" w:cs="Times New Roman"/>
          <w:color w:val="191919"/>
          <w:shd w:val="clear" w:color="auto" w:fill="FFFFFF"/>
        </w:rPr>
        <w:t>MSR_JAX:000664</w:t>
      </w:r>
      <w:commentRangeEnd w:id="8"/>
      <w:r w:rsidR="004C147B">
        <w:rPr>
          <w:rStyle w:val="CommentReference"/>
        </w:rPr>
        <w:commentReference w:id="8"/>
      </w:r>
      <w:r w:rsidR="008D11D5">
        <w:rPr>
          <w:rFonts w:ascii="Times New Roman" w:hAnsi="Times New Roman" w:cs="Times New Roman"/>
        </w:rPr>
        <w:t>)</w:t>
      </w:r>
      <w:r w:rsidR="00D3270D">
        <w:rPr>
          <w:rFonts w:ascii="Times New Roman" w:hAnsi="Times New Roman" w:cs="Times New Roman"/>
        </w:rPr>
        <w:t xml:space="preserve">. </w:t>
      </w:r>
      <w:commentRangeStart w:id="9"/>
      <w:r w:rsidR="00D3270D">
        <w:rPr>
          <w:rFonts w:ascii="Times New Roman" w:hAnsi="Times New Roman" w:cs="Times New Roman"/>
        </w:rPr>
        <w:t xml:space="preserve">To generate the </w:t>
      </w:r>
      <w:r w:rsidR="00D3270D" w:rsidRPr="00D3270D">
        <w:rPr>
          <w:rFonts w:ascii="Times New Roman" w:hAnsi="Times New Roman" w:cs="Times New Roman"/>
          <w:i/>
          <w:iCs/>
        </w:rPr>
        <w:t>Gdf15</w:t>
      </w:r>
      <w:r w:rsidR="00D3270D">
        <w:rPr>
          <w:rFonts w:ascii="Times New Roman" w:hAnsi="Times New Roman" w:cs="Times New Roman"/>
          <w:vertAlign w:val="superscript"/>
        </w:rPr>
        <w:t>-/</w:t>
      </w:r>
      <w:r w:rsidR="008F4555">
        <w:rPr>
          <w:rFonts w:ascii="Times New Roman" w:hAnsi="Times New Roman" w:cs="Times New Roman"/>
          <w:vertAlign w:val="superscript"/>
        </w:rPr>
        <w:t>-</w:t>
      </w:r>
      <w:r w:rsidR="008F4555">
        <w:rPr>
          <w:rFonts w:ascii="Times New Roman" w:hAnsi="Times New Roman" w:cs="Times New Roman"/>
        </w:rPr>
        <w:t>,</w:t>
      </w:r>
      <w:r w:rsidR="00D3270D">
        <w:rPr>
          <w:rFonts w:ascii="Times New Roman" w:hAnsi="Times New Roman" w:cs="Times New Roman"/>
        </w:rPr>
        <w:t xml:space="preserve"> gRNAs were designed to flank the second exon of </w:t>
      </w:r>
      <w:r w:rsidR="00D3270D" w:rsidRPr="00D3270D">
        <w:rPr>
          <w:rFonts w:ascii="Times New Roman" w:hAnsi="Times New Roman" w:cs="Times New Roman"/>
          <w:i/>
          <w:iCs/>
        </w:rPr>
        <w:t>Gdf15</w:t>
      </w:r>
      <w:r w:rsidR="00D3270D">
        <w:rPr>
          <w:rFonts w:ascii="Times New Roman" w:hAnsi="Times New Roman" w:cs="Times New Roman"/>
        </w:rPr>
        <w:t xml:space="preserve">. </w:t>
      </w:r>
      <w:r w:rsidR="008E4DF2">
        <w:rPr>
          <w:rFonts w:ascii="Times New Roman" w:hAnsi="Times New Roman" w:cs="Times New Roman"/>
        </w:rPr>
        <w:t xml:space="preserve">Using CRISPR-Cas9, oligonucleotides corresponding to the exon 2 gRNAs were cloned into px330. These plasmids were then injected into embryos and transferred into female mice. Resultant pups were screened for </w:t>
      </w:r>
      <w:r w:rsidR="00916768">
        <w:rPr>
          <w:rFonts w:ascii="Times New Roman" w:hAnsi="Times New Roman" w:cs="Times New Roman"/>
        </w:rPr>
        <w:t>loss exon 2 buy PCR and DNA sequencing</w:t>
      </w:r>
      <w:commentRangeEnd w:id="9"/>
      <w:r w:rsidR="00916768">
        <w:rPr>
          <w:rStyle w:val="CommentReference"/>
        </w:rPr>
        <w:commentReference w:id="9"/>
      </w:r>
      <w:r w:rsidR="00916768">
        <w:rPr>
          <w:rFonts w:ascii="Times New Roman" w:hAnsi="Times New Roman" w:cs="Times New Roman"/>
        </w:rPr>
        <w:t xml:space="preserve">. </w:t>
      </w:r>
    </w:p>
    <w:p w14:paraId="29433BAD" w14:textId="27BFBF8E" w:rsidR="000F3B3F" w:rsidRDefault="00436287" w:rsidP="00436287">
      <w:pPr>
        <w:pStyle w:val="Heading2"/>
      </w:pPr>
      <w:r>
        <w:t>G</w:t>
      </w:r>
      <w:r w:rsidR="000F3B3F">
        <w:t>enotyping</w:t>
      </w:r>
    </w:p>
    <w:p w14:paraId="050F47B7" w14:textId="3E97E5E9" w:rsidR="00436287" w:rsidRPr="00B34F9F" w:rsidRDefault="00436287" w:rsidP="00B34F9F">
      <w:pPr>
        <w:spacing w:line="360" w:lineRule="auto"/>
        <w:rPr>
          <w:rFonts w:ascii="Times New Roman" w:eastAsia="Times New Roman" w:hAnsi="Times New Roman" w:cs="Times New Roman"/>
          <w:color w:val="000000" w:themeColor="text1"/>
        </w:rPr>
      </w:pPr>
      <w:r>
        <w:rPr>
          <w:rFonts w:ascii="Times New Roman" w:hAnsi="Times New Roman" w:cs="Times New Roman"/>
        </w:rPr>
        <w:t xml:space="preserve">At 14 days of age, a small section of the tail was collected and digested in </w:t>
      </w:r>
      <w:r w:rsidR="00D671B1">
        <w:rPr>
          <w:rFonts w:ascii="Times New Roman" w:hAnsi="Times New Roman" w:cs="Times New Roman"/>
        </w:rPr>
        <w:t xml:space="preserve">100uL of </w:t>
      </w:r>
      <w:r w:rsidR="00004DE4">
        <w:rPr>
          <w:rFonts w:ascii="Times New Roman" w:hAnsi="Times New Roman" w:cs="Times New Roman"/>
        </w:rPr>
        <w:t>lysis buffer</w:t>
      </w:r>
      <w:r w:rsidR="00CC5373">
        <w:rPr>
          <w:rFonts w:ascii="Times New Roman" w:hAnsi="Times New Roman" w:cs="Times New Roman"/>
        </w:rPr>
        <w:t xml:space="preserve"> </w:t>
      </w:r>
      <w:r w:rsidR="00CC5373" w:rsidRPr="00B34F9F">
        <w:rPr>
          <w:rFonts w:ascii="Times New Roman" w:hAnsi="Times New Roman" w:cs="Times New Roman"/>
          <w:color w:val="000000" w:themeColor="text1"/>
        </w:rPr>
        <w:t>(</w:t>
      </w:r>
      <w:r w:rsidR="00004DE4" w:rsidRPr="00B34F9F">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B34F9F">
        <w:rPr>
          <w:rFonts w:ascii="Times New Roman" w:hAnsi="Times New Roman" w:cs="Times New Roman"/>
          <w:color w:val="000000" w:themeColor="text1"/>
        </w:rPr>
        <w:t>)</w:t>
      </w:r>
      <w:r w:rsidR="00D671B1" w:rsidRPr="00B34F9F">
        <w:rPr>
          <w:rFonts w:ascii="Times New Roman" w:hAnsi="Times New Roman" w:cs="Times New Roman"/>
          <w:color w:val="000000" w:themeColor="text1"/>
        </w:rPr>
        <w:t xml:space="preserve"> at </w:t>
      </w:r>
      <w:r w:rsidR="00D671B1">
        <w:rPr>
          <w:rFonts w:ascii="Times New Roman" w:hAnsi="Times New Roman" w:cs="Times New Roman"/>
        </w:rPr>
        <w:t xml:space="preserve">55°C for 4 hours. </w:t>
      </w:r>
      <w:r w:rsidR="00CD4198">
        <w:rPr>
          <w:rFonts w:ascii="Times New Roman" w:hAnsi="Times New Roman" w:cs="Times New Roman"/>
        </w:rPr>
        <w:t>D</w:t>
      </w:r>
      <w:r w:rsidR="00D671B1">
        <w:rPr>
          <w:rFonts w:ascii="Times New Roman" w:hAnsi="Times New Roman" w:cs="Times New Roman"/>
        </w:rPr>
        <w:t>i</w:t>
      </w:r>
      <w:r w:rsidR="00CD4198">
        <w:rPr>
          <w:rFonts w:ascii="Times New Roman" w:hAnsi="Times New Roman" w:cs="Times New Roman"/>
        </w:rPr>
        <w:t xml:space="preserve">gested DNA sample was </w:t>
      </w:r>
      <w:r w:rsidR="00D671B1">
        <w:rPr>
          <w:rFonts w:ascii="Times New Roman" w:hAnsi="Times New Roman" w:cs="Times New Roman"/>
        </w:rPr>
        <w:t>utilized with</w:t>
      </w:r>
      <w:r>
        <w:rPr>
          <w:rFonts w:ascii="Times New Roman" w:hAnsi="Times New Roman" w:cs="Times New Roman"/>
        </w:rPr>
        <w:t xml:space="preserve"> </w:t>
      </w:r>
      <w:proofErr w:type="spellStart"/>
      <w:r>
        <w:rPr>
          <w:rFonts w:ascii="Times New Roman" w:hAnsi="Times New Roman" w:cs="Times New Roman"/>
        </w:rPr>
        <w:t>DreamTaq</w:t>
      </w:r>
      <w:proofErr w:type="spellEnd"/>
      <w:r>
        <w:rPr>
          <w:rFonts w:ascii="Times New Roman" w:hAnsi="Times New Roman" w:cs="Times New Roman"/>
        </w:rPr>
        <w:t xml:space="preserve"> </w:t>
      </w:r>
      <w:r w:rsidR="00D671B1">
        <w:rPr>
          <w:rFonts w:ascii="Times New Roman" w:hAnsi="Times New Roman" w:cs="Times New Roman"/>
        </w:rPr>
        <w:t>G</w:t>
      </w:r>
      <w:r>
        <w:rPr>
          <w:rFonts w:ascii="Times New Roman" w:hAnsi="Times New Roman" w:cs="Times New Roman"/>
        </w:rPr>
        <w:t>reen</w:t>
      </w:r>
      <w:r w:rsidR="00D671B1">
        <w:rPr>
          <w:rFonts w:ascii="Times New Roman" w:hAnsi="Times New Roman" w:cs="Times New Roman"/>
        </w:rPr>
        <w:t xml:space="preserve"> to generate PCR product </w:t>
      </w:r>
      <w:r w:rsidR="00CD4198">
        <w:rPr>
          <w:rFonts w:ascii="Times New Roman" w:hAnsi="Times New Roman" w:cs="Times New Roman"/>
        </w:rPr>
        <w:t>(</w:t>
      </w:r>
      <w:proofErr w:type="spellStart"/>
      <w:r w:rsidR="00CC5373">
        <w:rPr>
          <w:rFonts w:ascii="Times New Roman" w:hAnsi="Times New Roman" w:cs="Times New Roman"/>
        </w:rPr>
        <w:t>ThermoFisher</w:t>
      </w:r>
      <w:proofErr w:type="spellEnd"/>
      <w:r w:rsidR="00CC5373">
        <w:rPr>
          <w:rFonts w:ascii="Times New Roman" w:hAnsi="Times New Roman" w:cs="Times New Roman"/>
        </w:rPr>
        <w:t xml:space="preserve"> Scientific, </w:t>
      </w:r>
      <w:r w:rsidR="00B34F9F">
        <w:rPr>
          <w:rFonts w:ascii="Times New Roman" w:hAnsi="Times New Roman" w:cs="Times New Roman"/>
        </w:rPr>
        <w:t>Catalog #</w:t>
      </w:r>
      <w:r w:rsidR="00CC5373">
        <w:rPr>
          <w:rFonts w:ascii="Times New Roman" w:hAnsi="Times New Roman" w:cs="Times New Roman"/>
        </w:rPr>
        <w:t>K1081</w:t>
      </w:r>
      <w:r w:rsidR="00CD4198">
        <w:rPr>
          <w:rFonts w:ascii="Times New Roman" w:hAnsi="Times New Roman" w:cs="Times New Roman"/>
        </w:rPr>
        <w:t>)</w:t>
      </w:r>
      <w:r>
        <w:rPr>
          <w:rFonts w:ascii="Times New Roman" w:hAnsi="Times New Roman" w:cs="Times New Roman"/>
        </w:rPr>
        <w:t>. Genotyping by PCR was conducted with 2 forward and one reverse primer (see table). Initiation of PCR was at 95 °C for 3 minutes, followed by 38 cycles of denaturation(95°C for 30 seconds), annealing</w:t>
      </w:r>
      <w:r w:rsidR="00910237">
        <w:rPr>
          <w:rFonts w:ascii="Times New Roman" w:hAnsi="Times New Roman" w:cs="Times New Roman"/>
        </w:rPr>
        <w:t xml:space="preserve"> </w:t>
      </w:r>
      <w:r>
        <w:rPr>
          <w:rFonts w:ascii="Times New Roman" w:hAnsi="Times New Roman" w:cs="Times New Roman"/>
        </w:rPr>
        <w:t xml:space="preserve">(60°C for 40 seconds), and elongation (72°C for 1 minute), and a final amplification step at 72°C for 5 minutes. PCR product was </w:t>
      </w:r>
      <w:r w:rsidR="00D671B1">
        <w:rPr>
          <w:rFonts w:ascii="Times New Roman" w:hAnsi="Times New Roman" w:cs="Times New Roman"/>
        </w:rPr>
        <w:t>put through gel electrophoresis</w:t>
      </w:r>
      <w:r w:rsidR="00CD4198">
        <w:rPr>
          <w:rFonts w:ascii="Times New Roman" w:hAnsi="Times New Roman" w:cs="Times New Roman"/>
        </w:rPr>
        <w:t xml:space="preserve"> on a 2% agarose gel</w:t>
      </w:r>
      <w:r w:rsidR="00D671B1">
        <w:rPr>
          <w:rFonts w:ascii="Times New Roman" w:hAnsi="Times New Roman" w:cs="Times New Roman"/>
        </w:rPr>
        <w:t xml:space="preserve"> at 130V and imaged on a gel documentation system using UV light</w:t>
      </w:r>
      <w:r w:rsidR="00CD4198">
        <w:rPr>
          <w:rFonts w:ascii="Times New Roman" w:hAnsi="Times New Roman" w:cs="Times New Roman"/>
        </w:rPr>
        <w:t xml:space="preserve">. PCR product resulted in </w:t>
      </w:r>
      <w:r w:rsidR="00D671B1">
        <w:rPr>
          <w:rFonts w:ascii="Times New Roman" w:hAnsi="Times New Roman" w:cs="Times New Roman"/>
        </w:rPr>
        <w:t>2 visible</w:t>
      </w:r>
      <w:r w:rsidR="00CD4198">
        <w:rPr>
          <w:rFonts w:ascii="Times New Roman" w:hAnsi="Times New Roman" w:cs="Times New Roman"/>
        </w:rPr>
        <w:t xml:space="preserve"> bands, one at 200bp (KO) and another at 600</w:t>
      </w:r>
      <w:ins w:id="10" w:author="Dave Bridges" w:date="2022-05-05T14:51:00Z">
        <w:r w:rsidR="0042306F">
          <w:rPr>
            <w:rFonts w:ascii="Times New Roman" w:hAnsi="Times New Roman" w:cs="Times New Roman"/>
          </w:rPr>
          <w:t>bp</w:t>
        </w:r>
      </w:ins>
      <w:r w:rsidR="00CD4198">
        <w:rPr>
          <w:rFonts w:ascii="Times New Roman" w:hAnsi="Times New Roman" w:cs="Times New Roman"/>
        </w:rPr>
        <w:t xml:space="preserve"> (WT)</w:t>
      </w:r>
      <w:r w:rsidR="00D671B1">
        <w:rPr>
          <w:rFonts w:ascii="Times New Roman" w:hAnsi="Times New Roman" w:cs="Times New Roman"/>
        </w:rPr>
        <w:t>. Mice with both bands considered heterozygous.</w:t>
      </w:r>
    </w:p>
    <w:p w14:paraId="2EEFFCD5" w14:textId="6C155D2C" w:rsidR="00910237" w:rsidRDefault="00910237" w:rsidP="00910237">
      <w:pPr>
        <w:pStyle w:val="Heading2"/>
      </w:pPr>
      <w:commentRangeStart w:id="11"/>
      <w:r>
        <w:t>Mating</w:t>
      </w:r>
      <w:commentRangeEnd w:id="11"/>
      <w:r w:rsidR="00506BE3">
        <w:rPr>
          <w:rStyle w:val="CommentReference"/>
          <w:rFonts w:asciiTheme="minorHAnsi" w:eastAsiaTheme="minorHAnsi" w:hAnsiTheme="minorHAnsi" w:cstheme="minorBidi"/>
          <w:i w:val="0"/>
          <w:color w:val="auto"/>
        </w:rPr>
        <w:commentReference w:id="11"/>
      </w:r>
    </w:p>
    <w:p w14:paraId="031098A6" w14:textId="3C46822A" w:rsidR="00E973AF" w:rsidRDefault="00910237" w:rsidP="00037D8F">
      <w:pPr>
        <w:spacing w:line="360" w:lineRule="auto"/>
        <w:rPr>
          <w:rFonts w:ascii="Times New Roman" w:hAnsi="Times New Roman" w:cs="Times New Roman"/>
        </w:rPr>
      </w:pPr>
      <w:r>
        <w:rPr>
          <w:rFonts w:ascii="Times New Roman" w:hAnsi="Times New Roman" w:cs="Times New Roman"/>
        </w:rPr>
        <w:t>To generate study animals, heterozygous mating pairs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 were combined to generate the F1 experimental animals (dams and sires). This project used only mating pairs that were homozygous for </w:t>
      </w:r>
      <w:r w:rsidRPr="00916768">
        <w:rPr>
          <w:rFonts w:ascii="Times New Roman" w:hAnsi="Times New Roman" w:cs="Times New Roman"/>
          <w:i/>
          <w:iCs/>
        </w:rPr>
        <w:t>Gdf15</w:t>
      </w:r>
      <w:r>
        <w:rPr>
          <w:rFonts w:ascii="Times New Roman" w:hAnsi="Times New Roman" w:cs="Times New Roman"/>
        </w:rPr>
        <w:t xml:space="preserve"> and are referred to as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(KO),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 (WT) for the remainder of this work. </w:t>
      </w:r>
      <w:r w:rsidRPr="00303552">
        <w:rPr>
          <w:rFonts w:ascii="Times New Roman" w:hAnsi="Times New Roman" w:cs="Times New Roman"/>
        </w:rPr>
        <w:t>Adult female mice</w:t>
      </w:r>
      <w:r>
        <w:rPr>
          <w:rFonts w:ascii="Times New Roman" w:hAnsi="Times New Roman" w:cs="Times New Roman"/>
        </w:rPr>
        <w:t xml:space="preserve"> (GDF15</w:t>
      </w:r>
      <w:r>
        <w:rPr>
          <w:rFonts w:ascii="Times New Roman" w:hAnsi="Times New Roman" w:cs="Times New Roman"/>
          <w:vertAlign w:val="superscript"/>
        </w:rPr>
        <w:t>-/-</w:t>
      </w:r>
      <w:r>
        <w:rPr>
          <w:rFonts w:ascii="Times New Roman" w:hAnsi="Times New Roman" w:cs="Times New Roman"/>
        </w:rPr>
        <w:t>n=8</w:t>
      </w:r>
      <w:r>
        <w:rPr>
          <w:rFonts w:ascii="Times New Roman" w:hAnsi="Times New Roman" w:cs="Times New Roman"/>
          <w:vertAlign w:val="superscript"/>
        </w:rPr>
        <w:t xml:space="preserve"> </w:t>
      </w:r>
      <w:r>
        <w:rPr>
          <w:rFonts w:ascii="Times New Roman" w:hAnsi="Times New Roman" w:cs="Times New Roman"/>
        </w:rPr>
        <w:t>, GDF15</w:t>
      </w:r>
      <w:r>
        <w:rPr>
          <w:rFonts w:ascii="Times New Roman" w:hAnsi="Times New Roman" w:cs="Times New Roman"/>
          <w:vertAlign w:val="superscript"/>
        </w:rPr>
        <w:t>+/+</w:t>
      </w:r>
      <w:r w:rsidRPr="006B0F65">
        <w:rPr>
          <w:rFonts w:ascii="Times New Roman" w:hAnsi="Times New Roman" w:cs="Times New Roman"/>
        </w:rPr>
        <w:t>n</w:t>
      </w:r>
      <w:r>
        <w:rPr>
          <w:rFonts w:ascii="Times New Roman" w:hAnsi="Times New Roman" w:cs="Times New Roman"/>
        </w:rPr>
        <w:t>=6)</w:t>
      </w:r>
      <w:r w:rsidRPr="00303552">
        <w:rPr>
          <w:rFonts w:ascii="Times New Roman" w:hAnsi="Times New Roman" w:cs="Times New Roman"/>
        </w:rPr>
        <w:t>, at least 70</w:t>
      </w:r>
      <w:r>
        <w:rPr>
          <w:rFonts w:ascii="Times New Roman" w:hAnsi="Times New Roman" w:cs="Times New Roman"/>
        </w:rPr>
        <w:t xml:space="preserve"> </w:t>
      </w:r>
      <w:r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Pr="00303552">
        <w:rPr>
          <w:rFonts w:ascii="Times New Roman" w:hAnsi="Times New Roman" w:cs="Times New Roman"/>
        </w:rPr>
        <w:t xml:space="preserve"> </w:t>
      </w:r>
      <w:r w:rsidR="00B34F9F">
        <w:rPr>
          <w:rFonts w:ascii="Times New Roman" w:hAnsi="Times New Roman" w:cs="Times New Roman"/>
        </w:rPr>
        <w:t>w</w:t>
      </w:r>
      <w:r>
        <w:rPr>
          <w:rFonts w:ascii="Times New Roman" w:hAnsi="Times New Roman" w:cs="Times New Roman"/>
        </w:rPr>
        <w:t xml:space="preserve">ater and </w:t>
      </w:r>
      <w:r w:rsidR="00B34F9F">
        <w:rPr>
          <w:rFonts w:ascii="Times New Roman" w:hAnsi="Times New Roman" w:cs="Times New Roman"/>
        </w:rPr>
        <w:t xml:space="preserve">a standard chow diet </w:t>
      </w:r>
      <w:r>
        <w:rPr>
          <w:rFonts w:ascii="Times New Roman" w:hAnsi="Times New Roman" w:cs="Times New Roman"/>
        </w:rPr>
        <w:t>(</w:t>
      </w:r>
      <w:r w:rsidRPr="00037D8F">
        <w:rPr>
          <w:rFonts w:ascii="Times New Roman" w:eastAsia="Times New Roman" w:hAnsi="Times New Roman" w:cs="Times New Roman"/>
        </w:rPr>
        <w:t xml:space="preserve">CD, </w:t>
      </w:r>
      <w:proofErr w:type="spellStart"/>
      <w:r w:rsidRPr="00037D8F">
        <w:rPr>
          <w:rFonts w:ascii="Times New Roman" w:eastAsia="Times New Roman" w:hAnsi="Times New Roman" w:cs="Times New Roman"/>
        </w:rPr>
        <w:t>Picolab</w:t>
      </w:r>
      <w:proofErr w:type="spellEnd"/>
      <w:r w:rsidRPr="00037D8F">
        <w:rPr>
          <w:rFonts w:ascii="Times New Roman" w:eastAsia="Times New Roman" w:hAnsi="Times New Roman" w:cs="Times New Roman"/>
        </w:rPr>
        <w:t xml:space="preserve"> Laboratory Rodent diet, </w:t>
      </w:r>
      <w:r>
        <w:rPr>
          <w:rFonts w:ascii="Times New Roman" w:eastAsia="Times New Roman" w:hAnsi="Times New Roman" w:cs="Times New Roman"/>
        </w:rPr>
        <w:t>(</w:t>
      </w:r>
      <w:r w:rsidRPr="00037D8F">
        <w:rPr>
          <w:rFonts w:ascii="Times New Roman" w:eastAsia="Times New Roman" w:hAnsi="Times New Roman" w:cs="Times New Roman"/>
        </w:rPr>
        <w:t>5L0D; 5% of Calories from fat, 24% from protein, 71% from carbohydrates</w:t>
      </w:r>
      <w:r>
        <w:rPr>
          <w:rFonts w:ascii="Times New Roman" w:hAnsi="Times New Roman" w:cs="Times New Roman"/>
        </w:rPr>
        <w:t xml:space="preserve">). </w:t>
      </w:r>
      <w:r w:rsidRPr="00303552">
        <w:rPr>
          <w:rFonts w:ascii="Times New Roman" w:hAnsi="Times New Roman" w:cs="Times New Roman"/>
        </w:rPr>
        <w:t xml:space="preserve">Once single-housed, weekly food intake and body weight measurements began and continued throughout the </w:t>
      </w:r>
      <w:r w:rsidRPr="00303552">
        <w:rPr>
          <w:rFonts w:ascii="Times New Roman" w:hAnsi="Times New Roman" w:cs="Times New Roman"/>
        </w:rPr>
        <w:lastRenderedPageBreak/>
        <w:t xml:space="preserve">experiment. After one week of food and body weight monitoring, homogenous genotype males were introduced for mating. Males were allowed to remain in the breeding cage until a copulatory plug was discovered, indicating pregnancy (E0.5). </w:t>
      </w:r>
      <w:r>
        <w:rPr>
          <w:rFonts w:ascii="Times New Roman" w:hAnsi="Times New Roman" w:cs="Times New Roman"/>
        </w:rPr>
        <w:t xml:space="preserve">Body weight and food intake measurements continued weekly through gestation and postnatal day 14.5. Their resultant offspring (F2) were homozygous </w:t>
      </w:r>
      <w:commentRangeStart w:id="12"/>
      <w:r>
        <w:rPr>
          <w:rFonts w:ascii="Times New Roman" w:hAnsi="Times New Roman" w:cs="Times New Roman"/>
        </w:rPr>
        <w:t xml:space="preserve">WT or KO </w:t>
      </w:r>
      <w:commentRangeEnd w:id="12"/>
      <w:r w:rsidR="00572DD3">
        <w:rPr>
          <w:rStyle w:val="CommentReference"/>
        </w:rPr>
        <w:commentReference w:id="12"/>
      </w:r>
      <w:r>
        <w:rPr>
          <w:rFonts w:ascii="Times New Roman" w:hAnsi="Times New Roman" w:cs="Times New Roman"/>
        </w:rPr>
        <w:t xml:space="preserve">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2F500AAD" w14:textId="642D8F00" w:rsidR="000F642D" w:rsidRDefault="000F642D" w:rsidP="00B34F9F">
      <w:pPr>
        <w:pStyle w:val="Heading2"/>
      </w:pPr>
      <w:commentRangeStart w:id="13"/>
      <w:r>
        <w:t>PCR Primers</w:t>
      </w:r>
      <w:commentRangeEnd w:id="13"/>
      <w:r w:rsidR="000C2B86">
        <w:rPr>
          <w:rStyle w:val="CommentReference"/>
          <w:rFonts w:asciiTheme="minorHAnsi" w:eastAsiaTheme="minorHAnsi" w:hAnsiTheme="minorHAnsi" w:cstheme="minorBidi"/>
          <w:i w:val="0"/>
          <w:color w:val="auto"/>
        </w:rPr>
        <w:commentReference w:id="13"/>
      </w:r>
    </w:p>
    <w:tbl>
      <w:tblPr>
        <w:tblStyle w:val="TableGrid"/>
        <w:tblW w:w="10530" w:type="dxa"/>
        <w:tblInd w:w="-455" w:type="dxa"/>
        <w:tblLook w:val="04A0" w:firstRow="1" w:lastRow="0" w:firstColumn="1" w:lastColumn="0" w:noHBand="0" w:noVBand="1"/>
      </w:tblPr>
      <w:tblGrid>
        <w:gridCol w:w="2070"/>
        <w:gridCol w:w="4140"/>
        <w:gridCol w:w="4320"/>
      </w:tblGrid>
      <w:tr w:rsidR="000F642D" w14:paraId="59DAEEF5" w14:textId="77777777" w:rsidTr="00CC5373">
        <w:tc>
          <w:tcPr>
            <w:tcW w:w="2070" w:type="dxa"/>
          </w:tcPr>
          <w:p w14:paraId="2AB50EC4" w14:textId="1DB0361E"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Gene</w:t>
            </w:r>
          </w:p>
        </w:tc>
        <w:tc>
          <w:tcPr>
            <w:tcW w:w="4140" w:type="dxa"/>
          </w:tcPr>
          <w:p w14:paraId="7F04315E" w14:textId="7F0585B2"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Forward </w:t>
            </w:r>
            <w:r w:rsidR="00910237">
              <w:rPr>
                <w:rFonts w:ascii="Times New Roman" w:eastAsia="Times New Roman" w:hAnsi="Times New Roman" w:cs="Times New Roman"/>
              </w:rPr>
              <w:t>5’-3’</w:t>
            </w:r>
          </w:p>
        </w:tc>
        <w:tc>
          <w:tcPr>
            <w:tcW w:w="4320" w:type="dxa"/>
          </w:tcPr>
          <w:p w14:paraId="5EE6DDE1" w14:textId="11E6F36B"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Reverse</w:t>
            </w:r>
            <w:r w:rsidR="00910237">
              <w:rPr>
                <w:rFonts w:ascii="Times New Roman" w:eastAsia="Times New Roman" w:hAnsi="Times New Roman" w:cs="Times New Roman"/>
              </w:rPr>
              <w:t xml:space="preserve"> </w:t>
            </w:r>
          </w:p>
        </w:tc>
      </w:tr>
      <w:tr w:rsidR="000F642D" w14:paraId="115721E5" w14:textId="77777777" w:rsidTr="00CC5373">
        <w:tc>
          <w:tcPr>
            <w:tcW w:w="2070" w:type="dxa"/>
          </w:tcPr>
          <w:p w14:paraId="3F0E0E43" w14:textId="55011E27" w:rsidR="000F642D" w:rsidRDefault="00910237" w:rsidP="00037D8F">
            <w:pPr>
              <w:spacing w:line="360" w:lineRule="auto"/>
              <w:rPr>
                <w:rFonts w:ascii="Times New Roman" w:eastAsia="Times New Roman" w:hAnsi="Times New Roman" w:cs="Times New Roman"/>
              </w:rPr>
            </w:pPr>
            <w:r w:rsidRPr="00910237">
              <w:rPr>
                <w:rFonts w:ascii="Times New Roman" w:eastAsia="Times New Roman" w:hAnsi="Times New Roman" w:cs="Times New Roman"/>
                <w:i/>
                <w:iCs/>
              </w:rPr>
              <w:t>Gdf15</w:t>
            </w:r>
            <w:r>
              <w:rPr>
                <w:rFonts w:ascii="Times New Roman" w:eastAsia="Times New Roman" w:hAnsi="Times New Roman" w:cs="Times New Roman"/>
              </w:rPr>
              <w:t xml:space="preserve"> primer set 1</w:t>
            </w:r>
          </w:p>
        </w:tc>
        <w:tc>
          <w:tcPr>
            <w:tcW w:w="4140" w:type="dxa"/>
          </w:tcPr>
          <w:p w14:paraId="70195BD8" w14:textId="77777777" w:rsidR="00910237" w:rsidRDefault="00910237" w:rsidP="00910237">
            <w:r>
              <w:rPr>
                <w:rFonts w:ascii="Arial" w:hAnsi="Arial" w:cs="Arial"/>
                <w:color w:val="252525"/>
                <w:sz w:val="21"/>
                <w:szCs w:val="21"/>
                <w:shd w:val="clear" w:color="auto" w:fill="FFFFFF"/>
              </w:rPr>
              <w:t>5' GAT TCC CGC CCG AAT TAG C 3'</w:t>
            </w:r>
          </w:p>
          <w:p w14:paraId="1945F157" w14:textId="77777777" w:rsidR="000F642D" w:rsidRDefault="000F642D" w:rsidP="00037D8F">
            <w:pPr>
              <w:spacing w:line="360" w:lineRule="auto"/>
              <w:rPr>
                <w:rFonts w:ascii="Times New Roman" w:eastAsia="Times New Roman" w:hAnsi="Times New Roman" w:cs="Times New Roman"/>
              </w:rPr>
            </w:pPr>
          </w:p>
        </w:tc>
        <w:tc>
          <w:tcPr>
            <w:tcW w:w="4320" w:type="dxa"/>
          </w:tcPr>
          <w:p w14:paraId="2490D646" w14:textId="77777777" w:rsidR="00CC5373" w:rsidRDefault="00CC5373" w:rsidP="00CC5373">
            <w:r>
              <w:rPr>
                <w:rFonts w:ascii="Arial" w:hAnsi="Arial" w:cs="Arial"/>
                <w:color w:val="252525"/>
                <w:sz w:val="21"/>
                <w:szCs w:val="21"/>
                <w:shd w:val="clear" w:color="auto" w:fill="FFFFFF"/>
              </w:rPr>
              <w:t>5’ ATC CGT CCT ACT CTG GCT AAG 3'</w:t>
            </w:r>
          </w:p>
          <w:p w14:paraId="2B4857A5" w14:textId="77777777" w:rsidR="000F642D" w:rsidRDefault="000F642D" w:rsidP="00037D8F">
            <w:pPr>
              <w:spacing w:line="360" w:lineRule="auto"/>
              <w:rPr>
                <w:rFonts w:ascii="Times New Roman" w:eastAsia="Times New Roman" w:hAnsi="Times New Roman" w:cs="Times New Roman"/>
              </w:rPr>
            </w:pPr>
          </w:p>
        </w:tc>
      </w:tr>
      <w:tr w:rsidR="000F642D" w14:paraId="65434483" w14:textId="77777777" w:rsidTr="00CC5373">
        <w:tc>
          <w:tcPr>
            <w:tcW w:w="2070" w:type="dxa"/>
          </w:tcPr>
          <w:p w14:paraId="56BC1692" w14:textId="6EC99E9D" w:rsidR="000F642D" w:rsidRDefault="00910237" w:rsidP="00037D8F">
            <w:pPr>
              <w:spacing w:line="360" w:lineRule="auto"/>
              <w:rPr>
                <w:rFonts w:ascii="Times New Roman" w:eastAsia="Times New Roman" w:hAnsi="Times New Roman" w:cs="Times New Roman"/>
              </w:rPr>
            </w:pPr>
            <w:r w:rsidRPr="00910237">
              <w:rPr>
                <w:rFonts w:ascii="Times New Roman" w:eastAsia="Times New Roman" w:hAnsi="Times New Roman" w:cs="Times New Roman"/>
                <w:i/>
                <w:iCs/>
              </w:rPr>
              <w:t>Gdf15</w:t>
            </w:r>
            <w:r>
              <w:rPr>
                <w:rFonts w:ascii="Times New Roman" w:eastAsia="Times New Roman" w:hAnsi="Times New Roman" w:cs="Times New Roman"/>
              </w:rPr>
              <w:t xml:space="preserve"> primer set 2</w:t>
            </w:r>
          </w:p>
        </w:tc>
        <w:tc>
          <w:tcPr>
            <w:tcW w:w="4140" w:type="dxa"/>
          </w:tcPr>
          <w:p w14:paraId="78665E92" w14:textId="77777777" w:rsidR="00910237" w:rsidRDefault="00910237" w:rsidP="00910237">
            <w:r>
              <w:rPr>
                <w:rFonts w:ascii="Arial" w:hAnsi="Arial" w:cs="Arial"/>
                <w:color w:val="252525"/>
                <w:sz w:val="21"/>
                <w:szCs w:val="21"/>
                <w:shd w:val="clear" w:color="auto" w:fill="FFFFFF"/>
              </w:rPr>
              <w:t>5' CCG AAT TAG CCT GGT CAC CC 3'</w:t>
            </w:r>
          </w:p>
          <w:p w14:paraId="08BACAB7" w14:textId="77777777" w:rsidR="000F642D" w:rsidRDefault="000F642D" w:rsidP="00037D8F">
            <w:pPr>
              <w:spacing w:line="360" w:lineRule="auto"/>
              <w:rPr>
                <w:rFonts w:ascii="Times New Roman" w:eastAsia="Times New Roman" w:hAnsi="Times New Roman" w:cs="Times New Roman"/>
              </w:rPr>
            </w:pPr>
          </w:p>
        </w:tc>
        <w:tc>
          <w:tcPr>
            <w:tcW w:w="4320" w:type="dxa"/>
          </w:tcPr>
          <w:p w14:paraId="7AD70B3B" w14:textId="77777777" w:rsidR="00CC5373" w:rsidRDefault="00CC5373" w:rsidP="00CC5373">
            <w:r>
              <w:rPr>
                <w:rFonts w:ascii="Arial" w:hAnsi="Arial" w:cs="Arial"/>
                <w:color w:val="252525"/>
                <w:sz w:val="21"/>
                <w:szCs w:val="21"/>
                <w:shd w:val="clear" w:color="auto" w:fill="FFFFFF"/>
              </w:rPr>
              <w:t>5’ ATC CGT CCT ACT CTG GCT AAG 3'</w:t>
            </w:r>
          </w:p>
          <w:p w14:paraId="00FF82A2" w14:textId="77777777" w:rsidR="000F642D" w:rsidRDefault="000F642D" w:rsidP="00037D8F">
            <w:pPr>
              <w:spacing w:line="360" w:lineRule="auto"/>
              <w:rPr>
                <w:rFonts w:ascii="Times New Roman" w:eastAsia="Times New Roman" w:hAnsi="Times New Roman" w:cs="Times New Roman"/>
              </w:rPr>
            </w:pPr>
          </w:p>
        </w:tc>
      </w:tr>
    </w:tbl>
    <w:p w14:paraId="465B9376" w14:textId="77777777" w:rsidR="00262874" w:rsidRPr="00037D8F" w:rsidRDefault="00262874" w:rsidP="00037D8F">
      <w:pPr>
        <w:spacing w:line="360" w:lineRule="auto"/>
        <w:rPr>
          <w:rFonts w:ascii="Times New Roman" w:eastAsia="Times New Roman" w:hAnsi="Times New Roman" w:cs="Times New Roman"/>
        </w:rPr>
      </w:pPr>
    </w:p>
    <w:p w14:paraId="1C6103A5" w14:textId="37148941" w:rsidR="00E973AF" w:rsidRDefault="0001059A" w:rsidP="0001059A">
      <w:pPr>
        <w:pStyle w:val="Heading2"/>
      </w:pPr>
      <w:r>
        <w:t>Insulin tolerance test</w:t>
      </w:r>
    </w:p>
    <w:p w14:paraId="21256D66" w14:textId="689A9CBA"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insulin tolerance </w:t>
      </w:r>
      <w:commentRangeStart w:id="14"/>
      <w:commentRangeStart w:id="15"/>
      <w:r>
        <w:rPr>
          <w:rFonts w:ascii="Times New Roman" w:hAnsi="Times New Roman" w:cs="Times New Roman"/>
        </w:rPr>
        <w:t>testing</w:t>
      </w:r>
      <w:commentRangeEnd w:id="14"/>
      <w:r w:rsidR="00E81B08">
        <w:rPr>
          <w:rStyle w:val="CommentReference"/>
        </w:rPr>
        <w:commentReference w:id="14"/>
      </w:r>
      <w:commentRangeEnd w:id="15"/>
      <w:r w:rsidR="002C53A0">
        <w:rPr>
          <w:rStyle w:val="CommentReference"/>
        </w:rPr>
        <w:commentReference w:id="15"/>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lastRenderedPageBreak/>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lastRenderedPageBreak/>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0C2E5949" w:rsidR="00667E7E" w:rsidRPr="00303552" w:rsidRDefault="00667E7E" w:rsidP="00C279A3">
      <w:pPr>
        <w:pStyle w:val="Heading1"/>
        <w:rPr>
          <w:rFonts w:cs="Times New Roman"/>
        </w:rPr>
      </w:pPr>
      <w:r w:rsidRPr="00303552">
        <w:rPr>
          <w:rFonts w:cs="Times New Roman"/>
        </w:rPr>
        <w:t>Results</w:t>
      </w: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6BDB8C1" w14:textId="77777777" w:rsidR="002375E1" w:rsidRPr="002375E1" w:rsidRDefault="006D0E50" w:rsidP="002375E1">
      <w:pPr>
        <w:pStyle w:val="Bibliography"/>
        <w:rPr>
          <w:rFonts w:ascii="Calibri" w:cs="Calibri"/>
        </w:rPr>
      </w:pPr>
      <w:r>
        <w:fldChar w:fldCharType="begin"/>
      </w:r>
      <w:r>
        <w:instrText xml:space="preserve"> ADDIN ZOTERO_BIBL {"uncited":[],"omitted":[],"custom":[]} CSL_BIBLIOGRAPHY </w:instrText>
      </w:r>
      <w:r>
        <w:fldChar w:fldCharType="separate"/>
      </w:r>
      <w:r w:rsidR="002375E1" w:rsidRPr="002375E1">
        <w:rPr>
          <w:rFonts w:ascii="Calibri" w:cs="Calibri"/>
        </w:rPr>
        <w:t xml:space="preserve">Bates, D., Mächler, M., Bolker, B., &amp; Walker, S. (2015). Fitting Linear Mixed-Effects Models Using lme4. </w:t>
      </w:r>
      <w:r w:rsidR="002375E1" w:rsidRPr="002375E1">
        <w:rPr>
          <w:rFonts w:ascii="Calibri" w:cs="Calibri"/>
          <w:i/>
          <w:iCs/>
        </w:rPr>
        <w:t>Journal of Statistical Software</w:t>
      </w:r>
      <w:r w:rsidR="002375E1" w:rsidRPr="002375E1">
        <w:rPr>
          <w:rFonts w:ascii="Calibri" w:cs="Calibri"/>
        </w:rPr>
        <w:t xml:space="preserve">, </w:t>
      </w:r>
      <w:r w:rsidR="002375E1" w:rsidRPr="002375E1">
        <w:rPr>
          <w:rFonts w:ascii="Calibri" w:cs="Calibri"/>
          <w:i/>
          <w:iCs/>
        </w:rPr>
        <w:t>67</w:t>
      </w:r>
      <w:r w:rsidR="002375E1" w:rsidRPr="002375E1">
        <w:rPr>
          <w:rFonts w:ascii="Calibri" w:cs="Calibri"/>
        </w:rPr>
        <w:t>, 1–48. https://doi.org/10.18637/jss.v067.i01</w:t>
      </w:r>
    </w:p>
    <w:p w14:paraId="376566A8" w14:textId="77777777" w:rsidR="002375E1" w:rsidRPr="002375E1" w:rsidRDefault="002375E1" w:rsidP="002375E1">
      <w:pPr>
        <w:pStyle w:val="Bibliography"/>
        <w:rPr>
          <w:rFonts w:ascii="Calibri" w:cs="Calibri"/>
        </w:rPr>
      </w:pPr>
      <w:r w:rsidRPr="002375E1">
        <w:rPr>
          <w:rFonts w:ascii="Calibri" w:cs="Calibri"/>
        </w:rPr>
        <w:t xml:space="preserve">Frikke-Schmidt, H., Hultman, K., Galaske, J. W., Jørgensen, S. B., Myers, M. G., &amp; Seeley, R. J. (2019). GDF15 acts synergistically with liraglutide but is not necessary for the weight loss induced by bariatric surgery in mice. </w:t>
      </w:r>
      <w:r w:rsidRPr="002375E1">
        <w:rPr>
          <w:rFonts w:ascii="Calibri" w:cs="Calibri"/>
          <w:i/>
          <w:iCs/>
        </w:rPr>
        <w:t>Molecular Metabolism</w:t>
      </w:r>
      <w:r w:rsidRPr="002375E1">
        <w:rPr>
          <w:rFonts w:ascii="Calibri" w:cs="Calibri"/>
        </w:rPr>
        <w:t xml:space="preserve">, </w:t>
      </w:r>
      <w:r w:rsidRPr="002375E1">
        <w:rPr>
          <w:rFonts w:ascii="Calibri" w:cs="Calibri"/>
          <w:i/>
          <w:iCs/>
        </w:rPr>
        <w:t>21</w:t>
      </w:r>
      <w:r w:rsidRPr="002375E1">
        <w:rPr>
          <w:rFonts w:ascii="Calibri" w:cs="Calibri"/>
        </w:rPr>
        <w:t>, 13–21. https://doi.org/10.1016/j.molmet.2019.01.003</w:t>
      </w:r>
    </w:p>
    <w:p w14:paraId="48200AC1" w14:textId="77777777" w:rsidR="002375E1" w:rsidRPr="002375E1" w:rsidRDefault="002375E1" w:rsidP="002375E1">
      <w:pPr>
        <w:pStyle w:val="Bibliography"/>
        <w:rPr>
          <w:rFonts w:ascii="Calibri" w:cs="Calibri"/>
        </w:rPr>
      </w:pPr>
      <w:r w:rsidRPr="002375E1">
        <w:rPr>
          <w:rFonts w:ascii="Calibri" w:cs="Calibri"/>
        </w:rPr>
        <w:t xml:space="preserve">R Core Team. (2021). </w:t>
      </w:r>
      <w:r w:rsidRPr="002375E1">
        <w:rPr>
          <w:rFonts w:ascii="Calibri" w:cs="Calibri"/>
          <w:i/>
          <w:iCs/>
        </w:rPr>
        <w:t>R: A Language and Environment for Statistical Computing</w:t>
      </w:r>
      <w:r w:rsidRPr="002375E1">
        <w:rPr>
          <w:rFonts w:ascii="Calibri" w:cs="Calibri"/>
        </w:rPr>
        <w:t>. R Foundation for Statistical Computing. https://www.R-project.org/</w:t>
      </w:r>
    </w:p>
    <w:p w14:paraId="4CA6E760" w14:textId="5A1A5710" w:rsidR="006D0E50" w:rsidRPr="006D0E50" w:rsidRDefault="006D0E50" w:rsidP="006D0E50">
      <w: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8" w:author="Molly Mulcahy" w:date="2022-05-05T15:29:00Z" w:initials="MCM">
    <w:p w14:paraId="5ABEF9FE" w14:textId="4F4611D8" w:rsidR="004C147B" w:rsidRDefault="004C147B">
      <w:pPr>
        <w:pStyle w:val="CommentText"/>
      </w:pPr>
      <w:r>
        <w:rPr>
          <w:rStyle w:val="CommentReference"/>
        </w:rPr>
        <w:annotationRef/>
      </w:r>
      <w:r>
        <w:t xml:space="preserve">Does GDF15 have an RRID? If not, we should </w:t>
      </w:r>
    </w:p>
  </w:comment>
  <w:comment w:id="9" w:author="Molly Mulcahy" w:date="2022-05-03T15:23:00Z" w:initials="MCM">
    <w:p w14:paraId="523D9340" w14:textId="753005BC" w:rsidR="00916768" w:rsidRDefault="00916768">
      <w:pPr>
        <w:pStyle w:val="CommentText"/>
      </w:pPr>
      <w:r>
        <w:rPr>
          <w:rStyle w:val="CommentReference"/>
        </w:rPr>
        <w:annotationRef/>
      </w:r>
      <w:r>
        <w:t>I’ve never done this part of the analysis. Looking at the cited paper and reviewing the process is all the prep work I’ve done – so please edit freely.</w:t>
      </w:r>
    </w:p>
  </w:comment>
  <w:comment w:id="11" w:author="Molly Mulcahy" w:date="2022-05-05T15:31:00Z" w:initials="MCM">
    <w:p w14:paraId="61651FB8" w14:textId="3EF12CDF" w:rsidR="00506BE3" w:rsidRDefault="00506BE3">
      <w:pPr>
        <w:pStyle w:val="CommentText"/>
      </w:pPr>
      <w:r>
        <w:rPr>
          <w:rStyle w:val="CommentReference"/>
        </w:rPr>
        <w:annotationRef/>
      </w:r>
      <w:r>
        <w:t>Not clear that KO with KO and WT with WT</w:t>
      </w:r>
      <w:r w:rsidR="00047193">
        <w:t>-make sure maternal, placental, and fetal are all the same – make a schematic.</w:t>
      </w:r>
    </w:p>
    <w:p w14:paraId="3DE3D32E" w14:textId="77777777" w:rsidR="00506BE3" w:rsidRDefault="00506BE3">
      <w:pPr>
        <w:pStyle w:val="CommentText"/>
      </w:pPr>
    </w:p>
    <w:p w14:paraId="2ED6925F" w14:textId="270AE1D6" w:rsidR="00506BE3" w:rsidRDefault="00506BE3">
      <w:pPr>
        <w:pStyle w:val="CommentText"/>
      </w:pPr>
      <w:r>
        <w:t>Goal is the placenta is a KO or WT</w:t>
      </w:r>
    </w:p>
  </w:comment>
  <w:comment w:id="12" w:author="Molly Mulcahy" w:date="2022-05-05T15:36:00Z" w:initials="MCM">
    <w:p w14:paraId="24396B29" w14:textId="55AFC654" w:rsidR="00572DD3" w:rsidRDefault="00572DD3">
      <w:pPr>
        <w:pStyle w:val="CommentText"/>
      </w:pPr>
      <w:r>
        <w:rPr>
          <w:rStyle w:val="CommentReference"/>
        </w:rPr>
        <w:annotationRef/>
      </w:r>
      <w:r>
        <w:t xml:space="preserve">GDF15  null or wildtype, or </w:t>
      </w:r>
      <w:proofErr w:type="spellStart"/>
      <w:r w:rsidR="00B41ED0">
        <w:t>wiltype</w:t>
      </w:r>
      <w:proofErr w:type="spellEnd"/>
      <w:r w:rsidR="00B41ED0">
        <w:t xml:space="preserve"> vs knockout.</w:t>
      </w:r>
    </w:p>
  </w:comment>
  <w:comment w:id="13" w:author="Dave Bridges" w:date="2022-05-05T14:51:00Z" w:initials="DB">
    <w:p w14:paraId="42D3F021" w14:textId="31EC75AC" w:rsidR="000C2B86" w:rsidRDefault="000C2B86">
      <w:pPr>
        <w:pStyle w:val="CommentText"/>
      </w:pPr>
      <w:r>
        <w:rPr>
          <w:rStyle w:val="CommentReference"/>
        </w:rPr>
        <w:annotationRef/>
      </w:r>
      <w:r>
        <w:t>If there is just two id just list them in the text</w:t>
      </w:r>
    </w:p>
  </w:comment>
  <w:comment w:id="14" w:author="Dave Bridges" w:date="2022-05-05T14:52:00Z" w:initials="DB">
    <w:p w14:paraId="474E0BCA" w14:textId="1FEC829F" w:rsidR="00E81B08" w:rsidRDefault="00E81B08">
      <w:pPr>
        <w:pStyle w:val="CommentText"/>
      </w:pPr>
      <w:r>
        <w:rPr>
          <w:rStyle w:val="CommentReference"/>
        </w:rPr>
        <w:annotationRef/>
      </w:r>
      <w:r>
        <w:t>Maybe we should cite the protocols.io</w:t>
      </w:r>
    </w:p>
  </w:comment>
  <w:comment w:id="15" w:author="Molly Mulcahy" w:date="2022-05-05T15:30:00Z" w:initials="MCM">
    <w:p w14:paraId="72FA458F" w14:textId="77777777" w:rsidR="002C53A0" w:rsidRDefault="002C53A0">
      <w:pPr>
        <w:pStyle w:val="CommentText"/>
      </w:pPr>
      <w:r>
        <w:rPr>
          <w:rStyle w:val="CommentReference"/>
        </w:rPr>
        <w:annotationRef/>
      </w:r>
      <w:r>
        <w:t>Use DOI from protocols.io</w:t>
      </w:r>
    </w:p>
    <w:p w14:paraId="23EB35C3" w14:textId="021DA733" w:rsidR="002C53A0" w:rsidRDefault="002C53A0">
      <w:pPr>
        <w:pStyle w:val="CommentText"/>
      </w:pPr>
      <w:r>
        <w:t xml:space="preserve">If they have protocol, use that, if not then google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5ABEF9FE" w15:done="0"/>
  <w15:commentEx w15:paraId="523D9340" w15:done="0"/>
  <w15:commentEx w15:paraId="2ED6925F" w15:done="0"/>
  <w15:commentEx w15:paraId="24396B29" w15:done="0"/>
  <w15:commentEx w15:paraId="42D3F021" w15:done="0"/>
  <w15:commentEx w15:paraId="474E0BCA" w15:done="0"/>
  <w15:commentEx w15:paraId="23EB35C3" w15:paraIdParent="474E0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61E6BCD" w16cex:dateUtc="2022-05-05T19:29:00Z"/>
  <w16cex:commentExtensible w16cex:durableId="261BC75A" w16cex:dateUtc="2022-05-03T19:23:00Z"/>
  <w16cex:commentExtensible w16cex:durableId="261E6C6A" w16cex:dateUtc="2022-05-05T19:31:00Z"/>
  <w16cex:commentExtensible w16cex:durableId="261E6D86" w16cex:dateUtc="2022-05-05T19:36:00Z"/>
  <w16cex:commentExtensible w16cex:durableId="261E62FD" w16cex:dateUtc="2022-05-05T18:51:00Z"/>
  <w16cex:commentExtensible w16cex:durableId="261E6311" w16cex:dateUtc="2022-05-05T18:52:00Z"/>
  <w16cex:commentExtensible w16cex:durableId="261E6C27" w16cex:dateUtc="2022-05-05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5ABEF9FE" w16cid:durableId="261E6BCD"/>
  <w16cid:commentId w16cid:paraId="523D9340" w16cid:durableId="261BC75A"/>
  <w16cid:commentId w16cid:paraId="2ED6925F" w16cid:durableId="261E6C6A"/>
  <w16cid:commentId w16cid:paraId="24396B29" w16cid:durableId="261E6D86"/>
  <w16cid:commentId w16cid:paraId="42D3F021" w16cid:durableId="261E62FD"/>
  <w16cid:commentId w16cid:paraId="474E0BCA" w16cid:durableId="261E6311"/>
  <w16cid:commentId w16cid:paraId="23EB35C3" w16cid:durableId="261E6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8192" w14:textId="77777777" w:rsidR="00BD75F3" w:rsidRDefault="00BD75F3" w:rsidP="00283B15">
      <w:r>
        <w:separator/>
      </w:r>
    </w:p>
  </w:endnote>
  <w:endnote w:type="continuationSeparator" w:id="0">
    <w:p w14:paraId="38A0D24E" w14:textId="77777777" w:rsidR="00BD75F3" w:rsidRDefault="00BD75F3"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3E6B9" w14:textId="77777777" w:rsidR="00BD75F3" w:rsidRDefault="00BD75F3" w:rsidP="00283B15">
      <w:r>
        <w:separator/>
      </w:r>
    </w:p>
  </w:footnote>
  <w:footnote w:type="continuationSeparator" w:id="0">
    <w:p w14:paraId="65EAC361" w14:textId="77777777" w:rsidR="00BD75F3" w:rsidRDefault="00BD75F3" w:rsidP="00283B1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7193"/>
    <w:rsid w:val="000C2B86"/>
    <w:rsid w:val="000D699C"/>
    <w:rsid w:val="000F3B3F"/>
    <w:rsid w:val="000F642D"/>
    <w:rsid w:val="00106075"/>
    <w:rsid w:val="001557E5"/>
    <w:rsid w:val="00186B53"/>
    <w:rsid w:val="001C170C"/>
    <w:rsid w:val="001C634C"/>
    <w:rsid w:val="001D753F"/>
    <w:rsid w:val="001E6250"/>
    <w:rsid w:val="001E72ED"/>
    <w:rsid w:val="002375E1"/>
    <w:rsid w:val="002513AE"/>
    <w:rsid w:val="00262874"/>
    <w:rsid w:val="00264316"/>
    <w:rsid w:val="00280CAA"/>
    <w:rsid w:val="00283B15"/>
    <w:rsid w:val="002C2A53"/>
    <w:rsid w:val="002C53A0"/>
    <w:rsid w:val="002E247C"/>
    <w:rsid w:val="002F29DF"/>
    <w:rsid w:val="00303552"/>
    <w:rsid w:val="003D45C1"/>
    <w:rsid w:val="00404E6F"/>
    <w:rsid w:val="00422824"/>
    <w:rsid w:val="0042306F"/>
    <w:rsid w:val="00436287"/>
    <w:rsid w:val="00444701"/>
    <w:rsid w:val="004814CA"/>
    <w:rsid w:val="004A3BDC"/>
    <w:rsid w:val="004C147B"/>
    <w:rsid w:val="004F4D8C"/>
    <w:rsid w:val="00506BE3"/>
    <w:rsid w:val="00517D3C"/>
    <w:rsid w:val="00572DD3"/>
    <w:rsid w:val="00574166"/>
    <w:rsid w:val="00587EB0"/>
    <w:rsid w:val="005E6CA5"/>
    <w:rsid w:val="00603AC9"/>
    <w:rsid w:val="00667E7E"/>
    <w:rsid w:val="00697A26"/>
    <w:rsid w:val="006B0F65"/>
    <w:rsid w:val="006B426E"/>
    <w:rsid w:val="006D0E50"/>
    <w:rsid w:val="006E4CAA"/>
    <w:rsid w:val="00741FE3"/>
    <w:rsid w:val="007C1DF5"/>
    <w:rsid w:val="008037F1"/>
    <w:rsid w:val="00810717"/>
    <w:rsid w:val="0081224E"/>
    <w:rsid w:val="00834B50"/>
    <w:rsid w:val="0086099C"/>
    <w:rsid w:val="008D11D5"/>
    <w:rsid w:val="008E4DF2"/>
    <w:rsid w:val="008F3299"/>
    <w:rsid w:val="008F4555"/>
    <w:rsid w:val="00910237"/>
    <w:rsid w:val="00913CC8"/>
    <w:rsid w:val="00916768"/>
    <w:rsid w:val="00935BB2"/>
    <w:rsid w:val="009778DF"/>
    <w:rsid w:val="009B3F1D"/>
    <w:rsid w:val="009E0694"/>
    <w:rsid w:val="00A17703"/>
    <w:rsid w:val="00AA6169"/>
    <w:rsid w:val="00AB498D"/>
    <w:rsid w:val="00AE4DBC"/>
    <w:rsid w:val="00B34F9F"/>
    <w:rsid w:val="00B41305"/>
    <w:rsid w:val="00B41ED0"/>
    <w:rsid w:val="00B555A6"/>
    <w:rsid w:val="00B87CB1"/>
    <w:rsid w:val="00BD75F3"/>
    <w:rsid w:val="00BF5335"/>
    <w:rsid w:val="00C26F18"/>
    <w:rsid w:val="00C279A3"/>
    <w:rsid w:val="00C345B1"/>
    <w:rsid w:val="00C545FF"/>
    <w:rsid w:val="00C6518A"/>
    <w:rsid w:val="00C86E71"/>
    <w:rsid w:val="00C95715"/>
    <w:rsid w:val="00CC5373"/>
    <w:rsid w:val="00CD4198"/>
    <w:rsid w:val="00CD654B"/>
    <w:rsid w:val="00D02566"/>
    <w:rsid w:val="00D071B1"/>
    <w:rsid w:val="00D10944"/>
    <w:rsid w:val="00D3270D"/>
    <w:rsid w:val="00D50EED"/>
    <w:rsid w:val="00D671B1"/>
    <w:rsid w:val="00D86FB4"/>
    <w:rsid w:val="00DD02BD"/>
    <w:rsid w:val="00DE237C"/>
    <w:rsid w:val="00DE5F60"/>
    <w:rsid w:val="00E26319"/>
    <w:rsid w:val="00E34536"/>
    <w:rsid w:val="00E40985"/>
    <w:rsid w:val="00E81B08"/>
    <w:rsid w:val="00E973AF"/>
    <w:rsid w:val="00E974EB"/>
    <w:rsid w:val="00EA063D"/>
    <w:rsid w:val="00EC23D1"/>
    <w:rsid w:val="00EF6E8B"/>
    <w:rsid w:val="00EF6FDD"/>
    <w:rsid w:val="00F85D93"/>
    <w:rsid w:val="00F876E9"/>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31</cp:revision>
  <dcterms:created xsi:type="dcterms:W3CDTF">2022-05-03T17:41:00Z</dcterms:created>
  <dcterms:modified xsi:type="dcterms:W3CDTF">2022-05-05T19:37:00Z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id="edVoH79R"/&gt;&lt;style id="http://www.zotero.org/styles/apa" locale="en-US" hasBibliography="1" bibliographyStyleHasBeenSet="1"/&gt;&lt;prefs&gt;&lt;pref name="fieldType" value="Field"/&gt;&lt;/prefs&gt;&lt;/data&gt;</vt:lpwstr>
  </property>
</Properties>
</file>