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191FD4C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283B15" w:rsidRPr="00303552">
        <w:rPr>
          <w:rFonts w:ascii="Times New Roman" w:hAnsi="Times New Roman" w:cs="Times New Roman"/>
        </w:rPr>
        <w:t xml:space="preserve">GDF15 knockout does not impact maternal food intake or body composition but increases </w:t>
      </w:r>
      <w:r w:rsidR="00D071B1" w:rsidRPr="00303552">
        <w:rPr>
          <w:rFonts w:ascii="Times New Roman" w:hAnsi="Times New Roman" w:cs="Times New Roman"/>
        </w:rPr>
        <w:t xml:space="preserve">female </w:t>
      </w:r>
      <w:r w:rsidR="00283B15" w:rsidRPr="00303552">
        <w:rPr>
          <w:rFonts w:ascii="Times New Roman" w:hAnsi="Times New Roman" w:cs="Times New Roman"/>
        </w:rPr>
        <w:t>offspring bodyweight in the first 14 days of life</w:t>
      </w:r>
      <w:r w:rsidR="00D071B1" w:rsidRPr="00303552">
        <w:rPr>
          <w:rFonts w:ascii="Times New Roman" w:hAnsi="Times New Roman" w:cs="Times New Roman"/>
        </w:rPr>
        <w:t xml:space="preserve"> </w:t>
      </w:r>
    </w:p>
    <w:p w14:paraId="538918B8" w14:textId="4D863EC2" w:rsidR="00283B15" w:rsidRPr="00303552" w:rsidRDefault="00283B15">
      <w:pPr>
        <w:rPr>
          <w:rFonts w:ascii="Times New Roman" w:hAnsi="Times New Roman" w:cs="Times New Roman"/>
        </w:rPr>
      </w:pPr>
    </w:p>
    <w:p w14:paraId="3222723E" w14:textId="255FB5C6"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283B15" w:rsidRPr="00303552">
        <w:rPr>
          <w:rFonts w:ascii="Times New Roman" w:hAnsi="Times New Roman" w:cs="Times New Roman"/>
        </w:rPr>
        <w:t>, Noura</w:t>
      </w:r>
      <w:r>
        <w:rPr>
          <w:rFonts w:ascii="Times New Roman" w:hAnsi="Times New Roman" w:cs="Times New Roman"/>
        </w:rPr>
        <w:t xml:space="preserve"> El Habbal</w:t>
      </w:r>
      <w:r w:rsidR="00283B15" w:rsidRPr="00303552">
        <w:rPr>
          <w:rFonts w:ascii="Times New Roman" w:hAnsi="Times New Roman" w:cs="Times New Roman"/>
        </w:rPr>
        <w:t>, JeAnna</w:t>
      </w:r>
      <w:r>
        <w:rPr>
          <w:rFonts w:ascii="Times New Roman" w:hAnsi="Times New Roman" w:cs="Times New Roman"/>
        </w:rPr>
        <w:t xml:space="preserve"> R. Redd</w:t>
      </w:r>
      <w:r w:rsidR="00283B15" w:rsidRPr="00303552">
        <w:rPr>
          <w:rFonts w:ascii="Times New Roman" w:hAnsi="Times New Roman" w:cs="Times New Roman"/>
        </w:rPr>
        <w:t>, Haijing</w:t>
      </w:r>
      <w:r>
        <w:rPr>
          <w:rFonts w:ascii="Times New Roman" w:hAnsi="Times New Roman" w:cs="Times New Roman"/>
        </w:rPr>
        <w:t xml:space="preserve"> Sun</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Pr="00303552">
        <w:rPr>
          <w:rFonts w:ascii="Times New Roman" w:hAnsi="Times New Roman" w:cs="Times New Roman"/>
        </w:rPr>
        <w:t>, Dave</w:t>
      </w:r>
      <w:r>
        <w:rPr>
          <w:rFonts w:ascii="Times New Roman" w:hAnsi="Times New Roman" w:cs="Times New Roman"/>
        </w:rPr>
        <w:t xml:space="preserve"> Bridges</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7777777" w:rsidR="00834B50" w:rsidRDefault="00834B50">
      <w:pPr>
        <w:rPr>
          <w:rFonts w:ascii="Times New Roman" w:hAnsi="Times New Roman" w:cs="Times New Roman"/>
          <w:b/>
          <w:bCs/>
        </w:rPr>
      </w:pP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5D59DF05" w14:textId="77777777" w:rsidR="00283B15" w:rsidRDefault="00283B15" w:rsidP="00C279A3">
      <w:pPr>
        <w:pStyle w:val="Heading1"/>
        <w:rPr>
          <w:rFonts w:cs="Times New Roman"/>
        </w:rPr>
      </w:pPr>
      <w:r w:rsidRPr="00303552">
        <w:rPr>
          <w:rFonts w:cs="Times New Roman"/>
        </w:rPr>
        <w:lastRenderedPageBreak/>
        <w:t>Introduction</w:t>
      </w:r>
    </w:p>
    <w:p w14:paraId="7D66B1E6" w14:textId="77777777" w:rsidR="00920A42" w:rsidRDefault="00920A42" w:rsidP="00920A42"/>
    <w:p w14:paraId="67C3D0D1" w14:textId="77777777" w:rsidR="00920A42" w:rsidRDefault="00920A42" w:rsidP="00920A42">
      <w:pPr>
        <w:pStyle w:val="ListParagraph"/>
        <w:numPr>
          <w:ilvl w:val="1"/>
          <w:numId w:val="1"/>
        </w:numPr>
      </w:pPr>
      <w:r>
        <w:t>GDF15 levels in pregnancy &amp; pregnancy complications</w:t>
      </w:r>
    </w:p>
    <w:p w14:paraId="5E2EE353" w14:textId="77777777" w:rsidR="00920A42" w:rsidRDefault="00920A42" w:rsidP="00920A42">
      <w:pPr>
        <w:pStyle w:val="ListParagraph"/>
        <w:numPr>
          <w:ilvl w:val="1"/>
          <w:numId w:val="1"/>
        </w:numPr>
      </w:pPr>
      <w:r>
        <w:t>GDF15 as a modifiable factor in food intake and body composition</w:t>
      </w:r>
    </w:p>
    <w:p w14:paraId="59E899DB" w14:textId="77777777" w:rsidR="00920A42" w:rsidRDefault="00920A42" w:rsidP="00920A42"/>
    <w:p w14:paraId="353CA8B7" w14:textId="77777777" w:rsidR="005C50AA" w:rsidRDefault="00920A42" w:rsidP="00920A42">
      <w:r>
        <w:t xml:space="preserve">Growth-like differentiating factor 15 (Gdf15) was </w:t>
      </w:r>
      <w:r w:rsidR="004C0855">
        <w:t xml:space="preserve"> first  described  in  XXX by XXX. </w:t>
      </w:r>
      <w:r w:rsidR="00B71DC1">
        <w:t xml:space="preserve"> GDF15 is known to increase in response to many physiological states; such as cardiomyopathy, cachexia of cancer, acute exercise, and most relevant to this work, during pregnancy.</w:t>
      </w:r>
      <w:r w:rsidR="00EC0106">
        <w:t xml:space="preserve"> GDF15 </w:t>
      </w:r>
      <w:r w:rsidR="005C50AA">
        <w:t xml:space="preserve">reaches its highest levels in pregnant women, as it is produced  by the placenta. </w:t>
      </w:r>
    </w:p>
    <w:p w14:paraId="7393CB0D" w14:textId="77777777" w:rsidR="000D36C6" w:rsidRDefault="000D36C6" w:rsidP="00920A42"/>
    <w:p w14:paraId="4C1DE1EE" w14:textId="7FCEAB15" w:rsidR="000D36C6" w:rsidRPr="00920A42" w:rsidRDefault="000D36C6" w:rsidP="00920A42">
      <w:pPr>
        <w:sectPr w:rsidR="000D36C6" w:rsidRPr="00920A42" w:rsidSect="00587EB0">
          <w:pgSz w:w="12240" w:h="15840"/>
          <w:pgMar w:top="1440" w:right="1440" w:bottom="1440" w:left="1440" w:header="720" w:footer="720" w:gutter="0"/>
          <w:cols w:space="720"/>
          <w:docGrid w:linePitch="360"/>
        </w:sectPr>
      </w:pPr>
      <w:r>
        <w:t xml:space="preserve">The role of </w:t>
      </w:r>
      <w:r w:rsidRPr="000D36C6">
        <w:rPr>
          <w:i/>
          <w:iCs/>
        </w:rPr>
        <w:t>Gdf15</w:t>
      </w:r>
      <w:r>
        <w:t xml:space="preserve"> in  pregnancy is currently unknown.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3998DAE8"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w:t>
      </w:r>
      <w:r w:rsidR="00910237" w:rsidRPr="00303552">
        <w:rPr>
          <w:rFonts w:ascii="Times New Roman" w:hAnsi="Times New Roman" w:cs="Times New Roman"/>
        </w:rPr>
        <w:lastRenderedPageBreak/>
        <w:t xml:space="preserve">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w:t>
      </w:r>
      <w:r w:rsidR="00913CC8">
        <w:rPr>
          <w:rFonts w:ascii="Times New Roman" w:hAnsi="Times New Roman" w:cs="Times New Roman"/>
        </w:rPr>
        <w:lastRenderedPageBreak/>
        <w:t>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7B4ED462"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random effect of mouse ID and dam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 xml:space="preserve">were assessed using a two-way ANOVA for sex and </w:t>
      </w:r>
      <w:r w:rsidR="00EC23D1">
        <w:rPr>
          <w:rFonts w:ascii="Times New Roman" w:eastAsia="Times New Roman" w:hAnsi="Times New Roman" w:cs="Times New Roman"/>
        </w:rPr>
        <w:t>genotype</w:t>
      </w:r>
      <w:r w:rsidR="002513AE" w:rsidRPr="002513AE">
        <w:rPr>
          <w:rFonts w:ascii="Times New Roman" w:eastAsia="Times New Roman" w:hAnsi="Times New Roman" w:cs="Times New Roman"/>
        </w:rPr>
        <w:t>, with an interaction between the two. If a significant interaction was observed, sex-stratified models were then used and the p-value for the interaction was reported. Otherwise, sex was used as a covariate in a non-interacting model.</w:t>
      </w:r>
      <w:r w:rsidR="00FD0AB9">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6DCF7B7F"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w:t>
      </w:r>
      <w:r w:rsidRPr="0020031B">
        <w:rPr>
          <w:rFonts w:ascii="Times New Roman" w:hAnsi="Times New Roman" w:cs="Times New Roman"/>
          <w:i/>
          <w:iCs/>
        </w:rPr>
        <w:t>Gdf15</w:t>
      </w:r>
      <w:r>
        <w:rPr>
          <w:rFonts w:ascii="Times New Roman" w:hAnsi="Times New Roman" w:cs="Times New Roman"/>
        </w:rPr>
        <w:t xml:space="preserve"> </w:t>
      </w:r>
      <w:r w:rsidR="0020031B">
        <w:rPr>
          <w:rFonts w:ascii="Times New Roman" w:hAnsi="Times New Roman" w:cs="Times New Roman"/>
        </w:rPr>
        <w:t xml:space="preserve">ablation </w:t>
      </w:r>
      <w:r>
        <w:rPr>
          <w:rFonts w:ascii="Times New Roman" w:hAnsi="Times New Roman" w:cs="Times New Roman"/>
        </w:rPr>
        <w:t xml:space="preserve">in maternal food intake and body </w:t>
      </w:r>
      <w:r w:rsidR="00242FC7">
        <w:rPr>
          <w:rFonts w:ascii="Times New Roman" w:hAnsi="Times New Roman" w:cs="Times New Roman"/>
        </w:rPr>
        <w:t>weight accretion</w:t>
      </w:r>
      <w:r>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379B757D" w14:textId="61F70696"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w:t>
      </w:r>
      <w:proofErr w:type="spellStart"/>
      <w:r w:rsidR="005A3CDA">
        <w:rPr>
          <w:rFonts w:ascii="Times New Roman" w:hAnsi="Times New Roman" w:cs="Times New Roman"/>
        </w:rPr>
        <w:t>p</w:t>
      </w:r>
      <w:r w:rsidR="00C13592">
        <w:rPr>
          <w:rFonts w:ascii="Times New Roman" w:hAnsi="Times New Roman" w:cs="Times New Roman"/>
          <w:vertAlign w:val="subscript"/>
        </w:rPr>
        <w:t>genotype</w:t>
      </w:r>
      <w:proofErr w:type="spellEnd"/>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 counterparts (</w:t>
      </w:r>
      <w:proofErr w:type="spellStart"/>
      <w:r w:rsidR="00C13592">
        <w:rPr>
          <w:rFonts w:ascii="Times New Roman" w:hAnsi="Times New Roman" w:cs="Times New Roman"/>
        </w:rPr>
        <w:t>p</w:t>
      </w:r>
      <w:r w:rsidR="00C13592">
        <w:rPr>
          <w:rFonts w:ascii="Times New Roman" w:hAnsi="Times New Roman" w:cs="Times New Roman"/>
          <w:vertAlign w:val="subscript"/>
        </w:rPr>
        <w:t>genotype</w:t>
      </w:r>
      <w:proofErr w:type="spellEnd"/>
      <w:r w:rsidR="00C13592">
        <w:rPr>
          <w:rFonts w:ascii="Times New Roman" w:hAnsi="Times New Roman" w:cs="Times New Roman"/>
        </w:rPr>
        <w:t>=0.47)</w:t>
      </w:r>
    </w:p>
    <w:p w14:paraId="01AEDAF3" w14:textId="535D2684" w:rsidR="00B364E2" w:rsidRPr="005E3BA8" w:rsidRDefault="00A32ED9" w:rsidP="000B7DE3">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w:t>
      </w:r>
      <w:proofErr w:type="spellStart"/>
      <w:r>
        <w:rPr>
          <w:rFonts w:ascii="Times New Roman" w:hAnsi="Times New Roman" w:cs="Times New Roman"/>
        </w:rPr>
        <w:t>p</w:t>
      </w:r>
      <w:r w:rsidR="00C13592">
        <w:rPr>
          <w:rFonts w:ascii="Times New Roman" w:hAnsi="Times New Roman" w:cs="Times New Roman"/>
          <w:vertAlign w:val="subscript"/>
        </w:rPr>
        <w:t>genotype</w:t>
      </w:r>
      <w:proofErr w:type="spellEnd"/>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w:t>
      </w:r>
      <w:proofErr w:type="spellStart"/>
      <w:r w:rsidR="00154B9E">
        <w:rPr>
          <w:rFonts w:ascii="Times New Roman" w:hAnsi="Times New Roman" w:cs="Times New Roman"/>
        </w:rPr>
        <w:t>p</w:t>
      </w:r>
      <w:r w:rsidR="00C13592">
        <w:rPr>
          <w:rFonts w:ascii="Times New Roman" w:hAnsi="Times New Roman" w:cs="Times New Roman"/>
          <w:vertAlign w:val="subscript"/>
        </w:rPr>
        <w:t>genotype</w:t>
      </w:r>
      <w:proofErr w:type="spellEnd"/>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w:t>
      </w:r>
      <w:proofErr w:type="spellStart"/>
      <w:r w:rsidR="005E3BA8" w:rsidRPr="0062695D">
        <w:rPr>
          <w:rFonts w:ascii="Times New Roman" w:hAnsi="Times New Roman" w:cs="Times New Roman"/>
        </w:rPr>
        <w:t>p</w:t>
      </w:r>
      <w:r w:rsidR="00C13592">
        <w:rPr>
          <w:rFonts w:ascii="Times New Roman" w:hAnsi="Times New Roman" w:cs="Times New Roman"/>
          <w:vertAlign w:val="subscript"/>
        </w:rPr>
        <w:t>genotype</w:t>
      </w:r>
      <w:proofErr w:type="spellEnd"/>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p>
    <w:p w14:paraId="479934B1" w14:textId="3FEAD712" w:rsidR="00757CFC" w:rsidRPr="005D2740" w:rsidRDefault="00757CFC" w:rsidP="005D2740">
      <w:pPr>
        <w:pStyle w:val="Heading2"/>
      </w:pPr>
      <w:r w:rsidRPr="005D2740">
        <w:lastRenderedPageBreak/>
        <w:t>Gdf15-/- dams</w:t>
      </w:r>
      <w:r w:rsidR="00091022" w:rsidRPr="005D2740">
        <w:t xml:space="preserve"> have</w:t>
      </w:r>
      <w:r w:rsidRPr="005D2740">
        <w:t xml:space="preserve"> </w:t>
      </w:r>
      <w:r w:rsidR="003D3AA3" w:rsidRPr="005D2740">
        <w:t>normal insulin tolerance during pregnancy</w:t>
      </w:r>
    </w:p>
    <w:p w14:paraId="46078BF1" w14:textId="04A655B2"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(duh), and an average of 6.37 mg/dL lower glucose values in -/- dams (</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344006">
        <w:rPr>
          <w:rFonts w:ascii="Times New Roman" w:hAnsi="Times New Roman" w:cs="Times New Roman"/>
        </w:rPr>
        <w:t xml:space="preserve"> counterparts (p=0.74). The initial rate of drop of blood glucose was </w:t>
      </w:r>
      <w:r w:rsidR="00F9088E">
        <w:rPr>
          <w:rFonts w:ascii="Times New Roman" w:hAnsi="Times New Roman" w:cs="Times New Roman"/>
        </w:rPr>
        <w:t xml:space="preserve">9.34% lower 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5D2740">
      <w:pPr>
        <w:pStyle w:val="Heading2"/>
      </w:pPr>
      <w:r w:rsidRPr="005D2740">
        <w:t>Gdf15</w:t>
      </w:r>
      <w:r w:rsidR="00484AEC" w:rsidRPr="005D2740">
        <w:t xml:space="preserve">-/- dams </w:t>
      </w:r>
      <w:r w:rsidR="00484AEC">
        <w:t>have normal</w:t>
      </w:r>
      <w:r w:rsidRPr="005D2740">
        <w:t xml:space="preserve"> </w:t>
      </w:r>
      <w:r w:rsidR="00D30D8F" w:rsidRPr="005D2740">
        <w:t>rate</w:t>
      </w:r>
      <w:r w:rsidR="00484AEC">
        <w:t>s</w:t>
      </w:r>
      <w:r w:rsidR="005D2740" w:rsidRPr="005D2740">
        <w:t xml:space="preserve"> of pregnancy, gestational age, </w:t>
      </w:r>
      <w:r w:rsidR="00D30D8F">
        <w:t xml:space="preserve">post-natal </w:t>
      </w:r>
      <w:r w:rsidR="005D2740" w:rsidRPr="005D2740">
        <w:t xml:space="preserve">survival, </w:t>
      </w:r>
      <w:r w:rsidR="00484AEC">
        <w:t>and</w:t>
      </w:r>
      <w:r w:rsidR="005D2740" w:rsidRPr="005D2740">
        <w:t xml:space="preserve"> birth weight</w:t>
      </w:r>
    </w:p>
    <w:p w14:paraId="38C3991C" w14:textId="1D1F39C1" w:rsidR="00091022" w:rsidRPr="000E7C62" w:rsidRDefault="000E7C62" w:rsidP="00971C89">
      <w:pPr>
        <w:spacing w:line="360" w:lineRule="auto"/>
        <w:rPr>
          <w:rFonts w:ascii="Times New Roman" w:hAnsi="Times New Roman" w:cs="Times New Roman"/>
        </w:rPr>
      </w:pPr>
      <w:r>
        <w:rPr>
          <w:rFonts w:ascii="Times New Roman" w:hAnsi="Times New Roman" w:cs="Times New Roman"/>
        </w:rPr>
        <w:t xml:space="preserve">To understand the role of Gdf15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 3 days (p=0.74).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(p=0.76</w:t>
      </w:r>
      <w:r w:rsidR="00165D94">
        <w:rPr>
          <w:rFonts w:ascii="Times New Roman" w:hAnsi="Times New Roman" w:cs="Times New Roman"/>
        </w:rPr>
        <w:t xml:space="preserve">). </w:t>
      </w:r>
      <w:r w:rsidR="00B108F4">
        <w:rPr>
          <w:rFonts w:ascii="Times New Roman" w:hAnsi="Times New Roman" w:cs="Times New Roman"/>
        </w:rPr>
        <w:t xml:space="preserve">Pups from </w:t>
      </w:r>
      <w:r w:rsidR="00B108F4" w:rsidRPr="00655C34">
        <w:rPr>
          <w:rFonts w:ascii="Times New Roman" w:hAnsi="Times New Roman" w:cs="Times New Roman"/>
          <w:i/>
          <w:iCs/>
        </w:rPr>
        <w:t>Gdf15</w:t>
      </w:r>
      <w:r w:rsidR="00B108F4" w:rsidRPr="00655C34">
        <w:rPr>
          <w:rFonts w:ascii="Times New Roman" w:hAnsi="Times New Roman" w:cs="Times New Roman"/>
          <w:i/>
          <w:iCs/>
          <w:vertAlign w:val="superscript"/>
        </w:rPr>
        <w:t>+/+</w:t>
      </w:r>
      <w:r w:rsidR="00B108F4">
        <w:rPr>
          <w:rFonts w:ascii="Times New Roman" w:hAnsi="Times New Roman" w:cs="Times New Roman"/>
          <w:i/>
          <w:iCs/>
          <w:vertAlign w:val="superscript"/>
        </w:rPr>
        <w:t xml:space="preserve"> </w:t>
      </w:r>
      <w:r w:rsidR="00B108F4">
        <w:rPr>
          <w:rFonts w:ascii="Times New Roman" w:hAnsi="Times New Roman" w:cs="Times New Roman"/>
        </w:rPr>
        <w:t xml:space="preserve">dams were 3.4% larger than those from </w:t>
      </w:r>
      <w:r w:rsidR="00B108F4" w:rsidRPr="00655C34">
        <w:rPr>
          <w:rFonts w:ascii="Times New Roman" w:hAnsi="Times New Roman" w:cs="Times New Roman"/>
          <w:i/>
          <w:iCs/>
        </w:rPr>
        <w:t>Gdf15</w:t>
      </w:r>
      <w:r w:rsidR="00B108F4">
        <w:rPr>
          <w:rFonts w:ascii="Times New Roman" w:hAnsi="Times New Roman" w:cs="Times New Roman"/>
          <w:i/>
          <w:iCs/>
          <w:vertAlign w:val="superscript"/>
        </w:rPr>
        <w:t xml:space="preserve">-/- </w:t>
      </w:r>
      <w:r w:rsidR="00B108F4">
        <w:rPr>
          <w:rFonts w:ascii="Times New Roman" w:hAnsi="Times New Roman" w:cs="Times New Roman"/>
        </w:rPr>
        <w:t>dams (p=0.050).</w:t>
      </w:r>
      <w:r w:rsidR="0086475F">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FF4FD0">
        <w:rPr>
          <w:rFonts w:ascii="Times New Roman" w:hAnsi="Times New Roman" w:cs="Times New Roman"/>
        </w:rPr>
        <w:t>p=0.99).</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E65237">
      <w:pPr>
        <w:pStyle w:val="Heading2"/>
      </w:pPr>
      <w:r w:rsidRPr="005D2740">
        <w:t xml:space="preserve">Gdf15-/- dams </w:t>
      </w:r>
      <w:r>
        <w:t>have no differences in milk production or milkfat percentage</w:t>
      </w:r>
    </w:p>
    <w:p w14:paraId="65519D1D" w14:textId="77777777" w:rsidR="00E65237" w:rsidRPr="00E65237" w:rsidRDefault="00E65237" w:rsidP="00E65237"/>
    <w:p w14:paraId="41461546" w14:textId="4975A421" w:rsidR="00374809" w:rsidRPr="00655C34" w:rsidRDefault="00374809" w:rsidP="00971C89">
      <w:pPr>
        <w:spacing w:line="360" w:lineRule="auto"/>
        <w:rPr>
          <w:rFonts w:ascii="Times New Roman" w:hAnsi="Times New Roman" w:cs="Times New Roman"/>
        </w:rPr>
      </w:pPr>
    </w:p>
    <w:p w14:paraId="6923F3AC" w14:textId="16D24E66" w:rsidR="00667E7E" w:rsidRPr="00303552" w:rsidRDefault="00667E7E" w:rsidP="00C279A3">
      <w:pPr>
        <w:pStyle w:val="Heading1"/>
        <w:rPr>
          <w:rFonts w:cs="Times New Roman"/>
        </w:rPr>
      </w:pPr>
      <w:r w:rsidRPr="00303552">
        <w:rPr>
          <w:rFonts w:cs="Times New Roman"/>
        </w:rPr>
        <w:t>Conclusion</w:t>
      </w:r>
    </w:p>
    <w:p w14:paraId="1A85AF84" w14:textId="77777777" w:rsidR="00667E7E" w:rsidRPr="00303552" w:rsidRDefault="00667E7E" w:rsidP="00C279A3">
      <w:pPr>
        <w:pStyle w:val="Heading1"/>
        <w:rPr>
          <w:rFonts w:cs="Times New Roman"/>
        </w:rPr>
      </w:pPr>
      <w:r w:rsidRPr="00303552">
        <w:rPr>
          <w:rFonts w:cs="Times New Roman"/>
        </w:rPr>
        <w:t>Discussion</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F36AAFC" w14:textId="77777777" w:rsidR="002B64E3" w:rsidRPr="002B64E3" w:rsidRDefault="006D0E50" w:rsidP="002B64E3">
      <w:pPr>
        <w:pStyle w:val="Bibliography"/>
        <w:rPr>
          <w:rFonts w:ascii="Times New Roman" w:hAnsi="Times New Roman" w:cs="Times New Roman"/>
        </w:rPr>
      </w:pPr>
      <w:r w:rsidRPr="00EA5CA9">
        <w:fldChar w:fldCharType="begin"/>
      </w:r>
      <w:r w:rsidRPr="00332B44">
        <w:instrText xml:space="preserve"> ADDIN ZOTERO_BIBL {"uncited":[],"omitted":[],"custom":[]} CSL_BIBLIOGRAPHY </w:instrText>
      </w:r>
      <w:r w:rsidRPr="00EA5CA9">
        <w:fldChar w:fldCharType="separate"/>
      </w:r>
      <w:r w:rsidR="002B64E3" w:rsidRPr="002B64E3">
        <w:rPr>
          <w:rFonts w:ascii="Times New Roman" w:hAnsi="Times New Roman" w:cs="Times New Roman"/>
        </w:rPr>
        <w:t xml:space="preserve">Bates, D., Mächler, M., Bolker, B., &amp; Walker, S. (2015). Fitting Linear Mixed-Effects Models Using lme4. </w:t>
      </w:r>
      <w:r w:rsidR="002B64E3" w:rsidRPr="002B64E3">
        <w:rPr>
          <w:rFonts w:ascii="Times New Roman" w:hAnsi="Times New Roman" w:cs="Times New Roman"/>
          <w:i/>
          <w:iCs/>
        </w:rPr>
        <w:t>Journal of Statistical Software</w:t>
      </w:r>
      <w:r w:rsidR="002B64E3" w:rsidRPr="002B64E3">
        <w:rPr>
          <w:rFonts w:ascii="Times New Roman" w:hAnsi="Times New Roman" w:cs="Times New Roman"/>
        </w:rPr>
        <w:t xml:space="preserve">, </w:t>
      </w:r>
      <w:r w:rsidR="002B64E3" w:rsidRPr="002B64E3">
        <w:rPr>
          <w:rFonts w:ascii="Times New Roman" w:hAnsi="Times New Roman" w:cs="Times New Roman"/>
          <w:i/>
          <w:iCs/>
        </w:rPr>
        <w:t>67</w:t>
      </w:r>
      <w:r w:rsidR="002B64E3" w:rsidRPr="002B64E3">
        <w:rPr>
          <w:rFonts w:ascii="Times New Roman" w:hAnsi="Times New Roman" w:cs="Times New Roman"/>
        </w:rPr>
        <w:t>, 1–48. https://doi.org/10.18637/jss.v067.i01</w:t>
      </w:r>
    </w:p>
    <w:p w14:paraId="6F4A81B3"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Bridges, D., Mulcahy, M. C., &amp; Redd, J. R. (2022, March 7). </w:t>
      </w:r>
      <w:r w:rsidRPr="002B64E3">
        <w:rPr>
          <w:rFonts w:ascii="Times New Roman" w:hAnsi="Times New Roman" w:cs="Times New Roman"/>
          <w:i/>
          <w:iCs/>
        </w:rPr>
        <w:t>Insulin Tolerance Test</w:t>
      </w:r>
      <w:r w:rsidRPr="002B64E3">
        <w:rPr>
          <w:rFonts w:ascii="Times New Roman" w:hAnsi="Times New Roman" w:cs="Times New Roman"/>
        </w:rPr>
        <w:t>. Protocols.Io. dx.doi.org/10.17504/protocols.io.b5zxq77n</w:t>
      </w:r>
    </w:p>
    <w:p w14:paraId="185EAF7C"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Frikke-Schmidt, H., Hultman, K., Galaske, J. W., Jørgensen, S. B., Myers, M. G., &amp; Seeley, R. J. (2019). GDF15 acts synergistically with liraglutide but is not necessary for the weight loss induced by bariatric surgery in mice. </w:t>
      </w:r>
      <w:r w:rsidRPr="002B64E3">
        <w:rPr>
          <w:rFonts w:ascii="Times New Roman" w:hAnsi="Times New Roman" w:cs="Times New Roman"/>
          <w:i/>
          <w:iCs/>
        </w:rPr>
        <w:t>Molecular Metabolism</w:t>
      </w:r>
      <w:r w:rsidRPr="002B64E3">
        <w:rPr>
          <w:rFonts w:ascii="Times New Roman" w:hAnsi="Times New Roman" w:cs="Times New Roman"/>
        </w:rPr>
        <w:t xml:space="preserve">, </w:t>
      </w:r>
      <w:r w:rsidRPr="002B64E3">
        <w:rPr>
          <w:rFonts w:ascii="Times New Roman" w:hAnsi="Times New Roman" w:cs="Times New Roman"/>
          <w:i/>
          <w:iCs/>
        </w:rPr>
        <w:t>21</w:t>
      </w:r>
      <w:r w:rsidRPr="002B64E3">
        <w:rPr>
          <w:rFonts w:ascii="Times New Roman" w:hAnsi="Times New Roman" w:cs="Times New Roman"/>
        </w:rPr>
        <w:t>, 13–21. https://doi.org/10.1016/j.molmet.2019.01.003</w:t>
      </w:r>
    </w:p>
    <w:p w14:paraId="037EDA7A"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R Core Team. (2021). </w:t>
      </w:r>
      <w:r w:rsidRPr="002B64E3">
        <w:rPr>
          <w:rFonts w:ascii="Times New Roman" w:hAnsi="Times New Roman" w:cs="Times New Roman"/>
          <w:i/>
          <w:iCs/>
        </w:rPr>
        <w:t>R: A Language and Environment for Statistical Computing</w:t>
      </w:r>
      <w:r w:rsidRPr="002B64E3">
        <w:rPr>
          <w:rFonts w:ascii="Times New Roman" w:hAnsi="Times New Roman" w:cs="Times New Roman"/>
        </w:rPr>
        <w:t>. R Foundation for Statistical Computing. https://www.R-project.org/</w:t>
      </w:r>
    </w:p>
    <w:p w14:paraId="4CA6E760" w14:textId="2F0ED62C" w:rsidR="006D0E50" w:rsidRPr="006D0E50" w:rsidRDefault="006D0E50" w:rsidP="006D0E50">
      <w:r w:rsidRPr="00EA5CA9">
        <w:rPr>
          <w:rFonts w:ascii="Times New Roman" w:hAnsi="Times New Roman" w:cs="Times New Roman"/>
          <w:rPrChange w:id="1"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4223" w14:textId="77777777" w:rsidR="004C38E8" w:rsidRDefault="004C38E8" w:rsidP="00283B15">
      <w:r>
        <w:separator/>
      </w:r>
    </w:p>
  </w:endnote>
  <w:endnote w:type="continuationSeparator" w:id="0">
    <w:p w14:paraId="3BB50AC7" w14:textId="77777777" w:rsidR="004C38E8" w:rsidRDefault="004C38E8"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6450" w14:textId="77777777" w:rsidR="004C38E8" w:rsidRDefault="004C38E8" w:rsidP="00283B15">
      <w:r>
        <w:separator/>
      </w:r>
    </w:p>
  </w:footnote>
  <w:footnote w:type="continuationSeparator" w:id="0">
    <w:p w14:paraId="73AEA0FA" w14:textId="77777777" w:rsidR="004C38E8" w:rsidRDefault="004C38E8"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02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40DF6"/>
    <w:rsid w:val="00047193"/>
    <w:rsid w:val="00077CDF"/>
    <w:rsid w:val="00091022"/>
    <w:rsid w:val="000B7DE3"/>
    <w:rsid w:val="000C2B86"/>
    <w:rsid w:val="000C3D44"/>
    <w:rsid w:val="000D36C6"/>
    <w:rsid w:val="000D699C"/>
    <w:rsid w:val="000E3386"/>
    <w:rsid w:val="000E4545"/>
    <w:rsid w:val="000E7C62"/>
    <w:rsid w:val="000F2F63"/>
    <w:rsid w:val="000F3B3F"/>
    <w:rsid w:val="000F642D"/>
    <w:rsid w:val="00106075"/>
    <w:rsid w:val="00107C77"/>
    <w:rsid w:val="00113179"/>
    <w:rsid w:val="00122A75"/>
    <w:rsid w:val="00154B9E"/>
    <w:rsid w:val="001557E5"/>
    <w:rsid w:val="00165D94"/>
    <w:rsid w:val="00186B53"/>
    <w:rsid w:val="001C170C"/>
    <w:rsid w:val="001C634C"/>
    <w:rsid w:val="001D753F"/>
    <w:rsid w:val="001E6250"/>
    <w:rsid w:val="001E72ED"/>
    <w:rsid w:val="0020031B"/>
    <w:rsid w:val="002375E1"/>
    <w:rsid w:val="00242FC7"/>
    <w:rsid w:val="00247B38"/>
    <w:rsid w:val="002513AE"/>
    <w:rsid w:val="00262874"/>
    <w:rsid w:val="00264316"/>
    <w:rsid w:val="00280CAA"/>
    <w:rsid w:val="00283B15"/>
    <w:rsid w:val="002A4E3E"/>
    <w:rsid w:val="002A5E0B"/>
    <w:rsid w:val="002B64E3"/>
    <w:rsid w:val="002C1F42"/>
    <w:rsid w:val="002C2A53"/>
    <w:rsid w:val="002C53A0"/>
    <w:rsid w:val="002E247C"/>
    <w:rsid w:val="002F29DF"/>
    <w:rsid w:val="00303552"/>
    <w:rsid w:val="0030401E"/>
    <w:rsid w:val="00332B44"/>
    <w:rsid w:val="00344006"/>
    <w:rsid w:val="00367564"/>
    <w:rsid w:val="00373916"/>
    <w:rsid w:val="00374604"/>
    <w:rsid w:val="00374809"/>
    <w:rsid w:val="00374FAE"/>
    <w:rsid w:val="003A3E91"/>
    <w:rsid w:val="003D3AA3"/>
    <w:rsid w:val="003D45C1"/>
    <w:rsid w:val="00404E6F"/>
    <w:rsid w:val="00422824"/>
    <w:rsid w:val="0042306F"/>
    <w:rsid w:val="00436287"/>
    <w:rsid w:val="00444701"/>
    <w:rsid w:val="004527CA"/>
    <w:rsid w:val="004814CA"/>
    <w:rsid w:val="00484AEC"/>
    <w:rsid w:val="004A3BDC"/>
    <w:rsid w:val="004A7ABC"/>
    <w:rsid w:val="004C0855"/>
    <w:rsid w:val="004C147B"/>
    <w:rsid w:val="004C1957"/>
    <w:rsid w:val="004C38E8"/>
    <w:rsid w:val="004D15A6"/>
    <w:rsid w:val="004F4D8C"/>
    <w:rsid w:val="00506BE3"/>
    <w:rsid w:val="00511334"/>
    <w:rsid w:val="005135AA"/>
    <w:rsid w:val="00517D3C"/>
    <w:rsid w:val="00572224"/>
    <w:rsid w:val="00572DD3"/>
    <w:rsid w:val="00574166"/>
    <w:rsid w:val="00581906"/>
    <w:rsid w:val="00587EB0"/>
    <w:rsid w:val="005A3CDA"/>
    <w:rsid w:val="005A57BB"/>
    <w:rsid w:val="005B1295"/>
    <w:rsid w:val="005B73EC"/>
    <w:rsid w:val="005C50AA"/>
    <w:rsid w:val="005D2740"/>
    <w:rsid w:val="005E3BA8"/>
    <w:rsid w:val="005E6CA5"/>
    <w:rsid w:val="005F2191"/>
    <w:rsid w:val="00603AC9"/>
    <w:rsid w:val="0062695D"/>
    <w:rsid w:val="006311F0"/>
    <w:rsid w:val="00636D13"/>
    <w:rsid w:val="0063731D"/>
    <w:rsid w:val="00645CE1"/>
    <w:rsid w:val="00655C34"/>
    <w:rsid w:val="0066761A"/>
    <w:rsid w:val="00667E7E"/>
    <w:rsid w:val="00674C4E"/>
    <w:rsid w:val="00697A26"/>
    <w:rsid w:val="006B0F65"/>
    <w:rsid w:val="006B426E"/>
    <w:rsid w:val="006C7575"/>
    <w:rsid w:val="006D0E50"/>
    <w:rsid w:val="006E4CAA"/>
    <w:rsid w:val="00726DE1"/>
    <w:rsid w:val="00741FE3"/>
    <w:rsid w:val="00757CFC"/>
    <w:rsid w:val="00777A3D"/>
    <w:rsid w:val="007800A0"/>
    <w:rsid w:val="00792F75"/>
    <w:rsid w:val="00793823"/>
    <w:rsid w:val="007C1DF5"/>
    <w:rsid w:val="007D0C98"/>
    <w:rsid w:val="008037F1"/>
    <w:rsid w:val="00810717"/>
    <w:rsid w:val="0081224E"/>
    <w:rsid w:val="00834B50"/>
    <w:rsid w:val="0086099C"/>
    <w:rsid w:val="0086475F"/>
    <w:rsid w:val="0087718F"/>
    <w:rsid w:val="008D11D5"/>
    <w:rsid w:val="008E4DF2"/>
    <w:rsid w:val="008E6EF4"/>
    <w:rsid w:val="008F3299"/>
    <w:rsid w:val="008F4555"/>
    <w:rsid w:val="008F7BED"/>
    <w:rsid w:val="00910237"/>
    <w:rsid w:val="00913CC8"/>
    <w:rsid w:val="00916768"/>
    <w:rsid w:val="00920A42"/>
    <w:rsid w:val="00935BB2"/>
    <w:rsid w:val="00967CB8"/>
    <w:rsid w:val="00971C89"/>
    <w:rsid w:val="009778DF"/>
    <w:rsid w:val="009B2016"/>
    <w:rsid w:val="009B3F1D"/>
    <w:rsid w:val="009E0694"/>
    <w:rsid w:val="00A056A4"/>
    <w:rsid w:val="00A172DE"/>
    <w:rsid w:val="00A17703"/>
    <w:rsid w:val="00A22DC3"/>
    <w:rsid w:val="00A2331B"/>
    <w:rsid w:val="00A32ED9"/>
    <w:rsid w:val="00A577C7"/>
    <w:rsid w:val="00A75B5E"/>
    <w:rsid w:val="00A824EE"/>
    <w:rsid w:val="00A850D5"/>
    <w:rsid w:val="00AA6169"/>
    <w:rsid w:val="00AB498D"/>
    <w:rsid w:val="00AC2FFC"/>
    <w:rsid w:val="00AC4597"/>
    <w:rsid w:val="00AE2672"/>
    <w:rsid w:val="00AE4DBC"/>
    <w:rsid w:val="00B039A5"/>
    <w:rsid w:val="00B108F4"/>
    <w:rsid w:val="00B34F9F"/>
    <w:rsid w:val="00B364E2"/>
    <w:rsid w:val="00B41305"/>
    <w:rsid w:val="00B41ED0"/>
    <w:rsid w:val="00B555A6"/>
    <w:rsid w:val="00B57207"/>
    <w:rsid w:val="00B6421A"/>
    <w:rsid w:val="00B71DC1"/>
    <w:rsid w:val="00B87CB1"/>
    <w:rsid w:val="00BB319E"/>
    <w:rsid w:val="00BD75F3"/>
    <w:rsid w:val="00BE5606"/>
    <w:rsid w:val="00BF3CAB"/>
    <w:rsid w:val="00BF5335"/>
    <w:rsid w:val="00C12747"/>
    <w:rsid w:val="00C13592"/>
    <w:rsid w:val="00C200CA"/>
    <w:rsid w:val="00C26F18"/>
    <w:rsid w:val="00C279A3"/>
    <w:rsid w:val="00C345B1"/>
    <w:rsid w:val="00C41B17"/>
    <w:rsid w:val="00C545FF"/>
    <w:rsid w:val="00C6518A"/>
    <w:rsid w:val="00C853C9"/>
    <w:rsid w:val="00C86E71"/>
    <w:rsid w:val="00C95715"/>
    <w:rsid w:val="00CC5373"/>
    <w:rsid w:val="00CD4198"/>
    <w:rsid w:val="00CD654B"/>
    <w:rsid w:val="00D02566"/>
    <w:rsid w:val="00D071B1"/>
    <w:rsid w:val="00D10944"/>
    <w:rsid w:val="00D1461E"/>
    <w:rsid w:val="00D1756D"/>
    <w:rsid w:val="00D30D8F"/>
    <w:rsid w:val="00D3270D"/>
    <w:rsid w:val="00D45A15"/>
    <w:rsid w:val="00D50EED"/>
    <w:rsid w:val="00D656F0"/>
    <w:rsid w:val="00D671B1"/>
    <w:rsid w:val="00D86FB4"/>
    <w:rsid w:val="00DD02BD"/>
    <w:rsid w:val="00DD11C9"/>
    <w:rsid w:val="00DE237C"/>
    <w:rsid w:val="00DE5F60"/>
    <w:rsid w:val="00DF3474"/>
    <w:rsid w:val="00E26319"/>
    <w:rsid w:val="00E34536"/>
    <w:rsid w:val="00E40985"/>
    <w:rsid w:val="00E65237"/>
    <w:rsid w:val="00E8044A"/>
    <w:rsid w:val="00E81B08"/>
    <w:rsid w:val="00E973AF"/>
    <w:rsid w:val="00E974EB"/>
    <w:rsid w:val="00EA063D"/>
    <w:rsid w:val="00EA5CA9"/>
    <w:rsid w:val="00EB697F"/>
    <w:rsid w:val="00EC0106"/>
    <w:rsid w:val="00EC23D1"/>
    <w:rsid w:val="00ED0BEA"/>
    <w:rsid w:val="00EF1CFC"/>
    <w:rsid w:val="00EF6E8B"/>
    <w:rsid w:val="00EF6FDD"/>
    <w:rsid w:val="00F0707F"/>
    <w:rsid w:val="00F43922"/>
    <w:rsid w:val="00F85D93"/>
    <w:rsid w:val="00F876E9"/>
    <w:rsid w:val="00F8783B"/>
    <w:rsid w:val="00F9088E"/>
    <w:rsid w:val="00FA1832"/>
    <w:rsid w:val="00FB0F00"/>
    <w:rsid w:val="00FB346B"/>
    <w:rsid w:val="00FD0AB9"/>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ebrid@umich.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9</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133</cp:revision>
  <dcterms:created xsi:type="dcterms:W3CDTF">2022-05-03T17:41:00Z</dcterms:created>
  <dcterms:modified xsi:type="dcterms:W3CDTF">2022-10-10T18:39:00Z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id="VEMUsOep"/&gt;&lt;style id="http://www.zotero.org/styles/apa" locale="en-US" hasBibliography="1" bibliographyStyleHasBeenSet="1"/&gt;&lt;prefs&gt;&lt;pref name="fieldType" value="Field"/&gt;&lt;/prefs&gt;&lt;/data&gt;</vt:lpwstr>
  </property>
</Properties>
</file>