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274E4E6"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0AC05531"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7777777"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don’t 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FFB105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7F3588">
        <w:rPr>
          <w:rFonts w:ascii="Times New Roman" w:hAnsi="Times New Roman" w:cs="Times New Roman"/>
        </w:rPr>
        <w:t>T1DM</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F7EEC57"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 xml:space="preserve"> 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A46F86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and postnatal </w:t>
      </w:r>
      <w:r w:rsidR="009C63CC">
        <w:rPr>
          <w:rFonts w:ascii="Times New Roman" w:hAnsi="Times New Roman" w:cs="Times New Roman"/>
        </w:rPr>
        <w:lastRenderedPageBreak/>
        <w:t xml:space="preserve">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5205BCA5"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lastRenderedPageBreak/>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839E4A"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00CCE42"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w:t>
      </w:r>
      <w:r w:rsidR="005A030D">
        <w:rPr>
          <w:rFonts w:ascii="Times New Roman" w:hAnsi="Times New Roman" w:cs="Times New Roman"/>
        </w:rPr>
        <w:lastRenderedPageBreak/>
        <w:t>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w:t>
      </w:r>
      <w:proofErr w:type="spellStart"/>
      <w:r w:rsidR="00801A6F">
        <w:rPr>
          <w:rFonts w:ascii="Times New Roman" w:hAnsi="Times New Roman" w:cs="Times New Roman"/>
        </w:rPr>
        <w:t>dL</w:t>
      </w:r>
      <w:proofErr w:type="spellEnd"/>
      <w:r w:rsidR="00801A6F">
        <w:rPr>
          <w:rFonts w:ascii="Times New Roman" w:hAnsi="Times New Roman" w:cs="Times New Roman"/>
        </w:rPr>
        <w:t>)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6108BE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2B0A667"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3F62BE">
        <w:rPr>
          <w:rFonts w:ascii="Times New Roman" w:hAnsi="Times New Roman" w:cs="Times New Roman"/>
          <w:i/>
          <w:rPrChange w:id="1" w:author="Dave Bridges" w:date="2022-12-14T10:53:00Z">
            <w:rPr>
              <w:rFonts w:ascii="Times New Roman" w:hAnsi="Times New Roman" w:cs="Times New Roman"/>
            </w:rPr>
          </w:rPrChange>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316DD1B2"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del w:id="2" w:author="Dave Bridges" w:date="2022-12-14T10:53:00Z">
        <w:r w:rsidRPr="003F62BE" w:rsidDel="003F62BE">
          <w:rPr>
            <w:rFonts w:ascii="Times New Roman" w:hAnsi="Times New Roman" w:cs="Times New Roman"/>
            <w:iCs/>
            <w:rPrChange w:id="3" w:author="Dave Bridges" w:date="2022-12-14T10:53:00Z">
              <w:rPr>
                <w:rFonts w:ascii="Times New Roman" w:hAnsi="Times New Roman" w:cs="Times New Roman"/>
                <w:i/>
                <w:iCs/>
              </w:rPr>
            </w:rPrChange>
          </w:rPr>
          <w:delText>G</w:delText>
        </w:r>
        <w:r w:rsidR="00E92526" w:rsidRPr="003F62BE" w:rsidDel="003F62BE">
          <w:rPr>
            <w:rFonts w:ascii="Times New Roman" w:hAnsi="Times New Roman" w:cs="Times New Roman"/>
            <w:iCs/>
            <w:rPrChange w:id="4" w:author="Dave Bridges" w:date="2022-12-14T10:53:00Z">
              <w:rPr>
                <w:rFonts w:ascii="Times New Roman" w:hAnsi="Times New Roman" w:cs="Times New Roman"/>
                <w:i/>
                <w:iCs/>
              </w:rPr>
            </w:rPrChange>
          </w:rPr>
          <w:delText>df</w:delText>
        </w:r>
        <w:r w:rsidRPr="003F62BE" w:rsidDel="003F62BE">
          <w:rPr>
            <w:rFonts w:ascii="Times New Roman" w:hAnsi="Times New Roman" w:cs="Times New Roman"/>
            <w:iCs/>
            <w:rPrChange w:id="5" w:author="Dave Bridges" w:date="2022-12-14T10:53:00Z">
              <w:rPr>
                <w:rFonts w:ascii="Times New Roman" w:hAnsi="Times New Roman" w:cs="Times New Roman"/>
                <w:i/>
                <w:iCs/>
              </w:rPr>
            </w:rPrChange>
          </w:rPr>
          <w:delText>15</w:delText>
        </w:r>
        <w:r w:rsidDel="003F62BE">
          <w:rPr>
            <w:rFonts w:ascii="Times New Roman" w:hAnsi="Times New Roman" w:cs="Times New Roman"/>
          </w:rPr>
          <w:delText xml:space="preserve"> </w:delText>
        </w:r>
      </w:del>
      <w:ins w:id="6" w:author="Dave Bridges" w:date="2022-12-14T10:53:00Z">
        <w:r w:rsidR="003F62BE">
          <w:rPr>
            <w:rFonts w:ascii="Times New Roman" w:hAnsi="Times New Roman" w:cs="Times New Roman"/>
            <w:iCs/>
          </w:rPr>
          <w:t>GDF15</w:t>
        </w:r>
        <w:r w:rsidR="003F62BE">
          <w:rPr>
            <w:rFonts w:ascii="Times New Roman" w:hAnsi="Times New Roman" w:cs="Times New Roman"/>
          </w:rPr>
          <w:t xml:space="preserve"> </w:t>
        </w:r>
      </w:ins>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lastRenderedPageBreak/>
        <w:t>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in human pregnancy</w:t>
      </w:r>
      <w:del w:id="7" w:author="Dave Bridges" w:date="2022-12-14T10:54:00Z">
        <w:r w:rsidR="00AB67D8" w:rsidDel="003F62BE">
          <w:rPr>
            <w:rFonts w:ascii="Times New Roman" w:hAnsi="Times New Roman" w:cs="Times New Roman"/>
          </w:rPr>
          <w:delText xml:space="preserve"> and its effect on weight</w:delText>
        </w:r>
        <w:r w:rsidR="007E7A4E" w:rsidDel="003F62BE">
          <w:rPr>
            <w:rFonts w:ascii="Times New Roman" w:hAnsi="Times New Roman" w:cs="Times New Roman"/>
          </w:rPr>
          <w:delText xml:space="preserve"> and none that evaluate it as a primary outcome</w:delText>
        </w:r>
      </w:del>
      <w:r w:rsidR="00AB67D8">
        <w:rPr>
          <w:rFonts w:ascii="Times New Roman" w:hAnsi="Times New Roman" w:cs="Times New Roman"/>
        </w:rPr>
        <w:t xml:space="preserve">.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ins w:id="8" w:author="Dave Bridges" w:date="2022-12-14T10:54:00Z">
        <w:r w:rsidR="003F62BE">
          <w:rPr>
            <w:rFonts w:ascii="Times New Roman" w:hAnsi="Times New Roman" w:cs="Times New Roman"/>
          </w:rPr>
          <w:t xml:space="preserve"> prominent changes in </w:t>
        </w:r>
      </w:ins>
      <w:del w:id="9" w:author="Dave Bridges" w:date="2022-12-14T10:54:00Z">
        <w:r w:rsidR="0034537A" w:rsidDel="003F62BE">
          <w:rPr>
            <w:rFonts w:ascii="Times New Roman" w:hAnsi="Times New Roman" w:cs="Times New Roman"/>
          </w:rPr>
          <w:delText xml:space="preserve"> </w:delText>
        </w:r>
      </w:del>
      <w:r w:rsidR="0034537A">
        <w:rPr>
          <w:rFonts w:ascii="Times New Roman" w:hAnsi="Times New Roman" w:cs="Times New Roman"/>
        </w:rPr>
        <w:t>gestational outcome</w:t>
      </w:r>
      <w:ins w:id="10" w:author="Dave Bridges" w:date="2022-12-14T10:54:00Z">
        <w:r w:rsidR="003F62BE">
          <w:rPr>
            <w:rFonts w:ascii="Times New Roman" w:hAnsi="Times New Roman" w:cs="Times New Roman"/>
          </w:rPr>
          <w:t>s</w:t>
        </w:r>
      </w:ins>
      <w:del w:id="11" w:author="Dave Bridges" w:date="2022-12-14T10:54:00Z">
        <w:r w:rsidR="0034537A" w:rsidDel="003F62BE">
          <w:rPr>
            <w:rFonts w:ascii="Times New Roman" w:hAnsi="Times New Roman" w:cs="Times New Roman"/>
          </w:rPr>
          <w:delText xml:space="preserve"> differences</w:delText>
        </w:r>
      </w:del>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ins w:id="12" w:author="Dave Bridges" w:date="2022-12-14T10:55:00Z">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ins>
      <w:r w:rsidR="0034537A">
        <w:rPr>
          <w:rFonts w:ascii="Times New Roman" w:hAnsi="Times New Roman" w:cs="Times New Roman"/>
        </w:rPr>
        <w:t xml:space="preserve">null </w:t>
      </w:r>
      <w:ins w:id="13" w:author="Dave Bridges" w:date="2022-12-14T10:54:00Z">
        <w:r w:rsidR="003F62BE">
          <w:rPr>
            <w:rFonts w:ascii="Times New Roman" w:hAnsi="Times New Roman" w:cs="Times New Roman"/>
          </w:rPr>
          <w:t xml:space="preserve">mouse </w:t>
        </w:r>
      </w:ins>
      <w:r w:rsidR="0034537A">
        <w:rPr>
          <w:rFonts w:ascii="Times New Roman" w:hAnsi="Times New Roman" w:cs="Times New Roman"/>
        </w:rPr>
        <w:t xml:space="preserve">models </w:t>
      </w:r>
      <w:del w:id="14" w:author="Dave Bridges" w:date="2022-12-14T10:54:00Z">
        <w:r w:rsidR="0034537A" w:rsidDel="003F62BE">
          <w:rPr>
            <w:rFonts w:ascii="Times New Roman" w:hAnsi="Times New Roman" w:cs="Times New Roman"/>
          </w:rPr>
          <w:delText>do not formally</w:delText>
        </w:r>
      </w:del>
      <w:ins w:id="15" w:author="Dave Bridges" w:date="2022-12-14T10:54:00Z">
        <w:r w:rsidR="003F62BE">
          <w:rPr>
            <w:rFonts w:ascii="Times New Roman" w:hAnsi="Times New Roman" w:cs="Times New Roman"/>
          </w:rPr>
          <w:t>have</w:t>
        </w:r>
      </w:ins>
      <w:ins w:id="16" w:author="Dave Bridges" w:date="2022-12-14T10:55:00Z">
        <w:r w:rsidR="003F62BE">
          <w:rPr>
            <w:rFonts w:ascii="Times New Roman" w:hAnsi="Times New Roman" w:cs="Times New Roman"/>
          </w:rPr>
          <w:t xml:space="preserve"> generally</w:t>
        </w:r>
      </w:ins>
      <w:ins w:id="17" w:author="Dave Bridges" w:date="2022-12-14T10:54:00Z">
        <w:r w:rsidR="003F62BE">
          <w:rPr>
            <w:rFonts w:ascii="Times New Roman" w:hAnsi="Times New Roman" w:cs="Times New Roman"/>
          </w:rPr>
          <w:t xml:space="preserve"> not</w:t>
        </w:r>
      </w:ins>
      <w:r w:rsidR="0034537A">
        <w:rPr>
          <w:rFonts w:ascii="Times New Roman" w:hAnsi="Times New Roman" w:cs="Times New Roman"/>
        </w:rPr>
        <w:t xml:space="preserve"> </w:t>
      </w:r>
      <w:del w:id="18" w:author="Dave Bridges" w:date="2022-12-14T10:54:00Z">
        <w:r w:rsidR="0034537A" w:rsidDel="003F62BE">
          <w:rPr>
            <w:rFonts w:ascii="Times New Roman" w:hAnsi="Times New Roman" w:cs="Times New Roman"/>
          </w:rPr>
          <w:delText xml:space="preserve">evaluate </w:delText>
        </w:r>
      </w:del>
      <w:ins w:id="19" w:author="Dave Bridges" w:date="2022-12-14T10:54:00Z">
        <w:r w:rsidR="003F62BE">
          <w:rPr>
            <w:rFonts w:ascii="Times New Roman" w:hAnsi="Times New Roman" w:cs="Times New Roman"/>
          </w:rPr>
          <w:t>reported</w:t>
        </w:r>
        <w:r w:rsidR="003F62BE">
          <w:rPr>
            <w:rFonts w:ascii="Times New Roman" w:hAnsi="Times New Roman" w:cs="Times New Roman"/>
          </w:rPr>
          <w:t xml:space="preserve"> </w:t>
        </w:r>
      </w:ins>
      <w:r w:rsidR="0034537A">
        <w:rPr>
          <w:rFonts w:ascii="Times New Roman" w:hAnsi="Times New Roman" w:cs="Times New Roman"/>
        </w:rPr>
        <w:t>pregnancy or gestational outcomes in null mice during breeding or maintenance, but only describe</w:t>
      </w:r>
      <w:del w:id="20" w:author="Dave Bridges" w:date="2022-12-14T10:55:00Z">
        <w:r w:rsidR="0034537A" w:rsidDel="003F62BE">
          <w:rPr>
            <w:rFonts w:ascii="Times New Roman" w:hAnsi="Times New Roman" w:cs="Times New Roman"/>
          </w:rPr>
          <w:delText>s</w:delText>
        </w:r>
      </w:del>
      <w:r w:rsidR="0034537A">
        <w:rPr>
          <w:rFonts w:ascii="Times New Roman" w:hAnsi="Times New Roman" w:cs="Times New Roman"/>
        </w:rPr>
        <w:t xml:space="preserve"> differences as adults when used in experimental model</w:t>
      </w:r>
      <w:del w:id="21" w:author="Dave Bridges" w:date="2022-12-14T10:55:00Z">
        <w:r w:rsidR="0034537A" w:rsidDel="003F62BE">
          <w:rPr>
            <w:rFonts w:ascii="Times New Roman" w:hAnsi="Times New Roman" w:cs="Times New Roman"/>
          </w:rPr>
          <w:delText xml:space="preserve">s </w:delText>
        </w:r>
        <w:r w:rsidR="0034537A" w:rsidDel="003F62BE">
          <w:rPr>
            <w:rFonts w:ascii="Times New Roman" w:hAnsi="Times New Roman" w:cs="Times New Roman"/>
          </w:rPr>
          <w:fldChar w:fldCharType="begin"/>
        </w:r>
        <w:r w:rsidR="0034537A" w:rsidDel="003F62BE">
          <w:rPr>
            <w:rFonts w:ascii="Times New Roman" w:hAnsi="Times New Roman" w:cs="Times New Roman"/>
          </w:rPr>
          <w:delInstrText xml:space="preserve"> ADDIN ZOTERO_ITEM CSL_CITATION {"citationID":"9WcjN8MO","properties":{"formattedCitation":"(Frikke-Schmidt et al., 2019; Mullican et al., 2017)","plainCitation":"(Frikke-Schmidt et al., 2019; Mullican et al., 2017)","noteIndex":0},"citationItems":[{"id":1379,"uris":["http://zotero.org/users/5073745/items/5MMFNCAZ"],"itemData":{"id":1379,"type":"article-journal","abstract":"OBJECTIVE: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34537A" w:rsidDel="003F62BE">
          <w:rPr>
            <w:rFonts w:ascii="Times New Roman" w:hAnsi="Times New Roman" w:cs="Times New Roman"/>
          </w:rPr>
          <w:fldChar w:fldCharType="separate"/>
        </w:r>
        <w:r w:rsidR="0034537A" w:rsidDel="003F62BE">
          <w:rPr>
            <w:rFonts w:ascii="Times New Roman" w:hAnsi="Times New Roman" w:cs="Times New Roman"/>
            <w:noProof/>
          </w:rPr>
          <w:delText>(Frikke-Schmidt et al., 2019; Mullican et al., 2017)</w:delText>
        </w:r>
        <w:r w:rsidR="0034537A" w:rsidDel="003F62BE">
          <w:rPr>
            <w:rFonts w:ascii="Times New Roman" w:hAnsi="Times New Roman" w:cs="Times New Roman"/>
          </w:rPr>
          <w:fldChar w:fldCharType="end"/>
        </w:r>
      </w:del>
      <w:ins w:id="22" w:author="Dave Bridges" w:date="2022-12-14T10:55:00Z">
        <w:r w:rsidR="003F62BE">
          <w:rPr>
            <w:rFonts w:ascii="Times New Roman" w:hAnsi="Times New Roman" w:cs="Times New Roman"/>
          </w:rPr>
          <w:t>s</w:t>
        </w:r>
      </w:ins>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w:t>
      </w:r>
      <w:r w:rsidR="001A1D01">
        <w:rPr>
          <w:rFonts w:ascii="Times New Roman" w:hAnsi="Times New Roman" w:cs="Times New Roman"/>
        </w:rPr>
        <w:t xml:space="preserve">ere lactation </w:t>
      </w:r>
      <w:commentRangeStart w:id="23"/>
      <w:r w:rsidR="001A1D01">
        <w:rPr>
          <w:rFonts w:ascii="Times New Roman" w:hAnsi="Times New Roman" w:cs="Times New Roman"/>
        </w:rPr>
        <w:t>difficulties</w:t>
      </w:r>
      <w:commentRangeEnd w:id="23"/>
      <w:r w:rsidR="003F62BE">
        <w:rPr>
          <w:rStyle w:val="CommentReference"/>
        </w:rPr>
        <w:commentReference w:id="23"/>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Pr>
          <w:rFonts w:ascii="Times New Roman" w:hAnsi="Times New Roman" w:cs="Times New Roman"/>
        </w:rPr>
        <w:fldChar w:fldCharType="begin"/>
      </w:r>
      <w:r w:rsidR="0040475E">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Pr>
          <w:rFonts w:ascii="Times New Roman" w:hAnsi="Times New Roman" w:cs="Times New Roman"/>
        </w:rPr>
        <w:fldChar w:fldCharType="separate"/>
      </w:r>
      <w:r w:rsidR="0040475E">
        <w:rPr>
          <w:rFonts w:ascii="Times New Roman" w:hAnsi="Times New Roman" w:cs="Times New Roman"/>
          <w:noProof/>
        </w:rPr>
        <w:t>(Binder et al., 2016)</w:t>
      </w:r>
      <w:r w:rsidR="0040475E">
        <w:rPr>
          <w:rFonts w:ascii="Times New Roman" w:hAnsi="Times New Roman" w:cs="Times New Roman"/>
        </w:rPr>
        <w:fldChar w:fldCharType="end"/>
      </w:r>
      <w:r w:rsidR="0040475E">
        <w:rPr>
          <w:rFonts w:ascii="Times New Roman" w:hAnsi="Times New Roman" w:cs="Times New Roman"/>
        </w:rPr>
        <w:t>.</w:t>
      </w:r>
      <w:r w:rsidR="001A1D01">
        <w:rPr>
          <w:rFonts w:ascii="Times New Roman" w:hAnsi="Times New Roman" w:cs="Times New Roman"/>
        </w:rPr>
        <w:t xml:space="preserve"> </w:t>
      </w:r>
      <w:moveToRangeStart w:id="24" w:author="Dave Bridges" w:date="2022-12-14T10:57:00Z" w:name="move121907857"/>
      <w:moveTo w:id="25" w:author="Dave Bridges" w:date="2022-12-14T10:57:00Z">
        <w:r w:rsidR="003F62BE" w:rsidRPr="00C74F84">
          <w:rPr>
            <w:rFonts w:ascii="Times New Roman" w:hAnsi="Times New Roman" w:cs="Times New Roman"/>
            <w:highlight w:val="yellow"/>
          </w:rPr>
          <w:t xml:space="preserve">Previous work shows that external administration of GDF15, similar to levels that are seen in the rise that accompanies pregnancy, in mice results in reductions in food intake </w:t>
        </w:r>
        <w:r w:rsidR="003F62BE" w:rsidRPr="00C74F84">
          <w:rPr>
            <w:rFonts w:ascii="Times New Roman" w:hAnsi="Times New Roman" w:cs="Times New Roman"/>
            <w:highlight w:val="yellow"/>
          </w:rPr>
          <w:fldChar w:fldCharType="begin"/>
        </w:r>
        <w:r w:rsidR="003F62BE" w:rsidRPr="00C74F84">
          <w:rPr>
            <w:rFonts w:ascii="Times New Roman" w:hAnsi="Times New Roman" w:cs="Times New Roman"/>
            <w:highlight w:val="yellow"/>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C74F84">
          <w:rPr>
            <w:rFonts w:ascii="Times New Roman" w:hAnsi="Times New Roman" w:cs="Times New Roman"/>
            <w:highlight w:val="yellow"/>
          </w:rPr>
          <w:fldChar w:fldCharType="separate"/>
        </w:r>
        <w:r w:rsidR="003F62BE" w:rsidRPr="00C74F84">
          <w:rPr>
            <w:rFonts w:ascii="Times New Roman" w:hAnsi="Times New Roman" w:cs="Times New Roman"/>
            <w:noProof/>
            <w:highlight w:val="yellow"/>
          </w:rPr>
          <w:t>(Mullican et al., 2017; Patel et al., 2019)</w:t>
        </w:r>
        <w:r w:rsidR="003F62BE" w:rsidRPr="00C74F84">
          <w:rPr>
            <w:rFonts w:ascii="Times New Roman" w:hAnsi="Times New Roman" w:cs="Times New Roman"/>
            <w:highlight w:val="yellow"/>
          </w:rPr>
          <w:fldChar w:fldCharType="end"/>
        </w:r>
        <w:r w:rsidR="003F62BE" w:rsidRPr="00C74F84">
          <w:rPr>
            <w:rFonts w:ascii="Times New Roman" w:hAnsi="Times New Roman" w:cs="Times New Roman"/>
            <w:highlight w:val="yellow"/>
          </w:rPr>
          <w:t xml:space="preserve">. </w:t>
        </w:r>
      </w:moveTo>
      <w:moveToRangeEnd w:id="24"/>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w:t>
      </w:r>
      <w:del w:id="26" w:author="Dave Bridges" w:date="2022-12-14T10:56:00Z">
        <w:r w:rsidR="001B7833" w:rsidDel="003F62BE">
          <w:rPr>
            <w:rFonts w:ascii="Times New Roman" w:hAnsi="Times New Roman" w:cs="Times New Roman"/>
          </w:rPr>
          <w:delText xml:space="preserve">normal physiological levels of </w:delText>
        </w:r>
      </w:del>
      <w:r w:rsidR="001B7833">
        <w:rPr>
          <w:rFonts w:ascii="Times New Roman" w:hAnsi="Times New Roman" w:cs="Times New Roman"/>
        </w:rPr>
        <w:t xml:space="preserve">GDF15 in pregnant mice </w:t>
      </w:r>
      <w:ins w:id="27" w:author="Dave Bridges" w:date="2022-12-14T10:56:00Z">
        <w:r w:rsidR="003F62BE">
          <w:rPr>
            <w:rFonts w:ascii="Times New Roman" w:hAnsi="Times New Roman" w:cs="Times New Roman"/>
          </w:rPr>
          <w:t xml:space="preserve">is altered but it not necessary for changes in </w:t>
        </w:r>
      </w:ins>
      <w:del w:id="28" w:author="Dave Bridges" w:date="2022-12-14T10:56:00Z">
        <w:r w:rsidR="001B7833" w:rsidDel="003F62BE">
          <w:rPr>
            <w:rFonts w:ascii="Times New Roman" w:hAnsi="Times New Roman" w:cs="Times New Roman"/>
          </w:rPr>
          <w:delText xml:space="preserve">do not impact </w:delText>
        </w:r>
      </w:del>
      <w:r w:rsidR="001B7833">
        <w:rPr>
          <w:rFonts w:ascii="Times New Roman" w:hAnsi="Times New Roman" w:cs="Times New Roman"/>
        </w:rPr>
        <w:t xml:space="preserve">weight accretion </w:t>
      </w:r>
      <w:del w:id="29" w:author="Dave Bridges" w:date="2022-12-14T10:56:00Z">
        <w:r w:rsidR="001B7833" w:rsidDel="003F62BE">
          <w:rPr>
            <w:rFonts w:ascii="Times New Roman" w:hAnsi="Times New Roman" w:cs="Times New Roman"/>
          </w:rPr>
          <w:delText xml:space="preserve">or loss </w:delText>
        </w:r>
      </w:del>
      <w:r w:rsidR="001B7833">
        <w:rPr>
          <w:rFonts w:ascii="Times New Roman" w:hAnsi="Times New Roman" w:cs="Times New Roman"/>
        </w:rPr>
        <w:t>during a normal pregnancy</w:t>
      </w:r>
      <w:r w:rsidR="005C0360">
        <w:rPr>
          <w:rFonts w:ascii="Times New Roman" w:hAnsi="Times New Roman" w:cs="Times New Roman"/>
        </w:rPr>
        <w:t>.</w:t>
      </w:r>
      <w:ins w:id="30" w:author="Dave Bridges" w:date="2022-12-14T10:56:00Z">
        <w:r w:rsidR="003F62BE">
          <w:rPr>
            <w:rFonts w:ascii="Times New Roman" w:hAnsi="Times New Roman" w:cs="Times New Roman"/>
          </w:rPr>
          <w:t xml:space="preserve">  It is possible that under conditions of elevated somatic stress, GDF15 plays a larger role.</w:t>
        </w:r>
      </w:ins>
    </w:p>
    <w:p w14:paraId="440F9101" w14:textId="7E2BDA59" w:rsidR="00131DF5" w:rsidDel="003F62BE" w:rsidRDefault="00A20F31" w:rsidP="00CB2486">
      <w:pPr>
        <w:spacing w:line="360" w:lineRule="auto"/>
        <w:ind w:firstLine="720"/>
        <w:rPr>
          <w:del w:id="31" w:author="Dave Bridges" w:date="2022-12-14T10:57:00Z"/>
          <w:rFonts w:ascii="Times New Roman" w:hAnsi="Times New Roman" w:cs="Times New Roman"/>
          <w:highlight w:val="yellow"/>
        </w:rPr>
      </w:pPr>
      <w:moveFromRangeStart w:id="32" w:author="Dave Bridges" w:date="2022-12-14T10:57:00Z" w:name="move121907857"/>
      <w:moveFrom w:id="33" w:author="Dave Bridges" w:date="2022-12-14T10:57:00Z">
        <w:del w:id="34" w:author="Dave Bridges" w:date="2022-12-14T10:57:00Z">
          <w:r w:rsidRPr="00C74F84" w:rsidDel="003F62BE">
            <w:rPr>
              <w:rFonts w:ascii="Times New Roman" w:hAnsi="Times New Roman" w:cs="Times New Roman"/>
              <w:highlight w:val="yellow"/>
            </w:rPr>
            <w:delText xml:space="preserve">Previous work </w:delText>
          </w:r>
          <w:r w:rsidR="00C210D1" w:rsidRPr="00C74F84" w:rsidDel="003F62BE">
            <w:rPr>
              <w:rFonts w:ascii="Times New Roman" w:hAnsi="Times New Roman" w:cs="Times New Roman"/>
              <w:highlight w:val="yellow"/>
            </w:rPr>
            <w:delText>shows</w:delText>
          </w:r>
          <w:r w:rsidRPr="00C74F84" w:rsidDel="003F62BE">
            <w:rPr>
              <w:rFonts w:ascii="Times New Roman" w:hAnsi="Times New Roman" w:cs="Times New Roman"/>
              <w:highlight w:val="yellow"/>
            </w:rPr>
            <w:delText xml:space="preserve"> that </w:delText>
          </w:r>
          <w:r w:rsidR="0051517F" w:rsidRPr="00C74F84" w:rsidDel="003F62BE">
            <w:rPr>
              <w:rFonts w:ascii="Times New Roman" w:hAnsi="Times New Roman" w:cs="Times New Roman"/>
              <w:highlight w:val="yellow"/>
            </w:rPr>
            <w:delText xml:space="preserve">external </w:delText>
          </w:r>
          <w:r w:rsidRPr="00C74F84" w:rsidDel="003F62BE">
            <w:rPr>
              <w:rFonts w:ascii="Times New Roman" w:hAnsi="Times New Roman" w:cs="Times New Roman"/>
              <w:highlight w:val="yellow"/>
            </w:rPr>
            <w:delText>administration of GDF15</w:delText>
          </w:r>
          <w:r w:rsidR="0051517F" w:rsidRPr="00C74F84" w:rsidDel="003F62BE">
            <w:rPr>
              <w:rFonts w:ascii="Times New Roman" w:hAnsi="Times New Roman" w:cs="Times New Roman"/>
              <w:highlight w:val="yellow"/>
            </w:rPr>
            <w:delText>, similar to levels that are seen in the rise that accompanies pregnancy,</w:delText>
          </w:r>
          <w:r w:rsidRPr="00C74F84" w:rsidDel="003F62BE">
            <w:rPr>
              <w:rFonts w:ascii="Times New Roman" w:hAnsi="Times New Roman" w:cs="Times New Roman"/>
              <w:highlight w:val="yellow"/>
            </w:rPr>
            <w:delText xml:space="preserve"> </w:delText>
          </w:r>
          <w:r w:rsidR="00C210D1" w:rsidRPr="00C74F84" w:rsidDel="003F62BE">
            <w:rPr>
              <w:rFonts w:ascii="Times New Roman" w:hAnsi="Times New Roman" w:cs="Times New Roman"/>
              <w:highlight w:val="yellow"/>
            </w:rPr>
            <w:delText>in</w:delText>
          </w:r>
          <w:r w:rsidRPr="00C74F84" w:rsidDel="003F62BE">
            <w:rPr>
              <w:rFonts w:ascii="Times New Roman" w:hAnsi="Times New Roman" w:cs="Times New Roman"/>
              <w:highlight w:val="yellow"/>
            </w:rPr>
            <w:delText xml:space="preserve"> mice results in reductions in food intake </w:delText>
          </w:r>
          <w:r w:rsidRPr="00C74F84" w:rsidDel="003F62BE">
            <w:rPr>
              <w:rFonts w:ascii="Times New Roman" w:hAnsi="Times New Roman" w:cs="Times New Roman"/>
              <w:highlight w:val="yellow"/>
            </w:rPr>
            <w:fldChar w:fldCharType="begin"/>
          </w:r>
          <w:r w:rsidRPr="003F62BE" w:rsidDel="003F62BE">
            <w:rPr>
              <w:rFonts w:ascii="Times New Roman" w:hAnsi="Times New Roman" w:cs="Times New Roman"/>
              <w:highlight w:val="yellow"/>
            </w:rPr>
            <w:del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delInstrText>
          </w:r>
          <w:r w:rsidRPr="00C74F84" w:rsidDel="003F62BE">
            <w:rPr>
              <w:rFonts w:ascii="Times New Roman" w:hAnsi="Times New Roman" w:cs="Times New Roman"/>
              <w:highlight w:val="yellow"/>
            </w:rPr>
            <w:fldChar w:fldCharType="separate"/>
          </w:r>
          <w:r w:rsidRPr="00C74F84" w:rsidDel="003F62BE">
            <w:rPr>
              <w:rFonts w:ascii="Times New Roman" w:hAnsi="Times New Roman" w:cs="Times New Roman"/>
              <w:noProof/>
              <w:highlight w:val="yellow"/>
            </w:rPr>
            <w:delText>(Mullican et al., 2017; Patel et al., 2019)</w:delText>
          </w:r>
          <w:r w:rsidRPr="00C74F84" w:rsidDel="003F62BE">
            <w:rPr>
              <w:rFonts w:ascii="Times New Roman" w:hAnsi="Times New Roman" w:cs="Times New Roman"/>
              <w:highlight w:val="yellow"/>
            </w:rPr>
            <w:fldChar w:fldCharType="end"/>
          </w:r>
          <w:r w:rsidRPr="00C74F84" w:rsidDel="003F62BE">
            <w:rPr>
              <w:rFonts w:ascii="Times New Roman" w:hAnsi="Times New Roman" w:cs="Times New Roman"/>
              <w:highlight w:val="yellow"/>
            </w:rPr>
            <w:delText xml:space="preserve">. </w:delText>
          </w:r>
        </w:del>
      </w:moveFrom>
      <w:moveFromRangeEnd w:id="32"/>
      <w:del w:id="35" w:author="Dave Bridges" w:date="2022-12-14T10:57:00Z">
        <w:r w:rsidRPr="00C74F84" w:rsidDel="003F62BE">
          <w:rPr>
            <w:rFonts w:ascii="Times New Roman" w:hAnsi="Times New Roman" w:cs="Times New Roman"/>
            <w:highlight w:val="yellow"/>
          </w:rPr>
          <w:delText>Therefore, we hypothesized that observing pregnancy in the mouse that lacked G</w:delText>
        </w:r>
        <w:r w:rsidR="00CE28EA" w:rsidRPr="00C74F84" w:rsidDel="003F62BE">
          <w:rPr>
            <w:rFonts w:ascii="Times New Roman" w:hAnsi="Times New Roman" w:cs="Times New Roman"/>
            <w:highlight w:val="yellow"/>
          </w:rPr>
          <w:delText>DF</w:delText>
        </w:r>
        <w:r w:rsidRPr="00C74F84" w:rsidDel="003F62BE">
          <w:rPr>
            <w:rFonts w:ascii="Times New Roman" w:hAnsi="Times New Roman" w:cs="Times New Roman"/>
            <w:highlight w:val="yellow"/>
          </w:rPr>
          <w:delText xml:space="preserve">15 at both the maternal and feto-placental level would result in unrestrained food intake. Contrary to our expectations, we saw no significant effect on food intake during the course of pregnancy or lactation. </w:delText>
        </w:r>
        <w:r w:rsidR="000B007B" w:rsidRPr="00C74F84" w:rsidDel="003F62BE">
          <w:rPr>
            <w:rFonts w:ascii="Times New Roman" w:hAnsi="Times New Roman" w:cs="Times New Roman"/>
            <w:highlight w:val="yellow"/>
          </w:rPr>
          <w:delText xml:space="preserve">This may </w:delText>
        </w:r>
        <w:r w:rsidR="007E7A4E" w:rsidRPr="00C74F84" w:rsidDel="003F62BE">
          <w:rPr>
            <w:rFonts w:ascii="Times New Roman" w:hAnsi="Times New Roman" w:cs="Times New Roman"/>
            <w:highlight w:val="yellow"/>
          </w:rPr>
          <w:delText>mean</w:delText>
        </w:r>
        <w:r w:rsidR="000B007B" w:rsidRPr="00C74F84" w:rsidDel="003F62BE">
          <w:rPr>
            <w:rFonts w:ascii="Times New Roman" w:hAnsi="Times New Roman" w:cs="Times New Roman"/>
            <w:highlight w:val="yellow"/>
          </w:rPr>
          <w:delText xml:space="preserve"> that reduction of G</w:delText>
        </w:r>
        <w:r w:rsidR="00023D9F" w:rsidRPr="00C74F84" w:rsidDel="003F62BE">
          <w:rPr>
            <w:rFonts w:ascii="Times New Roman" w:hAnsi="Times New Roman" w:cs="Times New Roman"/>
            <w:highlight w:val="yellow"/>
          </w:rPr>
          <w:delText>DF</w:delText>
        </w:r>
        <w:r w:rsidR="000B007B" w:rsidRPr="00C74F84" w:rsidDel="003F62BE">
          <w:rPr>
            <w:rFonts w:ascii="Times New Roman" w:hAnsi="Times New Roman" w:cs="Times New Roman"/>
            <w:highlight w:val="yellow"/>
          </w:rPr>
          <w:delText xml:space="preserve">15 </w:delText>
        </w:r>
        <w:r w:rsidR="007E7A4E" w:rsidRPr="00C74F84" w:rsidDel="003F62BE">
          <w:rPr>
            <w:rFonts w:ascii="Times New Roman" w:hAnsi="Times New Roman" w:cs="Times New Roman"/>
            <w:highlight w:val="yellow"/>
          </w:rPr>
          <w:delText xml:space="preserve">levels </w:delText>
        </w:r>
        <w:r w:rsidR="000B007B" w:rsidRPr="00C74F84" w:rsidDel="003F62BE">
          <w:rPr>
            <w:rFonts w:ascii="Times New Roman" w:hAnsi="Times New Roman" w:cs="Times New Roman"/>
            <w:highlight w:val="yellow"/>
          </w:rPr>
          <w:delText>is</w:delText>
        </w:r>
        <w:r w:rsidR="007E7A4E" w:rsidRPr="00C74F84" w:rsidDel="003F62BE">
          <w:rPr>
            <w:rFonts w:ascii="Times New Roman" w:hAnsi="Times New Roman" w:cs="Times New Roman"/>
            <w:highlight w:val="yellow"/>
          </w:rPr>
          <w:delText xml:space="preserve"> in </w:delText>
        </w:r>
        <w:r w:rsidR="000B007B" w:rsidRPr="00C74F84" w:rsidDel="003F62BE">
          <w:rPr>
            <w:rFonts w:ascii="Times New Roman" w:hAnsi="Times New Roman" w:cs="Times New Roman"/>
            <w:highlight w:val="yellow"/>
          </w:rPr>
          <w:delText xml:space="preserve">the </w:delText>
        </w:r>
        <w:r w:rsidR="007E7A4E" w:rsidRPr="00C74F84" w:rsidDel="003F62BE">
          <w:rPr>
            <w:rFonts w:ascii="Times New Roman" w:hAnsi="Times New Roman" w:cs="Times New Roman"/>
            <w:highlight w:val="yellow"/>
          </w:rPr>
          <w:delText xml:space="preserve">wrong </w:delText>
        </w:r>
        <w:r w:rsidR="000B007B" w:rsidRPr="00C74F84" w:rsidDel="003F62BE">
          <w:rPr>
            <w:rFonts w:ascii="Times New Roman" w:hAnsi="Times New Roman" w:cs="Times New Roman"/>
            <w:highlight w:val="yellow"/>
          </w:rPr>
          <w:delText>direction</w:delText>
        </w:r>
        <w:r w:rsidR="007E7A4E" w:rsidRPr="00C74F84" w:rsidDel="003F62BE">
          <w:rPr>
            <w:rFonts w:ascii="Times New Roman" w:hAnsi="Times New Roman" w:cs="Times New Roman"/>
            <w:highlight w:val="yellow"/>
          </w:rPr>
          <w:delText xml:space="preserve"> to</w:delText>
        </w:r>
        <w:r w:rsidR="000B007B" w:rsidRPr="00C74F84" w:rsidDel="003F62BE">
          <w:rPr>
            <w:rFonts w:ascii="Times New Roman" w:hAnsi="Times New Roman" w:cs="Times New Roman"/>
            <w:highlight w:val="yellow"/>
          </w:rPr>
          <w:delText xml:space="preserve"> </w:delText>
        </w:r>
        <w:r w:rsidR="007E7A4E" w:rsidRPr="00C74F84" w:rsidDel="003F62BE">
          <w:rPr>
            <w:rFonts w:ascii="Times New Roman" w:hAnsi="Times New Roman" w:cs="Times New Roman"/>
            <w:highlight w:val="yellow"/>
          </w:rPr>
          <w:delText>impact where</w:delText>
        </w:r>
        <w:r w:rsidR="000B007B" w:rsidRPr="00C74F84" w:rsidDel="003F62BE">
          <w:rPr>
            <w:rFonts w:ascii="Times New Roman" w:hAnsi="Times New Roman" w:cs="Times New Roman"/>
            <w:highlight w:val="yellow"/>
          </w:rPr>
          <w:delText xml:space="preserve"> </w:delText>
        </w:r>
        <w:r w:rsidR="000B007B" w:rsidRPr="00C74F84" w:rsidDel="003F62BE">
          <w:rPr>
            <w:rFonts w:ascii="Times New Roman" w:hAnsi="Times New Roman" w:cs="Times New Roman"/>
            <w:i/>
            <w:iCs/>
            <w:highlight w:val="yellow"/>
          </w:rPr>
          <w:delText>Gdf15</w:delText>
        </w:r>
        <w:r w:rsidR="000B007B" w:rsidRPr="00C74F84" w:rsidDel="003F62BE">
          <w:rPr>
            <w:rFonts w:ascii="Times New Roman" w:hAnsi="Times New Roman" w:cs="Times New Roman"/>
            <w:highlight w:val="yellow"/>
          </w:rPr>
          <w:delText xml:space="preserve"> signaling most contributes to body weight regulation. </w:delText>
        </w:r>
      </w:del>
    </w:p>
    <w:p w14:paraId="17619CD5" w14:textId="08B2AE08" w:rsidR="0059574E" w:rsidRPr="00C74F84" w:rsidDel="003F62BE" w:rsidRDefault="00BB44DA" w:rsidP="00CB2486">
      <w:pPr>
        <w:spacing w:line="360" w:lineRule="auto"/>
        <w:ind w:firstLine="720"/>
        <w:rPr>
          <w:del w:id="36" w:author="Dave Bridges" w:date="2022-12-14T10:57:00Z"/>
          <w:rFonts w:ascii="Times New Roman" w:hAnsi="Times New Roman" w:cs="Times New Roman"/>
          <w:highlight w:val="yellow"/>
        </w:rPr>
      </w:pPr>
      <w:del w:id="37" w:author="Dave Bridges" w:date="2022-12-14T10:57:00Z">
        <w:r w:rsidRPr="00C74F84" w:rsidDel="003F62BE">
          <w:rPr>
            <w:rFonts w:ascii="Times New Roman" w:hAnsi="Times New Roman" w:cs="Times New Roman"/>
            <w:highlight w:val="yellow"/>
          </w:rPr>
          <w:delText>The most compelling evidence for the role of G</w:delText>
        </w:r>
        <w:r w:rsidR="006D2410" w:rsidRPr="00C74F84" w:rsidDel="003F62BE">
          <w:rPr>
            <w:rFonts w:ascii="Times New Roman" w:hAnsi="Times New Roman" w:cs="Times New Roman"/>
            <w:highlight w:val="yellow"/>
          </w:rPr>
          <w:delText>DF</w:delText>
        </w:r>
        <w:r w:rsidRPr="00C74F84" w:rsidDel="003F62BE">
          <w:rPr>
            <w:rFonts w:ascii="Times New Roman" w:hAnsi="Times New Roman" w:cs="Times New Roman"/>
            <w:highlight w:val="yellow"/>
          </w:rPr>
          <w:delText xml:space="preserve">15 during the perinatal period is that </w:delText>
        </w:r>
        <w:r w:rsidR="006426D8" w:rsidRPr="00C74F84" w:rsidDel="003F62BE">
          <w:rPr>
            <w:rFonts w:ascii="Times New Roman" w:hAnsi="Times New Roman" w:cs="Times New Roman"/>
            <w:highlight w:val="yellow"/>
          </w:rPr>
          <w:delText xml:space="preserve">when human studies evaluate complications of pregnancy. </w:delText>
        </w:r>
        <w:r w:rsidR="002E10CD" w:rsidDel="003F62BE">
          <w:rPr>
            <w:rFonts w:ascii="Times New Roman" w:hAnsi="Times New Roman" w:cs="Times New Roman"/>
            <w:highlight w:val="yellow"/>
          </w:rPr>
          <w:delText>Patients</w:delText>
        </w:r>
        <w:r w:rsidR="008C5C93" w:rsidRPr="00C74F84" w:rsidDel="003F62BE">
          <w:rPr>
            <w:rFonts w:ascii="Times New Roman" w:hAnsi="Times New Roman" w:cs="Times New Roman"/>
            <w:highlight w:val="yellow"/>
          </w:rPr>
          <w:delText xml:space="preserve"> who had HG or had higher than expected levels of vomiting during their pregnancies were more likely to have elevated G</w:delText>
        </w:r>
        <w:r w:rsidR="006D2410" w:rsidRPr="00C74F84" w:rsidDel="003F62BE">
          <w:rPr>
            <w:rFonts w:ascii="Times New Roman" w:hAnsi="Times New Roman" w:cs="Times New Roman"/>
            <w:highlight w:val="yellow"/>
          </w:rPr>
          <w:delText>DF</w:delText>
        </w:r>
        <w:r w:rsidR="008C5C93" w:rsidRPr="00C74F84" w:rsidDel="003F62BE">
          <w:rPr>
            <w:rFonts w:ascii="Times New Roman" w:hAnsi="Times New Roman" w:cs="Times New Roman"/>
            <w:highlight w:val="yellow"/>
          </w:rPr>
          <w:delText xml:space="preserve">15 levels </w:delText>
        </w:r>
        <w:r w:rsidR="008C5C93" w:rsidRPr="00C74F84" w:rsidDel="003F62BE">
          <w:rPr>
            <w:rFonts w:ascii="Times New Roman" w:hAnsi="Times New Roman" w:cs="Times New Roman"/>
            <w:highlight w:val="yellow"/>
          </w:rPr>
          <w:fldChar w:fldCharType="begin"/>
        </w:r>
        <w:r w:rsidR="008C5C93" w:rsidRPr="00C74F84" w:rsidDel="003F62BE">
          <w:rPr>
            <w:rFonts w:ascii="Times New Roman" w:hAnsi="Times New Roman" w:cs="Times New Roman"/>
            <w:highlight w:val="yellow"/>
          </w:rPr>
          <w:del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delInstrText>
        </w:r>
        <w:r w:rsidR="008C5C93" w:rsidRPr="00C74F84" w:rsidDel="003F62BE">
          <w:rPr>
            <w:rFonts w:ascii="Times New Roman" w:hAnsi="Times New Roman" w:cs="Times New Roman"/>
            <w:highlight w:val="yellow"/>
          </w:rPr>
          <w:fldChar w:fldCharType="separate"/>
        </w:r>
        <w:r w:rsidR="008C5C93" w:rsidRPr="00C74F84" w:rsidDel="003F62BE">
          <w:rPr>
            <w:rFonts w:ascii="Times New Roman" w:hAnsi="Times New Roman" w:cs="Times New Roman"/>
            <w:noProof/>
            <w:highlight w:val="yellow"/>
          </w:rPr>
          <w:delText>(Fejzo et al., 2019; Petry et al., 2018)</w:delText>
        </w:r>
        <w:r w:rsidR="008C5C93" w:rsidRPr="00C74F84" w:rsidDel="003F62BE">
          <w:rPr>
            <w:rFonts w:ascii="Times New Roman" w:hAnsi="Times New Roman" w:cs="Times New Roman"/>
            <w:highlight w:val="yellow"/>
          </w:rPr>
          <w:fldChar w:fldCharType="end"/>
        </w:r>
        <w:r w:rsidR="008C5C93" w:rsidRPr="00C74F84" w:rsidDel="003F62BE">
          <w:rPr>
            <w:rFonts w:ascii="Times New Roman" w:hAnsi="Times New Roman" w:cs="Times New Roman"/>
            <w:highlight w:val="yellow"/>
          </w:rPr>
          <w:delText xml:space="preserve">. </w:delText>
        </w:r>
        <w:r w:rsidR="00356634" w:rsidRPr="00C74F84" w:rsidDel="003F62BE">
          <w:rPr>
            <w:rFonts w:ascii="Times New Roman" w:hAnsi="Times New Roman" w:cs="Times New Roman"/>
            <w:highlight w:val="yellow"/>
          </w:rPr>
          <w:delText xml:space="preserve">It should be noted that as mice do not exhibit emesis, any HG related phenotypes would not be expected. </w:delText>
        </w:r>
        <w:r w:rsidR="007E1577" w:rsidRPr="00C74F84" w:rsidDel="003F62BE">
          <w:rPr>
            <w:rFonts w:ascii="Times New Roman" w:hAnsi="Times New Roman" w:cs="Times New Roman"/>
            <w:highlight w:val="yellow"/>
          </w:rPr>
          <w:delText>B</w:delText>
        </w:r>
        <w:r w:rsidR="00A41AB3" w:rsidRPr="00C74F84" w:rsidDel="003F62BE">
          <w:rPr>
            <w:rFonts w:ascii="Times New Roman" w:hAnsi="Times New Roman" w:cs="Times New Roman"/>
            <w:highlight w:val="yellow"/>
          </w:rPr>
          <w:delText xml:space="preserve">ecause of these relationships, we expected </w:delText>
        </w:r>
        <w:r w:rsidR="00A41AB3" w:rsidRPr="00C74F84" w:rsidDel="003F62BE">
          <w:rPr>
            <w:rFonts w:ascii="Times New Roman" w:hAnsi="Times New Roman" w:cs="Times New Roman"/>
            <w:i/>
            <w:iCs/>
            <w:highlight w:val="yellow"/>
          </w:rPr>
          <w:delText>Gdf15</w:delText>
        </w:r>
        <w:r w:rsidR="00A41AB3" w:rsidRPr="00C74F84" w:rsidDel="003F62BE">
          <w:rPr>
            <w:rFonts w:ascii="Times New Roman" w:hAnsi="Times New Roman" w:cs="Times New Roman"/>
            <w:i/>
            <w:iCs/>
            <w:highlight w:val="yellow"/>
            <w:vertAlign w:val="superscript"/>
          </w:rPr>
          <w:delText>-/-</w:delText>
        </w:r>
        <w:r w:rsidR="00A41AB3" w:rsidRPr="00C74F84" w:rsidDel="003F62BE">
          <w:rPr>
            <w:rFonts w:ascii="Times New Roman" w:hAnsi="Times New Roman" w:cs="Times New Roman"/>
            <w:highlight w:val="yellow"/>
            <w:vertAlign w:val="superscript"/>
          </w:rPr>
          <w:delText xml:space="preserve"> </w:delText>
        </w:r>
        <w:r w:rsidR="00A41AB3" w:rsidRPr="00C74F84" w:rsidDel="003F62BE">
          <w:rPr>
            <w:rFonts w:ascii="Times New Roman" w:hAnsi="Times New Roman" w:cs="Times New Roman"/>
            <w:highlight w:val="yellow"/>
          </w:rPr>
          <w:delText xml:space="preserve">dams to have greater food intake related to reduced aversion from </w:delText>
        </w:r>
        <w:r w:rsidR="00356634" w:rsidRPr="00C74F84" w:rsidDel="003F62BE">
          <w:rPr>
            <w:rFonts w:ascii="Times New Roman" w:hAnsi="Times New Roman" w:cs="Times New Roman"/>
            <w:highlight w:val="yellow"/>
          </w:rPr>
          <w:delText>circulating GDF15</w:delText>
        </w:r>
        <w:r w:rsidR="00A41AB3" w:rsidRPr="00C74F84" w:rsidDel="003F62BE">
          <w:rPr>
            <w:rFonts w:ascii="Times New Roman" w:hAnsi="Times New Roman" w:cs="Times New Roman"/>
            <w:highlight w:val="yellow"/>
          </w:rPr>
          <w:delText>. However, this was not apparent in these data, which is more in line with the mouse literature</w:delText>
        </w:r>
        <w:r w:rsidR="0059574E" w:rsidRPr="00C74F84" w:rsidDel="003F62BE">
          <w:rPr>
            <w:rFonts w:ascii="Times New Roman" w:hAnsi="Times New Roman" w:cs="Times New Roman"/>
            <w:highlight w:val="yellow"/>
          </w:rPr>
          <w:delText xml:space="preserve">. </w:delText>
        </w:r>
      </w:del>
    </w:p>
    <w:p w14:paraId="1B1CE7DD" w14:textId="4B355096" w:rsidR="00B40172" w:rsidRPr="00C74F84" w:rsidRDefault="008A61D1" w:rsidP="009A0BD3">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 xml:space="preserve">Taken together, the lack of evidence of </w:t>
      </w:r>
      <w:del w:id="38" w:author="Dave Bridges" w:date="2022-12-14T10:57:00Z">
        <w:r w:rsidRPr="00C74F84" w:rsidDel="003F62BE">
          <w:rPr>
            <w:rFonts w:ascii="Times New Roman" w:hAnsi="Times New Roman" w:cs="Times New Roman"/>
            <w:highlight w:val="yellow"/>
          </w:rPr>
          <w:delText xml:space="preserve">change </w:delText>
        </w:r>
      </w:del>
      <w:ins w:id="39" w:author="Dave Bridges" w:date="2022-12-14T10:57:00Z">
        <w:r w:rsidR="003F62BE">
          <w:rPr>
            <w:rFonts w:ascii="Times New Roman" w:hAnsi="Times New Roman" w:cs="Times New Roman"/>
            <w:highlight w:val="yellow"/>
          </w:rPr>
          <w:t xml:space="preserve">differences </w:t>
        </w:r>
      </w:ins>
      <w:del w:id="40" w:author="Dave Bridges" w:date="2022-12-14T10:57:00Z">
        <w:r w:rsidRPr="00C74F84" w:rsidDel="003F62BE">
          <w:rPr>
            <w:rFonts w:ascii="Times New Roman" w:hAnsi="Times New Roman" w:cs="Times New Roman"/>
            <w:highlight w:val="yellow"/>
          </w:rPr>
          <w:delText>for</w:delText>
        </w:r>
      </w:del>
      <w:ins w:id="41" w:author="Dave Bridges" w:date="2022-12-14T10:57:00Z">
        <w:r w:rsidR="003F62BE">
          <w:rPr>
            <w:rFonts w:ascii="Times New Roman" w:hAnsi="Times New Roman" w:cs="Times New Roman"/>
            <w:highlight w:val="yellow"/>
          </w:rPr>
          <w:t>in</w:t>
        </w:r>
      </w:ins>
      <w:r w:rsidRPr="00C74F84">
        <w:rPr>
          <w:rFonts w:ascii="Times New Roman" w:hAnsi="Times New Roman" w:cs="Times New Roman"/>
          <w:highlight w:val="yellow"/>
        </w:rPr>
        <w:t xml:space="preserve"> food intake, body weight, insulin sensitivity, and lactation in our </w:t>
      </w:r>
      <w:r w:rsidRPr="00C74F84">
        <w:rPr>
          <w:rFonts w:ascii="Times New Roman" w:hAnsi="Times New Roman" w:cs="Times New Roman"/>
          <w:i/>
          <w:iCs/>
          <w:highlight w:val="yellow"/>
        </w:rPr>
        <w:t xml:space="preserve">Gdf15 </w:t>
      </w:r>
      <w:r w:rsidRPr="00C74F84">
        <w:rPr>
          <w:rFonts w:ascii="Times New Roman" w:hAnsi="Times New Roman" w:cs="Times New Roman"/>
          <w:highlight w:val="yellow"/>
        </w:rPr>
        <w:t xml:space="preserve">null model suggests that there </w:t>
      </w:r>
      <w:r w:rsidR="00C40413" w:rsidRPr="00C74F84">
        <w:rPr>
          <w:rFonts w:ascii="Times New Roman" w:hAnsi="Times New Roman" w:cs="Times New Roman"/>
          <w:highlight w:val="yellow"/>
        </w:rPr>
        <w:t>may be</w:t>
      </w:r>
      <w:r w:rsidRPr="00C74F84">
        <w:rPr>
          <w:rFonts w:ascii="Times New Roman" w:hAnsi="Times New Roman" w:cs="Times New Roman"/>
          <w:highlight w:val="yellow"/>
        </w:rPr>
        <w:t xml:space="preserve"> </w:t>
      </w:r>
      <w:r w:rsidR="00C40413" w:rsidRPr="00C74F84">
        <w:rPr>
          <w:rFonts w:ascii="Times New Roman" w:hAnsi="Times New Roman" w:cs="Times New Roman"/>
          <w:highlight w:val="yellow"/>
        </w:rPr>
        <w:t xml:space="preserve">a </w:t>
      </w:r>
      <w:r w:rsidRPr="00C74F84">
        <w:rPr>
          <w:rFonts w:ascii="Times New Roman" w:hAnsi="Times New Roman" w:cs="Times New Roman"/>
          <w:highlight w:val="yellow"/>
        </w:rPr>
        <w:t>threshold effect for G</w:t>
      </w:r>
      <w:r w:rsidR="006D2410" w:rsidRPr="00C74F84">
        <w:rPr>
          <w:rFonts w:ascii="Times New Roman" w:hAnsi="Times New Roman" w:cs="Times New Roman"/>
          <w:highlight w:val="yellow"/>
        </w:rPr>
        <w:t>DF</w:t>
      </w:r>
      <w:r w:rsidRPr="00C74F84">
        <w:rPr>
          <w:rFonts w:ascii="Times New Roman" w:hAnsi="Times New Roman" w:cs="Times New Roman"/>
          <w:highlight w:val="yellow"/>
        </w:rPr>
        <w:t xml:space="preserve">15 during pregnancy. </w:t>
      </w:r>
      <w:r w:rsidR="00BB44DA" w:rsidRPr="00C74F84">
        <w:rPr>
          <w:rFonts w:ascii="Times New Roman" w:hAnsi="Times New Roman" w:cs="Times New Roman"/>
          <w:highlight w:val="yellow"/>
        </w:rPr>
        <w:t xml:space="preserve">Only those studies that overexpress, deliver exogenous, or induce long-term highly disruptive stressors to their model </w:t>
      </w:r>
      <w:r w:rsidR="000E3ADD" w:rsidRPr="00C74F84">
        <w:rPr>
          <w:rFonts w:ascii="Times New Roman" w:hAnsi="Times New Roman" w:cs="Times New Roman"/>
          <w:highlight w:val="yellow"/>
        </w:rPr>
        <w:t xml:space="preserve">show </w:t>
      </w:r>
      <w:r w:rsidR="00BB44DA" w:rsidRPr="00C74F84">
        <w:rPr>
          <w:rFonts w:ascii="Times New Roman" w:hAnsi="Times New Roman" w:cs="Times New Roman"/>
          <w:highlight w:val="yellow"/>
        </w:rPr>
        <w:t xml:space="preserve">differences in </w:t>
      </w:r>
      <w:r w:rsidR="000E3ADD" w:rsidRPr="00C74F84">
        <w:rPr>
          <w:rFonts w:ascii="Times New Roman" w:hAnsi="Times New Roman" w:cs="Times New Roman"/>
          <w:highlight w:val="yellow"/>
        </w:rPr>
        <w:t xml:space="preserve">GDF15 </w:t>
      </w:r>
      <w:r w:rsidR="00BB44DA" w:rsidRPr="00C74F84">
        <w:rPr>
          <w:rFonts w:ascii="Times New Roman" w:hAnsi="Times New Roman" w:cs="Times New Roman"/>
          <w:highlight w:val="yellow"/>
        </w:rPr>
        <w:t xml:space="preserve">in relation to food intake and body weight. Therefore, it might be that </w:t>
      </w:r>
      <w:del w:id="42" w:author="Dave Bridges" w:date="2022-12-14T10:58:00Z">
        <w:r w:rsidR="00BB44DA" w:rsidRPr="00C74F84" w:rsidDel="003F62BE">
          <w:rPr>
            <w:rFonts w:ascii="Times New Roman" w:hAnsi="Times New Roman" w:cs="Times New Roman"/>
            <w:highlight w:val="yellow"/>
          </w:rPr>
          <w:delText xml:space="preserve">ablation </w:delText>
        </w:r>
      </w:del>
      <w:ins w:id="43" w:author="Dave Bridges" w:date="2022-12-14T10:58:00Z">
        <w:r w:rsidR="003F62BE">
          <w:rPr>
            <w:rFonts w:ascii="Times New Roman" w:hAnsi="Times New Roman" w:cs="Times New Roman"/>
            <w:highlight w:val="yellow"/>
          </w:rPr>
          <w:t>pregnancy-related inductions</w:t>
        </w:r>
        <w:r w:rsidR="003F62BE" w:rsidRPr="00C74F84">
          <w:rPr>
            <w:rFonts w:ascii="Times New Roman" w:hAnsi="Times New Roman" w:cs="Times New Roman"/>
            <w:highlight w:val="yellow"/>
          </w:rPr>
          <w:t xml:space="preserve"> </w:t>
        </w:r>
      </w:ins>
      <w:r w:rsidR="00BB44DA" w:rsidRPr="00C74F84">
        <w:rPr>
          <w:rFonts w:ascii="Times New Roman" w:hAnsi="Times New Roman" w:cs="Times New Roman"/>
          <w:highlight w:val="yellow"/>
        </w:rPr>
        <w:t xml:space="preserve">of </w:t>
      </w:r>
      <w:del w:id="44" w:author="Dave Bridges" w:date="2022-12-14T10:58:00Z">
        <w:r w:rsidR="000E3ADD" w:rsidRPr="003F62BE" w:rsidDel="003F62BE">
          <w:rPr>
            <w:rFonts w:ascii="Times New Roman" w:hAnsi="Times New Roman" w:cs="Times New Roman"/>
            <w:iCs/>
            <w:highlight w:val="yellow"/>
            <w:rPrChange w:id="45" w:author="Dave Bridges" w:date="2022-12-14T10:58:00Z">
              <w:rPr>
                <w:rFonts w:ascii="Times New Roman" w:hAnsi="Times New Roman" w:cs="Times New Roman"/>
                <w:i/>
                <w:iCs/>
                <w:highlight w:val="yellow"/>
              </w:rPr>
            </w:rPrChange>
          </w:rPr>
          <w:delText>G</w:delText>
        </w:r>
        <w:r w:rsidR="006D2410" w:rsidRPr="003F62BE" w:rsidDel="003F62BE">
          <w:rPr>
            <w:rFonts w:ascii="Times New Roman" w:hAnsi="Times New Roman" w:cs="Times New Roman"/>
            <w:iCs/>
            <w:highlight w:val="yellow"/>
            <w:rPrChange w:id="46" w:author="Dave Bridges" w:date="2022-12-14T10:58:00Z">
              <w:rPr>
                <w:rFonts w:ascii="Times New Roman" w:hAnsi="Times New Roman" w:cs="Times New Roman"/>
                <w:i/>
                <w:iCs/>
                <w:highlight w:val="yellow"/>
              </w:rPr>
            </w:rPrChange>
          </w:rPr>
          <w:delText>df</w:delText>
        </w:r>
        <w:r w:rsidR="000E3ADD" w:rsidRPr="003F62BE" w:rsidDel="003F62BE">
          <w:rPr>
            <w:rFonts w:ascii="Times New Roman" w:hAnsi="Times New Roman" w:cs="Times New Roman"/>
            <w:iCs/>
            <w:highlight w:val="yellow"/>
            <w:rPrChange w:id="47" w:author="Dave Bridges" w:date="2022-12-14T10:58:00Z">
              <w:rPr>
                <w:rFonts w:ascii="Times New Roman" w:hAnsi="Times New Roman" w:cs="Times New Roman"/>
                <w:i/>
                <w:iCs/>
                <w:highlight w:val="yellow"/>
              </w:rPr>
            </w:rPrChange>
          </w:rPr>
          <w:delText>15</w:delText>
        </w:r>
        <w:r w:rsidR="000E3ADD" w:rsidRPr="00C74F84" w:rsidDel="003F62BE">
          <w:rPr>
            <w:rFonts w:ascii="Times New Roman" w:hAnsi="Times New Roman" w:cs="Times New Roman"/>
            <w:i/>
            <w:iCs/>
            <w:highlight w:val="yellow"/>
          </w:rPr>
          <w:delText xml:space="preserve"> </w:delText>
        </w:r>
      </w:del>
      <w:ins w:id="48" w:author="Dave Bridges" w:date="2022-12-14T10:58:00Z">
        <w:r w:rsidR="003F62BE">
          <w:rPr>
            <w:rFonts w:ascii="Times New Roman" w:hAnsi="Times New Roman" w:cs="Times New Roman"/>
            <w:iCs/>
            <w:highlight w:val="yellow"/>
          </w:rPr>
          <w:t>GDF15</w:t>
        </w:r>
        <w:r w:rsidR="003F62BE" w:rsidRPr="00C74F84">
          <w:rPr>
            <w:rFonts w:ascii="Times New Roman" w:hAnsi="Times New Roman" w:cs="Times New Roman"/>
            <w:i/>
            <w:iCs/>
            <w:highlight w:val="yellow"/>
          </w:rPr>
          <w:t xml:space="preserve"> </w:t>
        </w:r>
      </w:ins>
      <w:del w:id="49" w:author="Dave Bridges" w:date="2022-12-14T10:58:00Z">
        <w:r w:rsidR="00BB44DA" w:rsidRPr="00C74F84" w:rsidDel="003F62BE">
          <w:rPr>
            <w:rFonts w:ascii="Times New Roman" w:hAnsi="Times New Roman" w:cs="Times New Roman"/>
            <w:highlight w:val="yellow"/>
          </w:rPr>
          <w:delText xml:space="preserve">fails to reach the </w:delText>
        </w:r>
      </w:del>
      <w:ins w:id="50" w:author="Dave Bridges" w:date="2022-12-14T10:58:00Z">
        <w:r w:rsidR="003F62BE">
          <w:rPr>
            <w:rFonts w:ascii="Times New Roman" w:hAnsi="Times New Roman" w:cs="Times New Roman"/>
            <w:highlight w:val="yellow"/>
          </w:rPr>
          <w:t xml:space="preserve">are insufficient to meet the </w:t>
        </w:r>
      </w:ins>
      <w:proofErr w:type="spellStart"/>
      <w:r w:rsidR="00BB44DA" w:rsidRPr="00C74F84">
        <w:rPr>
          <w:rFonts w:ascii="Times New Roman" w:hAnsi="Times New Roman" w:cs="Times New Roman"/>
          <w:highlight w:val="yellow"/>
        </w:rPr>
        <w:t>threshold</w:t>
      </w:r>
      <w:del w:id="51" w:author="Dave Bridges" w:date="2022-12-14T10:58:00Z">
        <w:r w:rsidR="00BB44DA" w:rsidRPr="00C74F84" w:rsidDel="003F62BE">
          <w:rPr>
            <w:rFonts w:ascii="Times New Roman" w:hAnsi="Times New Roman" w:cs="Times New Roman"/>
            <w:highlight w:val="yellow"/>
          </w:rPr>
          <w:delText xml:space="preserve"> of stressor </w:delText>
        </w:r>
      </w:del>
      <w:r w:rsidR="00890485" w:rsidRPr="00C74F84">
        <w:rPr>
          <w:rFonts w:ascii="Times New Roman" w:hAnsi="Times New Roman" w:cs="Times New Roman"/>
          <w:highlight w:val="yellow"/>
        </w:rPr>
        <w:t>to</w:t>
      </w:r>
      <w:proofErr w:type="spellEnd"/>
      <w:r w:rsidR="00890485" w:rsidRPr="00C74F84">
        <w:rPr>
          <w:rFonts w:ascii="Times New Roman" w:hAnsi="Times New Roman" w:cs="Times New Roman"/>
          <w:highlight w:val="yellow"/>
        </w:rPr>
        <w:t xml:space="preserve"> elicit</w:t>
      </w:r>
      <w:r w:rsidR="00BB44DA" w:rsidRPr="00C74F84">
        <w:rPr>
          <w:rFonts w:ascii="Times New Roman" w:hAnsi="Times New Roman" w:cs="Times New Roman"/>
          <w:highlight w:val="yellow"/>
        </w:rPr>
        <w:t xml:space="preserve"> an effect. </w:t>
      </w:r>
      <w:r w:rsidR="006E7949" w:rsidRPr="00C74F84">
        <w:rPr>
          <w:rFonts w:ascii="Times New Roman" w:hAnsi="Times New Roman" w:cs="Times New Roman"/>
          <w:i/>
          <w:iCs/>
          <w:highlight w:val="yellow"/>
        </w:rPr>
        <w:t>Gdf15</w:t>
      </w:r>
      <w:r w:rsidR="006E7949" w:rsidRPr="00C74F84">
        <w:rPr>
          <w:rFonts w:ascii="Times New Roman" w:hAnsi="Times New Roman" w:cs="Times New Roman"/>
          <w:highlight w:val="yellow"/>
        </w:rPr>
        <w:t xml:space="preserve"> </w:t>
      </w:r>
      <w:r w:rsidR="00890485" w:rsidRPr="00C74F84">
        <w:rPr>
          <w:rFonts w:ascii="Times New Roman" w:hAnsi="Times New Roman" w:cs="Times New Roman"/>
          <w:highlight w:val="yellow"/>
        </w:rPr>
        <w:t xml:space="preserve">may </w:t>
      </w:r>
      <w:r w:rsidR="006E7949" w:rsidRPr="00C74F84">
        <w:rPr>
          <w:rFonts w:ascii="Times New Roman" w:hAnsi="Times New Roman" w:cs="Times New Roman"/>
          <w:highlight w:val="yellow"/>
        </w:rPr>
        <w:t xml:space="preserve">act as a less acute stressor during pregnancy and more as a long-term indicator or feto-placental implantation. </w:t>
      </w:r>
      <w:commentRangeStart w:id="52"/>
      <w:del w:id="53" w:author="Dave Bridges" w:date="2022-12-14T10:58:00Z">
        <w:r w:rsidR="00890485" w:rsidRPr="00C74F84" w:rsidDel="003F62BE">
          <w:rPr>
            <w:rFonts w:ascii="Times New Roman" w:hAnsi="Times New Roman" w:cs="Times New Roman"/>
            <w:highlight w:val="yellow"/>
          </w:rPr>
          <w:delText xml:space="preserve">This also could mean that </w:delText>
        </w:r>
        <w:r w:rsidR="00890485" w:rsidRPr="00C74F84" w:rsidDel="003F62BE">
          <w:rPr>
            <w:rFonts w:ascii="Times New Roman" w:hAnsi="Times New Roman" w:cs="Times New Roman"/>
            <w:i/>
            <w:iCs/>
            <w:highlight w:val="yellow"/>
          </w:rPr>
          <w:delText>Gdf15</w:delText>
        </w:r>
        <w:r w:rsidR="00890485" w:rsidRPr="00C74F84" w:rsidDel="003F62BE">
          <w:rPr>
            <w:rFonts w:ascii="Times New Roman" w:hAnsi="Times New Roman" w:cs="Times New Roman"/>
            <w:highlight w:val="yellow"/>
          </w:rPr>
          <w:delText xml:space="preserve"> imparts effects on other systems that have been reported, but that w</w:delText>
        </w:r>
        <w:r w:rsidR="009A0BD3" w:rsidRPr="00C74F84" w:rsidDel="003F62BE">
          <w:rPr>
            <w:rFonts w:ascii="Times New Roman" w:hAnsi="Times New Roman" w:cs="Times New Roman"/>
            <w:highlight w:val="yellow"/>
          </w:rPr>
          <w:delText>ere</w:delText>
        </w:r>
        <w:r w:rsidR="00890485" w:rsidRPr="00C74F84" w:rsidDel="003F62BE">
          <w:rPr>
            <w:rFonts w:ascii="Times New Roman" w:hAnsi="Times New Roman" w:cs="Times New Roman"/>
            <w:highlight w:val="yellow"/>
          </w:rPr>
          <w:delText xml:space="preserve"> not evaluated in our study, such as miscarriage </w:delText>
        </w:r>
        <w:r w:rsidR="009A0BD3" w:rsidRPr="00C74F84" w:rsidDel="003F62BE">
          <w:rPr>
            <w:rFonts w:ascii="Times New Roman" w:hAnsi="Times New Roman" w:cs="Times New Roman"/>
            <w:highlight w:val="yellow"/>
          </w:rPr>
          <w:delText xml:space="preserve">and maternal blood pressure </w:delText>
        </w:r>
        <w:r w:rsidR="00890485" w:rsidRPr="00C74F84" w:rsidDel="003F62BE">
          <w:rPr>
            <w:rFonts w:ascii="Times New Roman" w:hAnsi="Times New Roman" w:cs="Times New Roman"/>
            <w:highlight w:val="yellow"/>
          </w:rPr>
          <w:fldChar w:fldCharType="begin"/>
        </w:r>
        <w:r w:rsidR="00890485" w:rsidRPr="00C74F84" w:rsidDel="003F62BE">
          <w:rPr>
            <w:rFonts w:ascii="Times New Roman" w:hAnsi="Times New Roman" w:cs="Times New Roman"/>
            <w:highlight w:val="yellow"/>
          </w:rPr>
          <w:del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delInstrText>
        </w:r>
        <w:r w:rsidR="00890485" w:rsidRPr="00C74F84" w:rsidDel="003F62BE">
          <w:rPr>
            <w:rFonts w:ascii="Times New Roman" w:hAnsi="Times New Roman" w:cs="Times New Roman"/>
            <w:highlight w:val="yellow"/>
          </w:rPr>
          <w:fldChar w:fldCharType="separate"/>
        </w:r>
        <w:r w:rsidR="00890485" w:rsidRPr="00C74F84" w:rsidDel="003F62BE">
          <w:rPr>
            <w:rFonts w:ascii="Times New Roman" w:hAnsi="Times New Roman" w:cs="Times New Roman"/>
            <w:noProof/>
            <w:highlight w:val="yellow"/>
          </w:rPr>
          <w:delText>(Chen et al., 2016)</w:delText>
        </w:r>
        <w:r w:rsidR="00890485" w:rsidRPr="00C74F84" w:rsidDel="003F62BE">
          <w:rPr>
            <w:rFonts w:ascii="Times New Roman" w:hAnsi="Times New Roman" w:cs="Times New Roman"/>
            <w:highlight w:val="yellow"/>
          </w:rPr>
          <w:fldChar w:fldCharType="end"/>
        </w:r>
        <w:r w:rsidR="00890485" w:rsidRPr="00C74F84" w:rsidDel="003F62BE">
          <w:rPr>
            <w:rFonts w:ascii="Times New Roman" w:hAnsi="Times New Roman" w:cs="Times New Roman"/>
            <w:highlight w:val="yellow"/>
          </w:rPr>
          <w:delText>, immunity and inflammation</w:delText>
        </w:r>
        <w:r w:rsidR="009A0BD3" w:rsidRPr="00C74F84" w:rsidDel="003F62BE">
          <w:rPr>
            <w:rFonts w:ascii="Times New Roman" w:hAnsi="Times New Roman" w:cs="Times New Roman"/>
            <w:highlight w:val="yellow"/>
          </w:rPr>
          <w:delText xml:space="preserve"> </w:delText>
        </w:r>
        <w:r w:rsidR="00890485" w:rsidRPr="00C74F84" w:rsidDel="003F62BE">
          <w:rPr>
            <w:rFonts w:ascii="Times New Roman" w:hAnsi="Times New Roman" w:cs="Times New Roman"/>
            <w:highlight w:val="yellow"/>
          </w:rPr>
          <w:fldChar w:fldCharType="begin"/>
        </w:r>
        <w:r w:rsidR="00890485" w:rsidRPr="00C74F84" w:rsidDel="003F62BE">
          <w:rPr>
            <w:rFonts w:ascii="Times New Roman" w:hAnsi="Times New Roman" w:cs="Times New Roman"/>
            <w:highlight w:val="yellow"/>
          </w:rPr>
          <w:del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delInstrText>
        </w:r>
        <w:r w:rsidR="00890485" w:rsidRPr="00C74F84" w:rsidDel="003F62BE">
          <w:rPr>
            <w:rFonts w:ascii="Times New Roman" w:hAnsi="Times New Roman" w:cs="Times New Roman"/>
            <w:highlight w:val="yellow"/>
          </w:rPr>
          <w:fldChar w:fldCharType="separate"/>
        </w:r>
        <w:r w:rsidR="00890485" w:rsidRPr="00C74F84" w:rsidDel="003F62BE">
          <w:rPr>
            <w:rFonts w:ascii="Times New Roman" w:hAnsi="Times New Roman" w:cs="Times New Roman"/>
            <w:noProof/>
            <w:highlight w:val="yellow"/>
          </w:rPr>
          <w:delText>(Wischhusen et al., 2020)</w:delText>
        </w:r>
        <w:r w:rsidR="00890485" w:rsidRPr="00C74F84" w:rsidDel="003F62BE">
          <w:rPr>
            <w:rFonts w:ascii="Times New Roman" w:hAnsi="Times New Roman" w:cs="Times New Roman"/>
            <w:highlight w:val="yellow"/>
          </w:rPr>
          <w:fldChar w:fldCharType="end"/>
        </w:r>
        <w:r w:rsidR="00890485" w:rsidRPr="00C74F84" w:rsidDel="003F62BE">
          <w:rPr>
            <w:rFonts w:ascii="Times New Roman" w:hAnsi="Times New Roman" w:cs="Times New Roman"/>
            <w:highlight w:val="yellow"/>
          </w:rPr>
          <w:delText xml:space="preserve">, tissue injury </w:delText>
        </w:r>
        <w:r w:rsidR="00890485" w:rsidRPr="00C74F84" w:rsidDel="003F62BE">
          <w:rPr>
            <w:rFonts w:ascii="Times New Roman" w:hAnsi="Times New Roman" w:cs="Times New Roman"/>
            <w:highlight w:val="yellow"/>
          </w:rPr>
          <w:fldChar w:fldCharType="begin"/>
        </w:r>
        <w:r w:rsidR="00890485" w:rsidRPr="00C74F84" w:rsidDel="003F62BE">
          <w:rPr>
            <w:rFonts w:ascii="Times New Roman" w:hAnsi="Times New Roman" w:cs="Times New Roman"/>
            <w:highlight w:val="yellow"/>
          </w:rPr>
          <w:del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delInstrText>
        </w:r>
        <w:r w:rsidR="00890485" w:rsidRPr="00C74F84" w:rsidDel="003F62BE">
          <w:rPr>
            <w:rFonts w:ascii="Segoe UI Symbol" w:hAnsi="Segoe UI Symbol" w:cs="Segoe UI Symbol"/>
            <w:highlight w:val="yellow"/>
          </w:rPr>
          <w:delInstrText>␤</w:delInstrText>
        </w:r>
        <w:r w:rsidR="00890485" w:rsidRPr="00C74F84" w:rsidDel="003F62BE">
          <w:rPr>
            <w:rFonts w:ascii="Times New Roman" w:hAnsi="Times New Roman" w:cs="Times New Roman"/>
            <w:highlight w:val="yellow"/>
          </w:rPr>
          <w:del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delInstrText>
        </w:r>
        <w:r w:rsidR="00890485" w:rsidRPr="00C74F84" w:rsidDel="003F62BE">
          <w:rPr>
            <w:rFonts w:ascii="Times New Roman" w:hAnsi="Times New Roman" w:cs="Times New Roman"/>
            <w:highlight w:val="yellow"/>
          </w:rPr>
          <w:fldChar w:fldCharType="separate"/>
        </w:r>
        <w:r w:rsidR="00890485" w:rsidRPr="00C74F84" w:rsidDel="003F62BE">
          <w:rPr>
            <w:rFonts w:ascii="Times New Roman" w:hAnsi="Times New Roman" w:cs="Times New Roman"/>
            <w:noProof/>
            <w:highlight w:val="yellow"/>
          </w:rPr>
          <w:delText>(Hsiao et al., 2000)</w:delText>
        </w:r>
        <w:r w:rsidR="00890485" w:rsidRPr="00C74F84" w:rsidDel="003F62BE">
          <w:rPr>
            <w:rFonts w:ascii="Times New Roman" w:hAnsi="Times New Roman" w:cs="Times New Roman"/>
            <w:highlight w:val="yellow"/>
          </w:rPr>
          <w:fldChar w:fldCharType="end"/>
        </w:r>
        <w:r w:rsidR="00890485" w:rsidRPr="00C74F84" w:rsidDel="003F62BE">
          <w:rPr>
            <w:rFonts w:ascii="Times New Roman" w:hAnsi="Times New Roman" w:cs="Times New Roman"/>
            <w:highlight w:val="yellow"/>
          </w:rPr>
          <w:delText xml:space="preserve">, or macronutrient preference </w:delText>
        </w:r>
        <w:r w:rsidR="00890485" w:rsidRPr="00C74F84" w:rsidDel="003F62BE">
          <w:rPr>
            <w:rFonts w:ascii="Times New Roman" w:hAnsi="Times New Roman" w:cs="Times New Roman"/>
            <w:highlight w:val="yellow"/>
          </w:rPr>
          <w:fldChar w:fldCharType="begin"/>
        </w:r>
        <w:r w:rsidR="00890485" w:rsidRPr="00C74F84" w:rsidDel="003F62BE">
          <w:rPr>
            <w:rFonts w:ascii="Times New Roman" w:hAnsi="Times New Roman" w:cs="Times New Roman"/>
            <w:highlight w:val="yellow"/>
          </w:rPr>
          <w:del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delInstrText>
        </w:r>
        <w:r w:rsidR="00890485" w:rsidRPr="00C74F84" w:rsidDel="003F62BE">
          <w:rPr>
            <w:rFonts w:ascii="Times New Roman" w:hAnsi="Times New Roman" w:cs="Times New Roman"/>
            <w:highlight w:val="yellow"/>
          </w:rPr>
          <w:fldChar w:fldCharType="separate"/>
        </w:r>
        <w:r w:rsidR="00890485" w:rsidRPr="00C74F84" w:rsidDel="003F62BE">
          <w:rPr>
            <w:rFonts w:ascii="Times New Roman" w:hAnsi="Times New Roman" w:cs="Times New Roman"/>
            <w:noProof/>
            <w:highlight w:val="yellow"/>
          </w:rPr>
          <w:delText>(Frikke-Schmidt et al., 2019)</w:delText>
        </w:r>
        <w:r w:rsidR="00890485" w:rsidRPr="00C74F84" w:rsidDel="003F62BE">
          <w:rPr>
            <w:rFonts w:ascii="Times New Roman" w:hAnsi="Times New Roman" w:cs="Times New Roman"/>
            <w:highlight w:val="yellow"/>
          </w:rPr>
          <w:fldChar w:fldCharType="end"/>
        </w:r>
        <w:r w:rsidR="00890485" w:rsidRPr="00C74F84" w:rsidDel="003F62BE">
          <w:rPr>
            <w:rFonts w:ascii="Times New Roman" w:hAnsi="Times New Roman" w:cs="Times New Roman"/>
            <w:highlight w:val="yellow"/>
          </w:rPr>
          <w:delText>.</w:delText>
        </w:r>
        <w:commentRangeEnd w:id="52"/>
        <w:r w:rsidR="00131DF5" w:rsidDel="003F62BE">
          <w:rPr>
            <w:rStyle w:val="CommentReference"/>
          </w:rPr>
          <w:commentReference w:id="52"/>
        </w:r>
      </w:del>
      <w:ins w:id="54" w:author="Dave Bridges" w:date="2022-12-14T10:59:00Z">
        <w:r w:rsidR="003F62BE">
          <w:rPr>
            <w:rFonts w:ascii="Times New Roman" w:hAnsi="Times New Roman" w:cs="Times New Roman"/>
            <w:highlight w:val="yellow"/>
          </w:rPr>
          <w:t>It could also imply that in the observational human studies, GDF15 is a biomarker of pregnancy related complications but not part of a causal pathway.</w:t>
        </w:r>
      </w:ins>
    </w:p>
    <w:p w14:paraId="1938D601" w14:textId="79FD48B6" w:rsidR="00AB67D8" w:rsidRDefault="000B007B" w:rsidP="00962AD9">
      <w:pPr>
        <w:spacing w:line="360" w:lineRule="auto"/>
        <w:ind w:firstLine="720"/>
        <w:rPr>
          <w:rFonts w:ascii="Times New Roman" w:hAnsi="Times New Roman" w:cs="Times New Roman"/>
        </w:rPr>
      </w:pPr>
      <w:del w:id="55" w:author="Dave Bridges" w:date="2022-12-14T10:59:00Z">
        <w:r w:rsidRPr="00CB2486" w:rsidDel="003F62BE">
          <w:rPr>
            <w:rFonts w:ascii="Times New Roman" w:hAnsi="Times New Roman" w:cs="Times New Roman"/>
          </w:rPr>
          <w:delText xml:space="preserve">Although the model of this work was </w:delText>
        </w:r>
        <w:r w:rsidR="0059574E" w:rsidRPr="00CB2486" w:rsidDel="003F62BE">
          <w:rPr>
            <w:rFonts w:ascii="Times New Roman" w:hAnsi="Times New Roman" w:cs="Times New Roman"/>
          </w:rPr>
          <w:delText>intentional</w:delText>
        </w:r>
        <w:r w:rsidRPr="00CB2486" w:rsidDel="003F62BE">
          <w:rPr>
            <w:rFonts w:ascii="Times New Roman" w:hAnsi="Times New Roman" w:cs="Times New Roman"/>
          </w:rPr>
          <w:delText>, t</w:delText>
        </w:r>
      </w:del>
      <w:ins w:id="56" w:author="Dave Bridges" w:date="2022-12-14T10:59:00Z">
        <w:r w:rsidR="003F62BE">
          <w:rPr>
            <w:rFonts w:ascii="Times New Roman" w:hAnsi="Times New Roman" w:cs="Times New Roman"/>
          </w:rPr>
          <w:t>T</w:t>
        </w:r>
      </w:ins>
      <w:r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w:t>
      </w:r>
      <w:r w:rsidR="00470010" w:rsidRPr="00CB2486">
        <w:rPr>
          <w:rFonts w:ascii="Times New Roman" w:hAnsi="Times New Roman" w:cs="Times New Roman"/>
        </w:rPr>
        <w:lastRenderedPageBreak/>
        <w:t xml:space="preserve">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ins w:id="57" w:author="Dave Bridges" w:date="2022-12-14T10:59:00Z">
        <w:r w:rsidR="003F62BE">
          <w:rPr>
            <w:rFonts w:ascii="Times New Roman" w:hAnsi="Times New Roman" w:cs="Times New Roman"/>
          </w:rPr>
          <w:t xml:space="preserve"> pairs</w:t>
        </w:r>
      </w:ins>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sidRPr="00CB2486">
        <w:rPr>
          <w:rFonts w:ascii="Times New Roman" w:hAnsi="Times New Roman" w:cs="Times New Roman"/>
        </w:rPr>
        <w:t xml:space="preserve">A larger sample size </w:t>
      </w:r>
      <w:del w:id="58" w:author="Dave Bridges" w:date="2022-12-14T11:00:00Z">
        <w:r w:rsidR="0059574E" w:rsidRPr="00CB2486" w:rsidDel="003F62BE">
          <w:rPr>
            <w:rFonts w:ascii="Times New Roman" w:hAnsi="Times New Roman" w:cs="Times New Roman"/>
          </w:rPr>
          <w:delText xml:space="preserve">would </w:delText>
        </w:r>
      </w:del>
      <w:ins w:id="59" w:author="Dave Bridges" w:date="2022-12-14T11:00:00Z">
        <w:r w:rsidR="003F62BE">
          <w:rPr>
            <w:rFonts w:ascii="Times New Roman" w:hAnsi="Times New Roman" w:cs="Times New Roman"/>
          </w:rPr>
          <w:t>could</w:t>
        </w:r>
        <w:r w:rsidR="003F62BE" w:rsidRPr="00CB2486">
          <w:rPr>
            <w:rFonts w:ascii="Times New Roman" w:hAnsi="Times New Roman" w:cs="Times New Roman"/>
          </w:rPr>
          <w:t xml:space="preserve"> </w:t>
        </w:r>
      </w:ins>
      <w:r w:rsidR="0059574E" w:rsidRPr="00CB2486">
        <w:rPr>
          <w:rFonts w:ascii="Times New Roman" w:hAnsi="Times New Roman" w:cs="Times New Roman"/>
        </w:rPr>
        <w:t>have</w:t>
      </w:r>
      <w:r w:rsidR="00E97581" w:rsidRPr="00CB2486">
        <w:rPr>
          <w:rFonts w:ascii="Times New Roman" w:hAnsi="Times New Roman" w:cs="Times New Roman"/>
        </w:rPr>
        <w:t xml:space="preserve"> </w:t>
      </w:r>
      <w:del w:id="60" w:author="Dave Bridges" w:date="2022-12-14T11:00:00Z">
        <w:r w:rsidR="00F2698C" w:rsidRPr="00CB2486" w:rsidDel="003F62BE">
          <w:rPr>
            <w:rFonts w:ascii="Times New Roman" w:hAnsi="Times New Roman" w:cs="Times New Roman"/>
          </w:rPr>
          <w:delText>conceivably</w:delText>
        </w:r>
        <w:r w:rsidR="0059574E" w:rsidRPr="00CB2486" w:rsidDel="003F62BE">
          <w:rPr>
            <w:rFonts w:ascii="Times New Roman" w:hAnsi="Times New Roman" w:cs="Times New Roman"/>
          </w:rPr>
          <w:delText xml:space="preserve"> facilitated</w:delText>
        </w:r>
      </w:del>
      <w:ins w:id="61" w:author="Dave Bridges" w:date="2022-12-14T11:00:00Z">
        <w:r w:rsidR="003F62BE">
          <w:rPr>
            <w:rFonts w:ascii="Times New Roman" w:hAnsi="Times New Roman" w:cs="Times New Roman"/>
          </w:rPr>
          <w:t>provided</w:t>
        </w:r>
      </w:ins>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size of </w:t>
      </w:r>
      <w:commentRangeStart w:id="62"/>
      <w:r w:rsidR="00E97581" w:rsidRPr="00CB2486">
        <w:rPr>
          <w:rFonts w:ascii="Times New Roman" w:hAnsi="Times New Roman" w:cs="Times New Roman"/>
        </w:rPr>
        <w:t>&lt;</w:t>
      </w:r>
      <w:r w:rsidR="00AC51BD" w:rsidRPr="00CB2486">
        <w:rPr>
          <w:rFonts w:ascii="Times New Roman" w:hAnsi="Times New Roman" w:cs="Times New Roman"/>
        </w:rPr>
        <w:t>0.132</w:t>
      </w:r>
      <w:r w:rsidR="00E97581" w:rsidRPr="00CB2486">
        <w:rPr>
          <w:rFonts w:ascii="Times New Roman" w:hAnsi="Times New Roman" w:cs="Times New Roman"/>
        </w:rPr>
        <w:t>g</w:t>
      </w:r>
      <w:r w:rsidR="00890485" w:rsidRPr="00CB2486">
        <w:rPr>
          <w:rFonts w:ascii="Times New Roman" w:hAnsi="Times New Roman" w:cs="Times New Roman"/>
        </w:rPr>
        <w:t xml:space="preserve"> on maternal body weight gain </w:t>
      </w:r>
      <w:commentRangeEnd w:id="62"/>
      <w:r w:rsidR="003F62BE">
        <w:rPr>
          <w:rStyle w:val="CommentReference"/>
        </w:rPr>
        <w:commentReference w:id="62"/>
      </w:r>
      <w:r w:rsidR="00890485" w:rsidRPr="00CB2486">
        <w:rPr>
          <w:rFonts w:ascii="Times New Roman" w:hAnsi="Times New Roman" w:cs="Times New Roman"/>
        </w:rPr>
        <w:t>during pregnancy</w:t>
      </w:r>
      <w:r w:rsidR="00E97581" w:rsidRPr="00CB2486">
        <w:rPr>
          <w:rFonts w:ascii="Times New Roman" w:hAnsi="Times New Roman" w:cs="Times New Roman"/>
        </w:rPr>
        <w:t xml:space="preserve"> 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del w:id="63" w:author="Dave Bridges" w:date="2022-12-14T11:00:00Z">
        <w:r w:rsidR="00F2698C" w:rsidRPr="00CB2486" w:rsidDel="003F62BE">
          <w:rPr>
            <w:rFonts w:ascii="Times New Roman" w:hAnsi="Times New Roman" w:cs="Times New Roman"/>
          </w:rPr>
          <w:delText xml:space="preserve">could </w:delText>
        </w:r>
      </w:del>
      <w:ins w:id="64" w:author="Dave Bridges" w:date="2022-12-14T11:00:00Z">
        <w:r w:rsidR="003F62BE">
          <w:rPr>
            <w:rFonts w:ascii="Times New Roman" w:hAnsi="Times New Roman" w:cs="Times New Roman"/>
          </w:rPr>
          <w:t>was</w:t>
        </w:r>
        <w:r w:rsidR="003F62BE" w:rsidRPr="00CB2486">
          <w:rPr>
            <w:rFonts w:ascii="Times New Roman" w:hAnsi="Times New Roman" w:cs="Times New Roman"/>
          </w:rPr>
          <w:t xml:space="preserve"> </w:t>
        </w:r>
      </w:ins>
      <w:r w:rsidR="00962AD9" w:rsidRPr="00CB2486">
        <w:rPr>
          <w:rFonts w:ascii="Times New Roman" w:hAnsi="Times New Roman" w:cs="Times New Roman"/>
        </w:rPr>
        <w:t>not</w:t>
      </w:r>
      <w:r w:rsidR="00F2698C" w:rsidRPr="00CB2486">
        <w:rPr>
          <w:rFonts w:ascii="Times New Roman" w:hAnsi="Times New Roman" w:cs="Times New Roman"/>
        </w:rPr>
        <w:t xml:space="preserve"> be</w:t>
      </w:r>
      <w:r w:rsidR="00962AD9" w:rsidRPr="00CB2486">
        <w:rPr>
          <w:rFonts w:ascii="Times New Roman" w:hAnsi="Times New Roman" w:cs="Times New Roman"/>
        </w:rPr>
        <w:t xml:space="preserve"> </w:t>
      </w:r>
      <w:del w:id="65" w:author="Dave Bridges" w:date="2022-12-14T11:00:00Z">
        <w:r w:rsidR="00962AD9" w:rsidRPr="00CB2486" w:rsidDel="003F62BE">
          <w:rPr>
            <w:rFonts w:ascii="Times New Roman" w:hAnsi="Times New Roman" w:cs="Times New Roman"/>
          </w:rPr>
          <w:delText>observed</w:delText>
        </w:r>
      </w:del>
      <w:ins w:id="66" w:author="Dave Bridges" w:date="2022-12-14T11:04:00Z">
        <w:r w:rsidR="006C49A8">
          <w:rPr>
            <w:rFonts w:ascii="Times New Roman" w:hAnsi="Times New Roman" w:cs="Times New Roman"/>
          </w:rPr>
          <w:t>evaluated</w:t>
        </w:r>
      </w:ins>
      <w:r w:rsidR="00962AD9" w:rsidRPr="00CB2486">
        <w:rPr>
          <w:rFonts w:ascii="Times New Roman" w:hAnsi="Times New Roman" w:cs="Times New Roman"/>
        </w:rPr>
        <w:t>.</w:t>
      </w:r>
      <w:ins w:id="67" w:author="Dave Bridges" w:date="2022-12-14T11:00:00Z">
        <w:r w:rsidR="003F62BE">
          <w:rPr>
            <w:rFonts w:ascii="Times New Roman" w:hAnsi="Times New Roman" w:cs="Times New Roman"/>
          </w:rPr>
          <w:t xml:space="preserve">  Finally, we did not evaluate</w:t>
        </w:r>
      </w:ins>
      <w:ins w:id="68" w:author="Dave Bridges" w:date="2022-12-14T11:05:00Z">
        <w:r w:rsidR="00720EF4">
          <w:rPr>
            <w:rFonts w:ascii="Times New Roman" w:hAnsi="Times New Roman" w:cs="Times New Roman"/>
          </w:rPr>
          <w:t xml:space="preserve"> two other GDF15-associated complications,</w:t>
        </w:r>
      </w:ins>
      <w:ins w:id="69" w:author="Dave Bridges" w:date="2022-12-14T11:00:00Z">
        <w:r w:rsidR="003F62BE">
          <w:rPr>
            <w:rFonts w:ascii="Times New Roman" w:hAnsi="Times New Roman" w:cs="Times New Roman"/>
          </w:rPr>
          <w:t xml:space="preserve"> hypertension</w:t>
        </w:r>
      </w:ins>
      <w:ins w:id="70" w:author="Dave Bridges" w:date="2022-12-14T11:04:00Z">
        <w:r w:rsidR="006C49A8">
          <w:rPr>
            <w:rFonts w:ascii="Times New Roman" w:hAnsi="Times New Roman" w:cs="Times New Roman"/>
          </w:rPr>
          <w:t xml:space="preserve"> or the levels of emesis</w:t>
        </w:r>
      </w:ins>
      <w:ins w:id="71" w:author="Dave Bridges" w:date="2022-12-14T11:01:00Z">
        <w:r w:rsidR="006C49A8">
          <w:rPr>
            <w:rFonts w:ascii="Times New Roman" w:hAnsi="Times New Roman" w:cs="Times New Roman"/>
          </w:rPr>
          <w:t xml:space="preserve"> in these mice.</w:t>
        </w:r>
      </w:ins>
    </w:p>
    <w:p w14:paraId="234BB862" w14:textId="26313073"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 xml:space="preserve">In contrast to the </w:t>
      </w:r>
      <w:del w:id="72" w:author="Dave Bridges" w:date="2022-12-14T11:01:00Z">
        <w:r w:rsidDel="006C49A8">
          <w:rPr>
            <w:rFonts w:ascii="Times New Roman" w:hAnsi="Times New Roman" w:cs="Times New Roman"/>
          </w:rPr>
          <w:delText xml:space="preserve">mixed </w:delText>
        </w:r>
      </w:del>
      <w:r>
        <w:rPr>
          <w:rFonts w:ascii="Times New Roman" w:hAnsi="Times New Roman" w:cs="Times New Roman"/>
        </w:rPr>
        <w:t>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t>
      </w:r>
      <w:del w:id="73" w:author="Dave Bridges" w:date="2022-12-14T11:01:00Z">
        <w:r w:rsidDel="006C49A8">
          <w:rPr>
            <w:rFonts w:ascii="Times New Roman" w:hAnsi="Times New Roman" w:cs="Times New Roman"/>
          </w:rPr>
          <w:delText>While d</w:delText>
        </w:r>
      </w:del>
      <w:ins w:id="74" w:author="Dave Bridges" w:date="2022-12-14T11:01:00Z">
        <w:r w:rsidR="006C49A8">
          <w:rPr>
            <w:rFonts w:ascii="Times New Roman" w:hAnsi="Times New Roman" w:cs="Times New Roman"/>
          </w:rPr>
          <w:t>D</w:t>
        </w:r>
      </w:ins>
      <w:r>
        <w:rPr>
          <w:rFonts w:ascii="Times New Roman" w:hAnsi="Times New Roman" w:cs="Times New Roman"/>
        </w:rPr>
        <w:t xml:space="preserve">ams and sires were homozygous, they were derived from heterozygous crosses to limit genetic drift.  </w:t>
      </w:r>
      <w:del w:id="75" w:author="Dave Bridges" w:date="2022-12-14T11:02:00Z">
        <w:r w:rsidDel="006C49A8">
          <w:rPr>
            <w:rFonts w:ascii="Times New Roman" w:hAnsi="Times New Roman" w:cs="Times New Roman"/>
          </w:rPr>
          <w:delText xml:space="preserve">This </w:delText>
        </w:r>
      </w:del>
      <w:ins w:id="76" w:author="Dave Bridges" w:date="2022-12-14T11:02:00Z">
        <w:r w:rsidR="006C49A8">
          <w:rPr>
            <w:rFonts w:ascii="Times New Roman" w:hAnsi="Times New Roman" w:cs="Times New Roman"/>
          </w:rPr>
          <w:t>In contrast to human observational studies demonstrating connections</w:t>
        </w:r>
      </w:ins>
      <w:ins w:id="77" w:author="Dave Bridges" w:date="2022-12-14T11:04:00Z">
        <w:r w:rsidR="006C49A8">
          <w:rPr>
            <w:rFonts w:ascii="Times New Roman" w:hAnsi="Times New Roman" w:cs="Times New Roman"/>
          </w:rPr>
          <w:t xml:space="preserve"> to pregnancy complications</w:t>
        </w:r>
      </w:ins>
      <w:ins w:id="78" w:author="Dave Bridges" w:date="2022-12-14T11:02:00Z">
        <w:r w:rsidR="006C49A8">
          <w:rPr>
            <w:rFonts w:ascii="Times New Roman" w:hAnsi="Times New Roman" w:cs="Times New Roman"/>
          </w:rPr>
          <w:t>, we</w:t>
        </w:r>
      </w:ins>
      <w:ins w:id="79" w:author="Dave Bridges" w:date="2022-12-14T11:01:00Z">
        <w:r w:rsidR="006C49A8">
          <w:rPr>
            <w:rFonts w:ascii="Times New Roman" w:hAnsi="Times New Roman" w:cs="Times New Roman"/>
          </w:rPr>
          <w:t xml:space="preserve"> do not </w:t>
        </w:r>
      </w:ins>
      <w:ins w:id="80" w:author="Dave Bridges" w:date="2022-12-14T11:02:00Z">
        <w:r w:rsidR="006C49A8">
          <w:rPr>
            <w:rFonts w:ascii="Times New Roman" w:hAnsi="Times New Roman" w:cs="Times New Roman"/>
          </w:rPr>
          <w:t>observe</w:t>
        </w:r>
      </w:ins>
      <w:ins w:id="81" w:author="Dave Bridges" w:date="2022-12-14T11:01:00Z">
        <w:r w:rsidR="006C49A8">
          <w:rPr>
            <w:rFonts w:ascii="Times New Roman" w:hAnsi="Times New Roman" w:cs="Times New Roman"/>
          </w:rPr>
          <w:t xml:space="preserve"> any detectable differences</w:t>
        </w:r>
      </w:ins>
      <w:ins w:id="82" w:author="Dave Bridges" w:date="2022-12-14T11:03:00Z">
        <w:r w:rsidR="006C49A8">
          <w:rPr>
            <w:rFonts w:ascii="Times New Roman" w:hAnsi="Times New Roman" w:cs="Times New Roman"/>
          </w:rPr>
          <w:t xml:space="preserve"> in litter sizes,</w:t>
        </w:r>
      </w:ins>
      <w:ins w:id="83" w:author="Dave Bridges" w:date="2022-12-14T11:02:00Z">
        <w:r w:rsidR="006C49A8">
          <w:rPr>
            <w:rFonts w:ascii="Times New Roman" w:hAnsi="Times New Roman" w:cs="Times New Roman"/>
          </w:rPr>
          <w:t xml:space="preserve"> glucose homeostasis, gestational weight ga</w:t>
        </w:r>
      </w:ins>
      <w:ins w:id="84" w:author="Dave Bridges" w:date="2022-12-14T11:04:00Z">
        <w:r w:rsidR="006C49A8">
          <w:rPr>
            <w:rFonts w:ascii="Times New Roman" w:hAnsi="Times New Roman" w:cs="Times New Roman"/>
          </w:rPr>
          <w:t>i</w:t>
        </w:r>
      </w:ins>
      <w:ins w:id="85" w:author="Dave Bridges" w:date="2022-12-14T11:03:00Z">
        <w:r w:rsidR="006C49A8">
          <w:rPr>
            <w:rFonts w:ascii="Times New Roman" w:hAnsi="Times New Roman" w:cs="Times New Roman"/>
          </w:rPr>
          <w:t>n in the knockout mice.</w:t>
        </w:r>
      </w:ins>
      <w:ins w:id="86" w:author="Dave Bridges" w:date="2022-12-14T11:02:00Z">
        <w:r w:rsidR="006C49A8">
          <w:rPr>
            <w:rFonts w:ascii="Times New Roman" w:hAnsi="Times New Roman" w:cs="Times New Roman"/>
          </w:rPr>
          <w:t xml:space="preserve"> </w:t>
        </w:r>
      </w:ins>
      <w:r>
        <w:rPr>
          <w:rFonts w:ascii="Times New Roman" w:hAnsi="Times New Roman" w:cs="Times New Roman"/>
        </w:rPr>
        <w:t xml:space="preserve">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280656">
        <w:rPr>
          <w:rFonts w:ascii="Times New Roman" w:hAnsi="Times New Roman" w:cs="Times New Roman"/>
          <w:i/>
          <w:rPrChange w:id="87" w:author="Dave Bridges" w:date="2022-12-14T11:06:00Z">
            <w:rPr>
              <w:rFonts w:ascii="Times New Roman" w:hAnsi="Times New Roman" w:cs="Times New Roman"/>
            </w:rPr>
          </w:rPrChange>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bookmarkStart w:id="88" w:name="_GoBack"/>
      <w:r w:rsidRPr="00280656">
        <w:rPr>
          <w:rFonts w:ascii="Times New Roman" w:hAnsi="Times New Roman" w:cs="Times New Roman"/>
          <w:i/>
          <w:rPrChange w:id="89" w:author="Dave Bridges" w:date="2022-12-14T11:06:00Z">
            <w:rPr>
              <w:rFonts w:ascii="Times New Roman" w:hAnsi="Times New Roman" w:cs="Times New Roman"/>
            </w:rPr>
          </w:rPrChange>
        </w:rPr>
        <w:t>t</w:t>
      </w:r>
      <w:bookmarkEnd w:id="88"/>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 w:id="23" w:author="Dave Bridges" w:date="2022-12-14T10:55:00Z" w:initials="DB">
    <w:p w14:paraId="01229E36" w14:textId="6C9B3DEE" w:rsidR="003F62BE" w:rsidRDefault="003F62BE">
      <w:pPr>
        <w:pStyle w:val="CommentText"/>
      </w:pPr>
      <w:r>
        <w:rPr>
          <w:rStyle w:val="CommentReference"/>
        </w:rPr>
        <w:annotationRef/>
      </w:r>
      <w:r>
        <w:t>Can you be a bit more specific</w:t>
      </w:r>
    </w:p>
  </w:comment>
  <w:comment w:id="52" w:author="Molly Carter" w:date="2022-12-13T18:20:00Z" w:initials="MC">
    <w:p w14:paraId="243AA736" w14:textId="77777777" w:rsidR="00131DF5" w:rsidRDefault="00131DF5" w:rsidP="002A3A89">
      <w:r>
        <w:rPr>
          <w:rStyle w:val="CommentReference"/>
        </w:rPr>
        <w:annotationRef/>
      </w:r>
      <w:r>
        <w:rPr>
          <w:sz w:val="20"/>
          <w:szCs w:val="20"/>
        </w:rPr>
        <w:t>Could also omit if needed</w:t>
      </w:r>
    </w:p>
  </w:comment>
  <w:comment w:id="62" w:author="Dave Bridges" w:date="2022-12-14T11:00:00Z" w:initials="DB">
    <w:p w14:paraId="6EA850A8" w14:textId="159B985A" w:rsidR="003F62BE" w:rsidRDefault="003F62BE">
      <w:pPr>
        <w:pStyle w:val="CommentText"/>
      </w:pPr>
      <w:r>
        <w:rPr>
          <w:rStyle w:val="CommentReference"/>
        </w:rPr>
        <w:annotationRef/>
      </w:r>
      <w:r>
        <w:t xml:space="preserve">Can you frame this as a percent change </w:t>
      </w:r>
      <w:proofErr w:type="gramStart"/>
      <w:r>
        <w:t>instead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2FB61" w15:done="0"/>
  <w15:commentEx w15:paraId="01229E36" w15:done="0"/>
  <w15:commentEx w15:paraId="243AA736" w15:done="0"/>
  <w15:commentEx w15:paraId="6EA85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2899" w16cex:dateUtc="2022-12-01T18:20:00Z"/>
  <w16cex:commentExtensible w16cex:durableId="27330155" w16cex:dateUtc="2022-12-01T15:32:00Z"/>
  <w16cex:commentExtensible w16cex:durableId="274340F1" w16cex:dateUtc="2022-12-13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2FB61" w16cid:durableId="2744294F"/>
  <w16cid:commentId w16cid:paraId="01229E36" w16cid:durableId="27442A25"/>
  <w16cid:commentId w16cid:paraId="243AA736" w16cid:durableId="274340F1"/>
  <w16cid:commentId w16cid:paraId="6EA850A8" w16cid:durableId="27442B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4E0DA" w14:textId="77777777" w:rsidR="005E329D" w:rsidRDefault="005E329D" w:rsidP="00283B15">
      <w:r>
        <w:separator/>
      </w:r>
    </w:p>
  </w:endnote>
  <w:endnote w:type="continuationSeparator" w:id="0">
    <w:p w14:paraId="15E593DF" w14:textId="77777777" w:rsidR="005E329D" w:rsidRDefault="005E329D"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EndPr>
      <w:rPr>
        <w:rStyle w:val="PageNumber"/>
      </w:rPr>
    </w:sdtEnd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EndPr>
      <w:rPr>
        <w:rStyle w:val="PageNumber"/>
      </w:rPr>
    </w:sdtEnd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6EEB" w14:textId="77777777" w:rsidR="005E329D" w:rsidRDefault="005E329D" w:rsidP="00283B15">
      <w:r>
        <w:separator/>
      </w:r>
    </w:p>
  </w:footnote>
  <w:footnote w:type="continuationSeparator" w:id="0">
    <w:p w14:paraId="7906B49C" w14:textId="77777777" w:rsidR="005E329D" w:rsidRDefault="005E329D"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4D7B"/>
    <w:rsid w:val="00247B38"/>
    <w:rsid w:val="00250326"/>
    <w:rsid w:val="002513AE"/>
    <w:rsid w:val="00260665"/>
    <w:rsid w:val="00262874"/>
    <w:rsid w:val="00264316"/>
    <w:rsid w:val="00270E3F"/>
    <w:rsid w:val="00280656"/>
    <w:rsid w:val="00280CAA"/>
    <w:rsid w:val="0028113D"/>
    <w:rsid w:val="00283B15"/>
    <w:rsid w:val="00285DA1"/>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7348"/>
    <w:rsid w:val="00320105"/>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72CD"/>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A39"/>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3474"/>
    <w:rsid w:val="00E0146F"/>
    <w:rsid w:val="00E03D3A"/>
    <w:rsid w:val="00E0597E"/>
    <w:rsid w:val="00E07742"/>
    <w:rsid w:val="00E14631"/>
    <w:rsid w:val="00E15F79"/>
    <w:rsid w:val="00E24076"/>
    <w:rsid w:val="00E26319"/>
    <w:rsid w:val="00E31626"/>
    <w:rsid w:val="00E3260B"/>
    <w:rsid w:val="00E34536"/>
    <w:rsid w:val="00E4098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24</Pages>
  <Words>31156</Words>
  <Characters>177592</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514</cp:revision>
  <dcterms:created xsi:type="dcterms:W3CDTF">2022-05-03T17:41:00Z</dcterms:created>
  <dcterms:modified xsi:type="dcterms:W3CDTF">2022-12-14T16:06:00Z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