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Noura</w:t>
      </w:r>
      <w:r>
        <w:rPr>
          <w:rFonts w:ascii="Times New Roman" w:hAnsi="Times New Roman" w:cs="Times New Roman"/>
        </w:rPr>
        <w:t xml:space="preserve"> El Habbal</w:t>
      </w:r>
      <w:r w:rsidR="00283B15" w:rsidRPr="00303552">
        <w:rPr>
          <w:rFonts w:ascii="Times New Roman" w:hAnsi="Times New Roman" w:cs="Times New Roman"/>
        </w:rPr>
        <w:t>, JeAnna</w:t>
      </w:r>
      <w:r>
        <w:rPr>
          <w:rFonts w:ascii="Times New Roman" w:hAnsi="Times New Roman" w:cs="Times New Roman"/>
        </w:rPr>
        <w:t xml:space="preserve"> R. Redd</w:t>
      </w:r>
      <w:r w:rsidR="00283B15" w:rsidRPr="00303552">
        <w:rPr>
          <w:rFonts w:ascii="Times New Roman" w:hAnsi="Times New Roman" w:cs="Times New Roman"/>
        </w:rPr>
        <w:t>, Haijing</w:t>
      </w:r>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05D13587"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lastRenderedPageBreak/>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07CE6560" w:rsidR="00A75B5E" w:rsidRDefault="00122A75" w:rsidP="00122A75">
      <w:pPr>
        <w:pStyle w:val="Heading2"/>
      </w:pPr>
      <w:r>
        <w:t xml:space="preserve">Maternal Body </w:t>
      </w:r>
      <w:r w:rsidR="00726DE1">
        <w:t>Weight</w:t>
      </w:r>
      <w:r>
        <w:t xml:space="preserve"> and Food Intake Is Similar During Perinatal Period</w:t>
      </w:r>
    </w:p>
    <w:p w14:paraId="2132F352" w14:textId="10F15220"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Gdf15 in maternal food intake and body composition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with like-genotype 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 Body weight and food intake were measured weekly from one week before mating until pups reached 14 days of age. </w:t>
      </w:r>
    </w:p>
    <w:p w14:paraId="14E8426F" w14:textId="4B5818EE" w:rsidR="002A5E0B" w:rsidRDefault="002A5E0B" w:rsidP="00B039A5">
      <w:pPr>
        <w:spacing w:line="360" w:lineRule="auto"/>
        <w:rPr>
          <w:rFonts w:ascii="Times New Roman" w:hAnsi="Times New Roman" w:cs="Times New Roman"/>
        </w:rPr>
      </w:pPr>
      <w:r>
        <w:rPr>
          <w:rFonts w:ascii="Times New Roman" w:hAnsi="Times New Roman" w:cs="Times New Roman"/>
        </w:rPr>
        <w:tab/>
      </w:r>
      <w:r w:rsidR="00C12747">
        <w:rPr>
          <w:rFonts w:ascii="Times New Roman" w:hAnsi="Times New Roman" w:cs="Times New Roman"/>
        </w:rPr>
        <w:t xml:space="preserve">Maternal food intake was similar in the prenatal period between genotypes. </w:t>
      </w:r>
      <w:r w:rsidR="00F0707F">
        <w:rPr>
          <w:rFonts w:ascii="Times New Roman" w:hAnsi="Times New Roman" w:cs="Times New Roman"/>
        </w:rPr>
        <w:t>Food intake increased over the course of gestation</w:t>
      </w:r>
      <w:r w:rsidR="00C200CA">
        <w:rPr>
          <w:rFonts w:ascii="Times New Roman" w:hAnsi="Times New Roman" w:cs="Times New Roman"/>
        </w:rPr>
        <w:t>, with each additional gestational day being associated with 0.437 kcals great intake than the previous day</w:t>
      </w:r>
      <w:r w:rsidR="00F0707F">
        <w:rPr>
          <w:rFonts w:ascii="Times New Roman" w:hAnsi="Times New Roman" w:cs="Times New Roman"/>
        </w:rPr>
        <w:t xml:space="preserve"> (</w:t>
      </w:r>
      <w:r w:rsidR="00C200CA">
        <w:rPr>
          <w:rFonts w:ascii="Times New Roman" w:hAnsi="Times New Roman" w:cs="Times New Roman"/>
        </w:rPr>
        <w:t>p&lt;0.001</w:t>
      </w:r>
      <w:r w:rsidR="00F0707F">
        <w:rPr>
          <w:rFonts w:ascii="Times New Roman" w:hAnsi="Times New Roman" w:cs="Times New Roman"/>
        </w:rPr>
        <w:t>)</w:t>
      </w:r>
      <w:r w:rsidR="00C200CA">
        <w:rPr>
          <w:rFonts w:ascii="Times New Roman" w:hAnsi="Times New Roman" w:cs="Times New Roman"/>
        </w:rPr>
        <w:t>.</w:t>
      </w:r>
      <w:r w:rsidR="00F0707F">
        <w:rPr>
          <w:rFonts w:ascii="Times New Roman" w:hAnsi="Times New Roman" w:cs="Times New Roman"/>
        </w:rPr>
        <w:t xml:space="preserve"> </w:t>
      </w:r>
      <w:r w:rsidR="00C200CA">
        <w:rPr>
          <w:rFonts w:ascii="Times New Roman" w:hAnsi="Times New Roman" w:cs="Times New Roman"/>
        </w:rPr>
        <w:t xml:space="preserve">There were no differences between genotypes, with </w:t>
      </w:r>
      <w:r w:rsidR="00C200CA" w:rsidRPr="00C200CA">
        <w:rPr>
          <w:rFonts w:ascii="Times New Roman" w:hAnsi="Times New Roman" w:cs="Times New Roman"/>
          <w:i/>
          <w:iCs/>
        </w:rPr>
        <w:t>Gdf15</w:t>
      </w:r>
      <w:r w:rsidR="00C200CA" w:rsidRPr="00C200CA">
        <w:rPr>
          <w:rFonts w:ascii="Times New Roman" w:hAnsi="Times New Roman" w:cs="Times New Roman"/>
          <w:i/>
          <w:iCs/>
          <w:vertAlign w:val="superscript"/>
        </w:rPr>
        <w:t>-/-</w:t>
      </w:r>
      <w:r w:rsidR="00C200CA" w:rsidRPr="00C200CA">
        <w:rPr>
          <w:rFonts w:ascii="Times New Roman" w:hAnsi="Times New Roman" w:cs="Times New Roman"/>
          <w:vertAlign w:val="superscript"/>
        </w:rPr>
        <w:t xml:space="preserve"> </w:t>
      </w:r>
      <w:r w:rsidR="00C200CA">
        <w:rPr>
          <w:rFonts w:ascii="Times New Roman" w:hAnsi="Times New Roman" w:cs="Times New Roman"/>
        </w:rPr>
        <w:t xml:space="preserve">dams consuming only 0.965 kcals more per day than </w:t>
      </w:r>
      <w:r w:rsidR="00C200CA" w:rsidRPr="00C200CA">
        <w:rPr>
          <w:rFonts w:ascii="Times New Roman" w:hAnsi="Times New Roman" w:cs="Times New Roman"/>
          <w:i/>
          <w:iCs/>
        </w:rPr>
        <w:t>Gdf15</w:t>
      </w:r>
      <w:r w:rsidR="00C200CA" w:rsidRPr="00C200CA">
        <w:rPr>
          <w:rFonts w:ascii="Times New Roman" w:hAnsi="Times New Roman" w:cs="Times New Roman"/>
          <w:i/>
          <w:iCs/>
          <w:vertAlign w:val="superscript"/>
        </w:rPr>
        <w:t>+/+</w:t>
      </w:r>
      <w:r w:rsidR="00C200CA">
        <w:rPr>
          <w:rFonts w:ascii="Times New Roman" w:hAnsi="Times New Roman" w:cs="Times New Roman"/>
        </w:rPr>
        <w:t xml:space="preserve"> dams</w:t>
      </w:r>
      <w:r w:rsidR="00F0707F">
        <w:rPr>
          <w:rFonts w:ascii="Times New Roman" w:hAnsi="Times New Roman" w:cs="Times New Roman"/>
        </w:rPr>
        <w:t xml:space="preserve"> (p=0.47)</w:t>
      </w:r>
      <w:r w:rsidR="00C200CA">
        <w:rPr>
          <w:rFonts w:ascii="Times New Roman" w:hAnsi="Times New Roman" w:cs="Times New Roman"/>
        </w:rPr>
        <w:t>.</w:t>
      </w:r>
      <w:r w:rsidR="00EF1CFC">
        <w:rPr>
          <w:rFonts w:ascii="Times New Roman" w:hAnsi="Times New Roman" w:cs="Times New Roman"/>
        </w:rPr>
        <w:t xml:space="preserve"> </w:t>
      </w:r>
    </w:p>
    <w:p w14:paraId="0DC1358F" w14:textId="48307349" w:rsidR="00EF1CFC" w:rsidRDefault="00EF1CFC" w:rsidP="00122A75">
      <w:pPr>
        <w:rPr>
          <w:rFonts w:ascii="Times New Roman" w:hAnsi="Times New Roman" w:cs="Times New Roman"/>
        </w:rPr>
      </w:pPr>
    </w:p>
    <w:p w14:paraId="05C3842D" w14:textId="4CF139AD" w:rsidR="00EF1CFC" w:rsidRDefault="00EF1CFC" w:rsidP="00EF1CFC">
      <w:pPr>
        <w:pStyle w:val="Heading2"/>
      </w:pPr>
      <w:r>
        <w:t xml:space="preserve">Postnatal body </w:t>
      </w:r>
      <w:r w:rsidR="00726DE1">
        <w:t>Weight</w:t>
      </w:r>
      <w:r>
        <w:t xml:space="preserve"> differs, but food intake does not</w:t>
      </w:r>
    </w:p>
    <w:p w14:paraId="0FC5D59E" w14:textId="171F975B" w:rsidR="004A7ABC" w:rsidRDefault="004A7ABC" w:rsidP="00B039A5">
      <w:pPr>
        <w:spacing w:line="360" w:lineRule="auto"/>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rsidR="00726DE1">
        <w:rPr>
          <w:rFonts w:ascii="Times New Roman" w:hAnsi="Times New Roman" w:cs="Times New Roman"/>
        </w:rPr>
        <w:t xml:space="preserve">dams consumed XX food during the postnatal period. Body weight </w:t>
      </w:r>
      <w:proofErr w:type="spellStart"/>
      <w:r w:rsidR="00726DE1">
        <w:rPr>
          <w:rFonts w:ascii="Times New Roman" w:hAnsi="Times New Roman" w:cs="Times New Roman"/>
        </w:rPr>
        <w:t>w</w:t>
      </w:r>
      <w:r w:rsidR="00A32ED9">
        <w:rPr>
          <w:rFonts w:ascii="Times New Roman" w:hAnsi="Times New Roman" w:cs="Times New Roman"/>
        </w:rPr>
        <w:t>eight</w:t>
      </w:r>
      <w:proofErr w:type="spellEnd"/>
      <w:r w:rsidR="00A32ED9">
        <w:rPr>
          <w:rFonts w:ascii="Times New Roman" w:hAnsi="Times New Roman" w:cs="Times New Roman"/>
        </w:rPr>
        <w:t xml:space="preserve"> was similar in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was 1.62 grams greater than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 in the postnatal period (p=0.20)</w:t>
      </w:r>
      <w:r w:rsidR="00AE2672">
        <w:rPr>
          <w:rFonts w:ascii="Times New Roman" w:hAnsi="Times New Roman" w:cs="Times New Roman"/>
        </w:rPr>
        <w:t xml:space="preserve">. </w:t>
      </w:r>
    </w:p>
    <w:p w14:paraId="31FE32BC" w14:textId="7FED245E" w:rsidR="00757CFC" w:rsidRDefault="00757CFC" w:rsidP="00B039A5">
      <w:pPr>
        <w:spacing w:line="360" w:lineRule="auto"/>
        <w:rPr>
          <w:rFonts w:ascii="Times New Roman" w:hAnsi="Times New Roman" w:cs="Times New Roman"/>
        </w:rPr>
      </w:pPr>
    </w:p>
    <w:p w14:paraId="479934B1" w14:textId="3A92BA3D" w:rsidR="00757CFC" w:rsidRPr="00A32ED9" w:rsidRDefault="00757CFC" w:rsidP="00757CFC">
      <w:pPr>
        <w:pStyle w:val="Heading2"/>
      </w:pPr>
      <w:r>
        <w:lastRenderedPageBreak/>
        <w:t>Gdf15-/- dams have are not more insulin tolerant</w:t>
      </w: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1"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9F42" w14:textId="77777777" w:rsidR="00C41B17" w:rsidRDefault="00C41B17" w:rsidP="00283B15">
      <w:r>
        <w:separator/>
      </w:r>
    </w:p>
  </w:endnote>
  <w:endnote w:type="continuationSeparator" w:id="0">
    <w:p w14:paraId="58FB71E1" w14:textId="77777777" w:rsidR="00C41B17" w:rsidRDefault="00C41B17"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C06E" w14:textId="77777777" w:rsidR="00C41B17" w:rsidRDefault="00C41B17" w:rsidP="00283B15">
      <w:r>
        <w:separator/>
      </w:r>
    </w:p>
  </w:footnote>
  <w:footnote w:type="continuationSeparator" w:id="0">
    <w:p w14:paraId="244D632F" w14:textId="77777777" w:rsidR="00C41B17" w:rsidRDefault="00C41B17" w:rsidP="00283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7193"/>
    <w:rsid w:val="000C2B86"/>
    <w:rsid w:val="000C3D44"/>
    <w:rsid w:val="000D699C"/>
    <w:rsid w:val="000F3B3F"/>
    <w:rsid w:val="000F642D"/>
    <w:rsid w:val="00106075"/>
    <w:rsid w:val="00113179"/>
    <w:rsid w:val="00122A75"/>
    <w:rsid w:val="001557E5"/>
    <w:rsid w:val="00186B53"/>
    <w:rsid w:val="001C170C"/>
    <w:rsid w:val="001C634C"/>
    <w:rsid w:val="001D753F"/>
    <w:rsid w:val="001E6250"/>
    <w:rsid w:val="001E72ED"/>
    <w:rsid w:val="002375E1"/>
    <w:rsid w:val="00247B38"/>
    <w:rsid w:val="002513AE"/>
    <w:rsid w:val="00262874"/>
    <w:rsid w:val="00264316"/>
    <w:rsid w:val="00280CAA"/>
    <w:rsid w:val="00283B15"/>
    <w:rsid w:val="002A4E3E"/>
    <w:rsid w:val="002A5E0B"/>
    <w:rsid w:val="002B64E3"/>
    <w:rsid w:val="002C2A53"/>
    <w:rsid w:val="002C53A0"/>
    <w:rsid w:val="002E247C"/>
    <w:rsid w:val="002F29DF"/>
    <w:rsid w:val="00303552"/>
    <w:rsid w:val="00332B44"/>
    <w:rsid w:val="00367564"/>
    <w:rsid w:val="00373916"/>
    <w:rsid w:val="003D45C1"/>
    <w:rsid w:val="00404E6F"/>
    <w:rsid w:val="00422824"/>
    <w:rsid w:val="0042306F"/>
    <w:rsid w:val="00436287"/>
    <w:rsid w:val="00444701"/>
    <w:rsid w:val="004527CA"/>
    <w:rsid w:val="004814CA"/>
    <w:rsid w:val="004A3BDC"/>
    <w:rsid w:val="004A7ABC"/>
    <w:rsid w:val="004C147B"/>
    <w:rsid w:val="004C1957"/>
    <w:rsid w:val="004F4D8C"/>
    <w:rsid w:val="00506BE3"/>
    <w:rsid w:val="00511334"/>
    <w:rsid w:val="005135AA"/>
    <w:rsid w:val="00517D3C"/>
    <w:rsid w:val="00572DD3"/>
    <w:rsid w:val="00574166"/>
    <w:rsid w:val="00581906"/>
    <w:rsid w:val="00587EB0"/>
    <w:rsid w:val="005B1295"/>
    <w:rsid w:val="005E6CA5"/>
    <w:rsid w:val="005F2191"/>
    <w:rsid w:val="00603AC9"/>
    <w:rsid w:val="006311F0"/>
    <w:rsid w:val="0066761A"/>
    <w:rsid w:val="00667E7E"/>
    <w:rsid w:val="00697A26"/>
    <w:rsid w:val="006B0F65"/>
    <w:rsid w:val="006B426E"/>
    <w:rsid w:val="006C7575"/>
    <w:rsid w:val="006D0E50"/>
    <w:rsid w:val="006E4CAA"/>
    <w:rsid w:val="00726DE1"/>
    <w:rsid w:val="00741FE3"/>
    <w:rsid w:val="00757CFC"/>
    <w:rsid w:val="00777A3D"/>
    <w:rsid w:val="00792F75"/>
    <w:rsid w:val="007C1DF5"/>
    <w:rsid w:val="008037F1"/>
    <w:rsid w:val="00810717"/>
    <w:rsid w:val="0081224E"/>
    <w:rsid w:val="00834B50"/>
    <w:rsid w:val="0086099C"/>
    <w:rsid w:val="008D11D5"/>
    <w:rsid w:val="008E4DF2"/>
    <w:rsid w:val="008F3299"/>
    <w:rsid w:val="008F4555"/>
    <w:rsid w:val="00910237"/>
    <w:rsid w:val="00913CC8"/>
    <w:rsid w:val="00916768"/>
    <w:rsid w:val="00935BB2"/>
    <w:rsid w:val="009778DF"/>
    <w:rsid w:val="009B3F1D"/>
    <w:rsid w:val="009E0694"/>
    <w:rsid w:val="00A056A4"/>
    <w:rsid w:val="00A172DE"/>
    <w:rsid w:val="00A17703"/>
    <w:rsid w:val="00A22DC3"/>
    <w:rsid w:val="00A2331B"/>
    <w:rsid w:val="00A32ED9"/>
    <w:rsid w:val="00A75B5E"/>
    <w:rsid w:val="00AA6169"/>
    <w:rsid w:val="00AB498D"/>
    <w:rsid w:val="00AC4597"/>
    <w:rsid w:val="00AE2672"/>
    <w:rsid w:val="00AE4DBC"/>
    <w:rsid w:val="00B039A5"/>
    <w:rsid w:val="00B34F9F"/>
    <w:rsid w:val="00B41305"/>
    <w:rsid w:val="00B41ED0"/>
    <w:rsid w:val="00B555A6"/>
    <w:rsid w:val="00B57207"/>
    <w:rsid w:val="00B87CB1"/>
    <w:rsid w:val="00BB319E"/>
    <w:rsid w:val="00BD75F3"/>
    <w:rsid w:val="00BF3CAB"/>
    <w:rsid w:val="00BF5335"/>
    <w:rsid w:val="00C12747"/>
    <w:rsid w:val="00C200CA"/>
    <w:rsid w:val="00C26F18"/>
    <w:rsid w:val="00C279A3"/>
    <w:rsid w:val="00C345B1"/>
    <w:rsid w:val="00C41B17"/>
    <w:rsid w:val="00C545FF"/>
    <w:rsid w:val="00C6518A"/>
    <w:rsid w:val="00C853C9"/>
    <w:rsid w:val="00C86E71"/>
    <w:rsid w:val="00C95715"/>
    <w:rsid w:val="00CC5373"/>
    <w:rsid w:val="00CD4198"/>
    <w:rsid w:val="00CD654B"/>
    <w:rsid w:val="00D02566"/>
    <w:rsid w:val="00D071B1"/>
    <w:rsid w:val="00D10944"/>
    <w:rsid w:val="00D1756D"/>
    <w:rsid w:val="00D3270D"/>
    <w:rsid w:val="00D50EED"/>
    <w:rsid w:val="00D671B1"/>
    <w:rsid w:val="00D86FB4"/>
    <w:rsid w:val="00DD02BD"/>
    <w:rsid w:val="00DE237C"/>
    <w:rsid w:val="00DE5F60"/>
    <w:rsid w:val="00DF3474"/>
    <w:rsid w:val="00E26319"/>
    <w:rsid w:val="00E34536"/>
    <w:rsid w:val="00E40985"/>
    <w:rsid w:val="00E8044A"/>
    <w:rsid w:val="00E81B08"/>
    <w:rsid w:val="00E973AF"/>
    <w:rsid w:val="00E974EB"/>
    <w:rsid w:val="00EA063D"/>
    <w:rsid w:val="00EA5CA9"/>
    <w:rsid w:val="00EB697F"/>
    <w:rsid w:val="00EC23D1"/>
    <w:rsid w:val="00EF1CFC"/>
    <w:rsid w:val="00EF6E8B"/>
    <w:rsid w:val="00EF6FDD"/>
    <w:rsid w:val="00F0707F"/>
    <w:rsid w:val="00F43922"/>
    <w:rsid w:val="00F85D93"/>
    <w:rsid w:val="00F876E9"/>
    <w:rsid w:val="00FB0F00"/>
    <w:rsid w:val="00FB346B"/>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davebrid@umich.edu"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9</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69</cp:revision>
  <dcterms:created xsi:type="dcterms:W3CDTF">2022-05-03T17:41:00Z</dcterms:created>
  <dcterms:modified xsi:type="dcterms:W3CDTF">2022-05-27T20:19:00Z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