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4C5736AE"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Randy</w:t>
      </w:r>
      <w:r w:rsidR="00412470">
        <w:rPr>
          <w:rFonts w:ascii="Times New Roman" w:hAnsi="Times New Roman" w:cs="Times New Roman"/>
        </w:rPr>
        <w:t xml:space="preserve"> J.</w:t>
      </w:r>
      <w:r w:rsidR="009B3F1D">
        <w:rPr>
          <w:rFonts w:ascii="Times New Roman" w:hAnsi="Times New Roman" w:cs="Times New Roman"/>
        </w:rPr>
        <w:t xml:space="preserve"> Seeley</w:t>
      </w:r>
      <w:ins w:id="0" w:author="Dave Bridges" w:date="2024-01-15T12:57:00Z">
        <w:r w:rsidR="00D46FB5" w:rsidRPr="00D46FB5">
          <w:rPr>
            <w:rFonts w:ascii="Times New Roman" w:hAnsi="Times New Roman" w:cs="Times New Roman"/>
            <w:vertAlign w:val="superscript"/>
            <w:rPrChange w:id="1" w:author="Dave Bridges" w:date="2024-01-15T12:58:00Z">
              <w:rPr>
                <w:rFonts w:ascii="Times New Roman" w:hAnsi="Times New Roman" w:cs="Times New Roman"/>
              </w:rPr>
            </w:rPrChange>
          </w:rPr>
          <w:t>1,</w:t>
        </w:r>
      </w:ins>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55192EFC" w:rsidR="00101A41" w:rsidRDefault="00101A41">
      <w:pPr>
        <w:rPr>
          <w:rFonts w:ascii="Times New Roman" w:hAnsi="Times New Roman" w:cs="Times New Roman"/>
        </w:rPr>
      </w:pPr>
      <w:commentRangeStart w:id="2"/>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ins w:id="3" w:author="Dave Bridges" w:date="2024-01-15T12:58:00Z">
        <w:r w:rsidR="00D46FB5">
          <w:rPr>
            <w:rFonts w:ascii="Times New Roman" w:hAnsi="Times New Roman" w:cs="Times New Roman"/>
          </w:rPr>
          <w:t xml:space="preserve">, and </w:t>
        </w:r>
      </w:ins>
      <w:del w:id="4" w:author="Dave Bridges" w:date="2024-01-15T12:58:00Z">
        <w:r w:rsidR="00121EC1" w:rsidDel="00D46FB5">
          <w:rPr>
            <w:rFonts w:ascii="Times New Roman" w:hAnsi="Times New Roman" w:cs="Times New Roman"/>
          </w:rPr>
          <w:delText>)</w:delText>
        </w:r>
        <w:r w:rsidR="00C33462" w:rsidDel="00D46FB5">
          <w:rPr>
            <w:rFonts w:ascii="Times New Roman" w:hAnsi="Times New Roman" w:cs="Times New Roman"/>
          </w:rPr>
          <w:delText xml:space="preserve"> </w:delText>
        </w:r>
      </w:del>
      <w:r w:rsidR="00C33462">
        <w:rPr>
          <w:rFonts w:ascii="Times New Roman" w:hAnsi="Times New Roman" w:cs="Times New Roman"/>
        </w:rPr>
        <w:t>DK K08102526 to BG</w:t>
      </w:r>
      <w:ins w:id="5" w:author="Dave Bridges" w:date="2024-01-15T12:58:00Z">
        <w:r w:rsidR="00D46FB5">
          <w:rPr>
            <w:rFonts w:ascii="Times New Roman" w:hAnsi="Times New Roman" w:cs="Times New Roman"/>
          </w:rPr>
          <w:t>)</w:t>
        </w:r>
      </w:ins>
      <w:r w:rsidR="00121EC1">
        <w:rPr>
          <w:rFonts w:ascii="Times New Roman" w:hAnsi="Times New Roman" w:cs="Times New Roman"/>
        </w:rPr>
        <w:t xml:space="preserve">. </w:t>
      </w:r>
      <w:commentRangeEnd w:id="2"/>
      <w:r w:rsidR="009B3A39">
        <w:rPr>
          <w:rStyle w:val="CommentReference"/>
        </w:rPr>
        <w:commentReference w:id="2"/>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7D58BC71" w:rsidR="00444701" w:rsidRPr="00303552" w:rsidRDefault="00B534E5">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t>Endocrinology short report</w:t>
      </w:r>
      <w:r w:rsidR="00444701">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24DBD38C"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proofErr w:type="gramStart"/>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w:t>
      </w:r>
      <w:proofErr w:type="gramEnd"/>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ins w:id="6" w:author="Dave Bridges" w:date="2024-01-15T12:58:00Z">
        <w:r w:rsidR="00D46FB5">
          <w:rPr>
            <w:rFonts w:ascii="Times New Roman" w:hAnsi="Times New Roman" w:cs="Times New Roman"/>
          </w:rPr>
          <w:t xml:space="preserve"> </w:t>
        </w:r>
      </w:ins>
      <w:del w:id="7" w:author="Dave Bridges" w:date="2024-01-15T12:59:00Z">
        <w:r w:rsidR="00674C7A" w:rsidDel="00D46FB5">
          <w:rPr>
            <w:rFonts w:ascii="Times New Roman" w:hAnsi="Times New Roman" w:cs="Times New Roman"/>
          </w:rPr>
          <w:delText xml:space="preserve">There </w:delText>
        </w:r>
      </w:del>
      <w:ins w:id="8" w:author="Dave Bridges" w:date="2024-01-15T12:59:00Z">
        <w:r w:rsidR="00D46FB5">
          <w:rPr>
            <w:rFonts w:ascii="Times New Roman" w:hAnsi="Times New Roman" w:cs="Times New Roman"/>
          </w:rPr>
          <w:t>We observed</w:t>
        </w:r>
        <w:r w:rsidR="00D46FB5">
          <w:rPr>
            <w:rFonts w:ascii="Times New Roman" w:hAnsi="Times New Roman" w:cs="Times New Roman"/>
          </w:rPr>
          <w:t xml:space="preserve"> </w:t>
        </w:r>
      </w:ins>
      <w:del w:id="9" w:author="Dave Bridges" w:date="2024-01-15T12:59:00Z">
        <w:r w:rsidR="00674C7A" w:rsidDel="00D46FB5">
          <w:rPr>
            <w:rFonts w:ascii="Times New Roman" w:hAnsi="Times New Roman" w:cs="Times New Roman"/>
          </w:rPr>
          <w:delText xml:space="preserve">were also </w:delText>
        </w:r>
      </w:del>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del w:id="10" w:author="Dave Bridges" w:date="2024-01-15T12:58:00Z">
        <w:r w:rsidR="00B534E5" w:rsidDel="00D46FB5">
          <w:rPr>
            <w:rFonts w:ascii="Times New Roman" w:hAnsi="Times New Roman" w:cs="Times New Roman"/>
          </w:rPr>
          <w:delText>dispensible</w:delText>
        </w:r>
      </w:del>
      <w:ins w:id="11" w:author="Dave Bridges" w:date="2024-01-15T12:58:00Z">
        <w:r w:rsidR="00D46FB5">
          <w:rPr>
            <w:rFonts w:ascii="Times New Roman" w:hAnsi="Times New Roman" w:cs="Times New Roman"/>
          </w:rPr>
          <w:t>dispensable</w:t>
        </w:r>
      </w:ins>
      <w:r w:rsidR="00D04B5D">
        <w:rPr>
          <w:rFonts w:ascii="Times New Roman" w:hAnsi="Times New Roman" w:cs="Times New Roman"/>
        </w:rPr>
        <w:t xml:space="preserve"> </w:t>
      </w:r>
      <w:r w:rsidR="00260665">
        <w:rPr>
          <w:rFonts w:ascii="Times New Roman" w:hAnsi="Times New Roman" w:cs="Times New Roman"/>
        </w:rPr>
        <w:t xml:space="preserve">for </w:t>
      </w:r>
      <w:del w:id="12" w:author="Dave Bridges" w:date="2024-01-15T12:59:00Z">
        <w:r w:rsidR="002615AF" w:rsidDel="00D46FB5">
          <w:rPr>
            <w:rFonts w:ascii="Times New Roman" w:hAnsi="Times New Roman" w:cs="Times New Roman"/>
          </w:rPr>
          <w:delText>normal increases</w:delText>
        </w:r>
      </w:del>
      <w:ins w:id="13" w:author="Dave Bridges" w:date="2024-01-15T12:59:00Z">
        <w:r w:rsidR="00D46FB5">
          <w:rPr>
            <w:rFonts w:ascii="Times New Roman" w:hAnsi="Times New Roman" w:cs="Times New Roman"/>
          </w:rPr>
          <w:t>changes</w:t>
        </w:r>
      </w:ins>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del w:id="14" w:author="Dave Bridges" w:date="2024-01-15T12:59:00Z">
        <w:r w:rsidR="00C060D1" w:rsidDel="00FF6019">
          <w:rPr>
            <w:rFonts w:ascii="Times New Roman" w:hAnsi="Times New Roman" w:cs="Times New Roman"/>
          </w:rPr>
          <w:delText xml:space="preserve">Further research is warranted to evaluate the role of </w:delText>
        </w:r>
        <w:r w:rsidR="00EA5EDA" w:rsidDel="00FF6019">
          <w:rPr>
            <w:rFonts w:ascii="Times New Roman" w:hAnsi="Times New Roman" w:cs="Times New Roman"/>
          </w:rPr>
          <w:delText xml:space="preserve">GDF15 </w:delText>
        </w:r>
        <w:r w:rsidR="005153B8" w:rsidDel="00FF6019">
          <w:rPr>
            <w:rFonts w:ascii="Times New Roman" w:hAnsi="Times New Roman" w:cs="Times New Roman"/>
          </w:rPr>
          <w:delText>during</w:delText>
        </w:r>
        <w:r w:rsidR="00C060D1" w:rsidDel="00FF6019">
          <w:rPr>
            <w:rFonts w:ascii="Times New Roman" w:hAnsi="Times New Roman" w:cs="Times New Roman"/>
          </w:rPr>
          <w:delText xml:space="preserve"> pregnancy, outside of its role in body weight and food intake regulation. </w:delText>
        </w:r>
      </w:del>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539C1CB5"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{"citationID":"OXhp9647","properties":{"formattedCitation":"(Bootcov et al., 1997)","plainCitation":"(Bootcov et al., 1997)","noteIndex":0},"citationItems":[{"id":474,"uris":["http://zotero.org/users/5073745/items/93AFYQ39"],"itemData":{"id":474,"type":"article-journal","container-title":"Proceedings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 </w:t>
      </w:r>
      <w:r w:rsidR="00D80DAC" w:rsidRPr="003F141D">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{"citationID":"GuU49TUF","properties":{"formattedCitation":"(Welsh et al., 2022)","plainCitation":"(Welsh et al., 2022)","dontUpdate":true,"noteIndex":0},"citationItems":[{"id":479,"uris":["http://zotero.org/users/5073745/items/6RGK8GV2"],"itemData":{"id":479,"type":"article-journal","abstract":"Objectives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{"citationID":"GfJpRX1K","properties":{"formattedCitation":"(Kempf et al., 2006)","plainCitation":"(Kempf et al., 2006)","noteIndex":0},"citationItems":[{"id":469,"uris":["http://zotero.org/users/5073745/items/ZGYIPTMH"],"itemData":{"id":469,"type":"article-journal","abstract":"Data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{"citationID":"ir4AGC19","properties":{"formattedCitation":"(Suriben et al., 2020)","plainCitation":"(Suriben et al., 2020)","noteIndex":0},"citationItems":[{"id":468,"uris":["http://zotero.org/users/5073745/items/DDYB6PDM"],"itemData":{"id":468,"type":"article-journal","abstract":"Cancer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{"citationID":"51HXZE2Z","properties":{"formattedCitation":"(Ost et al., 2020)","plainCitation":"(Ost et al., 2020)","noteIndex":0},"citationItems":[{"id":312,"uris":["http://zotero.org/users/5073745/items/2MCBVNJG"],"itemData":{"id":312,"type":"article-journal","abstract":"Abstract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{"citationID":"Q9ezapcM","properties":{"formattedCitation":"(Klein et al., 2021)","plainCitation":"(Klein et al., 2021)","noteIndex":0},"citationItems":[{"id":470,"uris":["http://zotero.org/users/5073745/items/N7UUX6A6"],"itemData":{"id":470,"type":"article-journal","abstract":"Growing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{"citationID":"6JugbC65","properties":{"formattedCitation":"(Andersson-Hall et al., 2021; Chen et al., 2016; Marjono et al., 2003; Sugulle et al., 2009; Welsh et al., 2022)","plainCitation":"(Andersson-Hall et al., 2021; Chen et al., 2016; Marjono et al., 2003; Sugulle et al., 2009; Welsh et al., 2022)","noteIndex":0},"citationItems":[{"id":436,"uris":["http://zotero.org/users/5073745/items/D7NVPGRH"],"itemData":{"id":436,"type":"article-journal","abstract":"Objective/Aim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811770">
        <w:rPr>
          <w:rFonts w:ascii="Times New Roman" w:hAnsi="Times New Roman" w:cs="Times New Roman"/>
          <w:noProof/>
        </w:rPr>
        <w:t>(Andersson-Hall et al., 2021; Chen et al., 2016; Marjono et al., 2003; Sugulle et al., 2009; 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7389C5A4" w:rsidR="00147C72" w:rsidRDefault="00042302" w:rsidP="005C68E9">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{"citationID":"LQpghmEy","properties":{"formattedCitation":"(Hsu et al., 2017, p. 15)","plainCitation":"(Hsu et al., 2017, p. 15)","noteIndex":0},"citationItems":[{"id":230,"uris":["http://zotero.org/users/5073745/items/E4JB9GBK"],"itemData":{"id":230,"type":"article-journal","abstract":"Under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{"citationID":"wBWT04r7","properties":{"formattedCitation":"(Tsai et al., 2019)","plainCitation":"(Tsai et al., 2019)","noteIndex":0},"citationItems":[{"id":466,"uris":["http://zotero.org/users/5073745/items/FA9CTGNI"],"itemData":{"id":466,"type":"article-journal","abstract":"Elevated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C62A47">
        <w:rPr>
          <w:rFonts w:ascii="Times New Roman" w:hAnsi="Times New Roman" w:cs="Times New Roman"/>
          <w:noProof/>
        </w:rPr>
        <w:t>(Tsai et al., 2019)</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{"citationID":"6aMuzimC","properties":{"formattedCitation":"(Borner et al., 2020)","plainCitation":"(Borner et al., 2020)","noteIndex":0},"citationItems":[{"id":467,"uris":["http://zotero.org/users/5073745/items/WDS35T9T"],"itemData":{"id":467,"type":"article-journal","abstract":"Growth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w:t>
      </w:r>
      <w:r w:rsidR="0008334B">
        <w:rPr>
          <w:rFonts w:ascii="Times New Roman" w:hAnsi="Times New Roman" w:cs="Times New Roman"/>
        </w:rPr>
        <w:t>In rodents, the effect of GDF15 antagonism through antibodies or knockout on food intake depends on diet.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{"citationID":"uREomVip","properties":{"formattedCitation":"(Tran et al., 2018; Tsai et al., 2019)","plainCitation":"(Tran et al., 2018; Tsai et al., 2019)","noteIndex":0},"citationItems":[{"id":601,"uris":["http://zotero.org/users/5073745/items/DBNXSE52"],"itemData":{"id":601,"type":"article-journal","abstract":"Pharmacological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08334B">
        <w:rPr>
          <w:rFonts w:ascii="Times New Roman" w:hAnsi="Times New Roman" w:cs="Times New Roman"/>
          <w:noProof/>
        </w:rPr>
        <w:t>(Tran et al., 2018; Tsai et al., 2019)</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{"citationID":"KLJmDdOP","properties":{"formattedCitation":"(Tran et al., 2018)","plainCitation":"(Tran et al., 2018)","noteIndex":0},"citationItems":[{"id":601,"uris":["http://zotero.org/users/5073745/items/DBNXSE52"],"itemData":{"id":601,"type":"article-journal","abstract":"Pharmacological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08334B">
        <w:rPr>
          <w:rFonts w:ascii="Times New Roman" w:hAnsi="Times New Roman" w:cs="Times New Roman"/>
          <w:noProof/>
        </w:rPr>
        <w:t>(Tran et al., 2018)</w:t>
      </w:r>
      <w:r w:rsidR="0008334B">
        <w:rPr>
          <w:rFonts w:ascii="Times New Roman" w:hAnsi="Times New Roman" w:cs="Times New Roman"/>
        </w:rPr>
        <w:fldChar w:fldCharType="end"/>
      </w:r>
      <w:r w:rsidR="0008334B">
        <w:rPr>
          <w:rFonts w:ascii="Times New Roman" w:hAnsi="Times New Roman" w:cs="Times New Roman"/>
        </w:rPr>
        <w:t xml:space="preserve">. </w:t>
      </w:r>
      <w:r w:rsidR="0015746A">
        <w:rPr>
          <w:rFonts w:ascii="Times New Roman" w:hAnsi="Times New Roman" w:cs="Times New Roman"/>
        </w:rPr>
        <w:t xml:space="preserve">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 xml:space="preserve">area </w:t>
      </w:r>
      <w:proofErr w:type="spellStart"/>
      <w:r w:rsidR="00215AEE">
        <w:rPr>
          <w:rFonts w:ascii="Times New Roman" w:hAnsi="Times New Roman" w:cs="Times New Roman"/>
        </w:rPr>
        <w:t>postrema</w:t>
      </w:r>
      <w:proofErr w:type="spellEnd"/>
      <w:r w:rsidR="002F31A4">
        <w:rPr>
          <w:rFonts w:ascii="Times New Roman" w:hAnsi="Times New Roman" w:cs="Times New Roman"/>
        </w:rPr>
        <w:t xml:space="preserve"> of the</w:t>
      </w:r>
      <w:r w:rsidR="00DE698C">
        <w:rPr>
          <w:rFonts w:ascii="Times New Roman" w:hAnsi="Times New Roman" w:cs="Times New Roman"/>
        </w:rPr>
        <w:t xml:space="preserve"> brain. </w:t>
      </w:r>
      <w:r w:rsidR="005C68E9">
        <w:rPr>
          <w:rFonts w:ascii="Times New Roman" w:hAnsi="Times New Roman" w:cs="Times New Roman"/>
        </w:rPr>
        <w:t>The role of GFRAL in body weight and food intake has been just a</w:t>
      </w:r>
      <w:r w:rsidR="0008334B">
        <w:rPr>
          <w:rFonts w:ascii="Times New Roman" w:hAnsi="Times New Roman" w:cs="Times New Roman"/>
        </w:rPr>
        <w:t>s</w:t>
      </w:r>
      <w:r w:rsidR="005C68E9">
        <w:rPr>
          <w:rFonts w:ascii="Times New Roman" w:hAnsi="Times New Roman" w:cs="Times New Roman"/>
        </w:rPr>
        <w:t xml:space="preserve"> critical as </w:t>
      </w:r>
      <w:commentRangeStart w:id="15"/>
      <w:r w:rsidR="00DE698C">
        <w:rPr>
          <w:rFonts w:ascii="Times New Roman" w:hAnsi="Times New Roman" w:cs="Times New Roman"/>
        </w:rPr>
        <w:t>GDF15</w:t>
      </w:r>
      <w:commentRangeEnd w:id="15"/>
      <w:r w:rsidR="00DE698C">
        <w:rPr>
          <w:rStyle w:val="CommentReference"/>
        </w:rPr>
        <w:commentReference w:id="15"/>
      </w:r>
      <w:r w:rsidR="005C68E9">
        <w:rPr>
          <w:rFonts w:ascii="Times New Roman" w:hAnsi="Times New Roman" w:cs="Times New Roman"/>
        </w:rPr>
        <w:t xml:space="preserve">. </w:t>
      </w:r>
      <w:r w:rsidR="00DE698C">
        <w:rPr>
          <w:rFonts w:ascii="Times New Roman" w:hAnsi="Times New Roman" w:cs="Times New Roman"/>
        </w:rPr>
        <w:t>There is evidence of</w:t>
      </w:r>
      <w:r w:rsidR="005C68E9">
        <w:rPr>
          <w:rFonts w:ascii="Times New Roman" w:hAnsi="Times New Roman" w:cs="Times New Roman"/>
        </w:rPr>
        <w:t xml:space="preserve"> a positive association between GFRAL positive neurons and fat mass/body weight gain </w:t>
      </w:r>
      <w:r w:rsidR="005C68E9">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{"citationID":"v3rcAsUI","properties":{"formattedCitation":"(Tsai et al., 2019)","plainCitation":"(Tsai et al., 2019)","noteIndex":0},"citationItems":[{"id":466,"uris":["http://zotero.org/users/5073745/items/FA9CTGNI"],"itemData":{"id":466,"type":"article-journal","abstract":"Elevated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5C68E9">
        <w:rPr>
          <w:rFonts w:ascii="Times New Roman" w:hAnsi="Times New Roman" w:cs="Times New Roman"/>
          <w:noProof/>
        </w:rPr>
        <w:t>(Tsai et al., 2019)</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 xml:space="preserve">t produce consistent results on weight and </w:t>
      </w:r>
      <w:r w:rsidR="005C68E9" w:rsidRPr="002736DD">
        <w:rPr>
          <w:rFonts w:ascii="Times New Roman" w:hAnsi="Times New Roman" w:cs="Times New Roman"/>
        </w:rPr>
        <w:t>feeding</w:t>
      </w:r>
      <w:r w:rsidR="00DE698C">
        <w:rPr>
          <w:rFonts w:ascii="Times New Roman" w:hAnsi="Times New Roman" w:cs="Times New Roman"/>
        </w:rPr>
        <w:t xml:space="preserve"> behavior</w:t>
      </w:r>
      <w:r w:rsidR="005C68E9" w:rsidRPr="002736DD">
        <w:rPr>
          <w:rFonts w:ascii="Times New Roman" w:hAnsi="Times New Roman" w:cs="Times New Roman"/>
        </w:rPr>
        <w:t xml:space="preserve">. </w:t>
      </w:r>
      <w:r w:rsidR="000444DC" w:rsidRPr="002736DD">
        <w:rPr>
          <w:rFonts w:ascii="Times New Roman" w:hAnsi="Times New Roman" w:cs="Times New Roman"/>
        </w:rPr>
        <w:t xml:space="preserve">One model </w:t>
      </w:r>
      <w:r w:rsidR="005C68E9" w:rsidRPr="002736DD">
        <w:rPr>
          <w:rFonts w:ascii="Times New Roman" w:hAnsi="Times New Roman" w:cs="Times New Roman"/>
        </w:rPr>
        <w:t>showed</w:t>
      </w:r>
      <w:r w:rsidR="000444DC" w:rsidRPr="002736DD">
        <w:rPr>
          <w:rFonts w:ascii="Times New Roman" w:hAnsi="Times New Roman" w:cs="Times New Roman"/>
        </w:rPr>
        <w:t xml:space="preserve"> ablating GFRAL in mice resulted in </w:t>
      </w:r>
      <w:r w:rsidR="005C68E9" w:rsidRPr="002736DD">
        <w:rPr>
          <w:rFonts w:ascii="Times New Roman" w:hAnsi="Times New Roman" w:cs="Times New Roman"/>
        </w:rPr>
        <w:t xml:space="preserve">smaller mice at the beginning of the study that </w:t>
      </w:r>
      <w:r w:rsidR="00D9709E">
        <w:rPr>
          <w:rFonts w:ascii="Times New Roman" w:hAnsi="Times New Roman" w:cs="Times New Roman"/>
        </w:rPr>
        <w:t xml:space="preserve">then </w:t>
      </w:r>
      <w:r w:rsidR="005C68E9" w:rsidRPr="002736DD">
        <w:rPr>
          <w:rFonts w:ascii="Times New Roman" w:hAnsi="Times New Roman" w:cs="Times New Roman"/>
        </w:rPr>
        <w:t xml:space="preserve">developed </w:t>
      </w:r>
      <w:r w:rsidR="000444DC" w:rsidRPr="002736DD">
        <w:rPr>
          <w:rFonts w:ascii="Times New Roman" w:hAnsi="Times New Roman" w:cs="Times New Roman"/>
        </w:rPr>
        <w:t>increased food intake</w:t>
      </w:r>
      <w:r w:rsidR="005C68E9" w:rsidRPr="002736DD">
        <w:rPr>
          <w:rFonts w:ascii="Times New Roman" w:hAnsi="Times New Roman" w:cs="Times New Roman"/>
        </w:rPr>
        <w:t xml:space="preserve"> and weight gain from eating a hyperpalatable diet </w:t>
      </w:r>
      <w:r w:rsidR="000444DC" w:rsidRPr="002736DD">
        <w:rPr>
          <w:rFonts w:ascii="Times New Roman" w:hAnsi="Times New Roman" w:cs="Times New Roman"/>
        </w:rPr>
        <w:fldChar w:fldCharType="begin"/>
      </w:r>
      <w:r w:rsidR="00CF07BD" w:rsidRPr="002736DD">
        <w:rPr>
          <w:rFonts w:ascii="Times New Roman" w:hAnsi="Times New Roman" w:cs="Times New Roman"/>
        </w:rPr>
        <w:instrText xml:space="preserve"> ADDIN ZOTERO_ITEM CSL_CITATION {"citationID":"Hgw79xUE","properties":{"formattedCitation":"(Mullican et al., 2017)","plainCitation":"(Mullican et al., 2017)","noteIndex":0},"citationItems":[{"id":461,"uris":["http://zotero.org/users/5073745/items/4SK3Y76E"],"itemData":{"id":461,"type":"article-journal","container-title":"Nature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2736DD">
        <w:rPr>
          <w:rFonts w:ascii="Times New Roman" w:hAnsi="Times New Roman" w:cs="Times New Roman"/>
        </w:rPr>
        <w:fldChar w:fldCharType="separate"/>
      </w:r>
      <w:r w:rsidR="000444DC" w:rsidRPr="002736DD">
        <w:rPr>
          <w:rFonts w:ascii="Times New Roman" w:hAnsi="Times New Roman" w:cs="Times New Roman"/>
          <w:noProof/>
        </w:rPr>
        <w:t>(Mullican et al., 2017)</w:t>
      </w:r>
      <w:r w:rsidR="000444DC" w:rsidRPr="002736DD">
        <w:rPr>
          <w:rFonts w:ascii="Times New Roman" w:hAnsi="Times New Roman" w:cs="Times New Roman"/>
        </w:rPr>
        <w:fldChar w:fldCharType="end"/>
      </w:r>
      <w:r w:rsidR="005C68E9" w:rsidRPr="002736DD">
        <w:rPr>
          <w:rFonts w:ascii="Times New Roman" w:hAnsi="Times New Roman" w:cs="Times New Roman"/>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{"citationID":"9UMfCx5f","properties":{"formattedCitation":"(Yang et al., 2017)","plainCitation":"(Yang et al., 2017)","noteIndex":0},"citationItems":[{"id":599,"uris":["http://zotero.org/users/5073745/items/MG8ERW2R"],"itemData":{"id":599,"type":"article-journal","abstract":"GDF15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(Yang et al., 2017)</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18CD4E7C" w:rsidR="00991A2D" w:rsidRPr="00F0189F" w:rsidRDefault="00DE698C" w:rsidP="005C68E9">
      <w:pPr>
        <w:spacing w:line="360" w:lineRule="auto"/>
        <w:ind w:firstLine="720"/>
        <w:rPr>
          <w:rFonts w:ascii="Times New Roman" w:hAnsi="Times New Roman" w:cs="Times New Roman"/>
        </w:rPr>
      </w:pPr>
      <w:r>
        <w:rPr>
          <w:rFonts w:ascii="Times New Roman" w:hAnsi="Times New Roman" w:cs="Times New Roman"/>
        </w:rPr>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{"citationID":"HaqSzkBn","properties":{"formattedCitation":"(Hsu et al., 2017; Mullican et al., 2017; Yang et al., 2017)","plainCitation":"(Hsu et al., 2017; Mullican et al., 2017; Yang et al., 2017)","noteIndex":0},"citationItems":[{"id":230,"uris":["http://zotero.org/users/5073745/items/E4JB9GBK"],"itemData":{"id":230,"type":"article-journal","abstract":"Under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071C6A">
        <w:rPr>
          <w:rFonts w:ascii="Times New Roman" w:hAnsi="Times New Roman" w:cs="Times New Roman"/>
          <w:noProof/>
        </w:rPr>
        <w:t>(Hsu et al., 2017; Mullican et al., 2017; Yang et al., 2017)</w:t>
      </w:r>
      <w:r w:rsidR="00071C6A">
        <w:rPr>
          <w:rFonts w:ascii="Times New Roman" w:hAnsi="Times New Roman" w:cs="Times New Roman"/>
        </w:rPr>
        <w:fldChar w:fldCharType="end"/>
      </w:r>
      <w:r w:rsidR="00071C6A">
        <w:rPr>
          <w:rFonts w:ascii="Times New Roman" w:hAnsi="Times New Roman" w:cs="Times New Roman"/>
        </w:rPr>
        <w:t xml:space="preserve">. </w:t>
      </w:r>
      <w:del w:id="16" w:author="Dave Bridges" w:date="2024-01-15T13:00:00Z">
        <w:r w:rsidR="00071C6A" w:rsidDel="00FF6019">
          <w:rPr>
            <w:rFonts w:ascii="Times New Roman" w:hAnsi="Times New Roman" w:cs="Times New Roman"/>
          </w:rPr>
          <w:delText xml:space="preserve">It </w:delText>
        </w:r>
      </w:del>
      <w:ins w:id="17" w:author="Dave Bridges" w:date="2024-01-15T13:00:00Z">
        <w:r w:rsidR="00FF6019">
          <w:rPr>
            <w:rFonts w:ascii="Times New Roman" w:hAnsi="Times New Roman" w:cs="Times New Roman"/>
          </w:rPr>
          <w:t xml:space="preserve">GDF15 </w:t>
        </w:r>
        <w:proofErr w:type="spellStart"/>
        <w:r w:rsidR="00FF6019">
          <w:rPr>
            <w:rFonts w:ascii="Times New Roman" w:hAnsi="Times New Roman" w:cs="Times New Roman"/>
          </w:rPr>
          <w:t>elvations</w:t>
        </w:r>
        <w:proofErr w:type="spellEnd"/>
        <w:r w:rsidR="00FF6019">
          <w:rPr>
            <w:rFonts w:ascii="Times New Roman" w:hAnsi="Times New Roman" w:cs="Times New Roman"/>
          </w:rPr>
          <w:t xml:space="preserve"> </w:t>
        </w:r>
      </w:ins>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{"citationID":"mlgiDbMw","properties":{"formattedCitation":"(Borner et al., 2020)","plainCitation":"(Borner et al., 2020)","noteIndex":0},"citationItems":[{"id":467,"uris":["http://zotero.org/users/5073745/items/WDS35T9T"],"itemData":{"id":467,"type":"article-journal","abstract":"Growth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071C6A">
        <w:rPr>
          <w:rFonts w:ascii="Times New Roman" w:hAnsi="Times New Roman" w:cs="Times New Roman"/>
          <w:noProof/>
        </w:rPr>
        <w:t>(Borner et al., 2020)</w:t>
      </w:r>
      <w:r w:rsidR="00071C6A">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{"citationID":"Kg2s5Rhw","properties":{"formattedCitation":"(Frikke-Schmidt et al., 2019)","plainCitation":"(Frikke-Schmidt et al., 2019)","noteIndex":0},"citationItems":[{"id":487,"uris":["http://zotero.org/users/5073745/items/5MMFNCAZ"],"itemData":{"id":487,"type":"article-journal","abstract":"OBJECTIVE: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(Frikke-Schmidt et al., 2019)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lastRenderedPageBreak/>
        <w:fldChar w:fldCharType="begin"/>
      </w:r>
      <w:r w:rsidR="00CF07BD">
        <w:rPr>
          <w:rFonts w:ascii="Times New Roman" w:hAnsi="Times New Roman" w:cs="Times New Roman"/>
        </w:rPr>
        <w:instrText xml:space="preserve"> ADDIN ZOTERO_ITEM CSL_CITATION {"citationID":"VG13M1MS","properties":{"formattedCitation":"(Emmerson et al., 2017)","plainCitation":"(Emmerson et al., 2017)","noteIndex":0},"citationItems":[{"id":600,"uris":["http://zotero.org/users/5073745/items/EKAXV8ZH"],"itemData":{"id":600,"type":"article-journal","abstract":"GDF15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(Emmerson et al., 2017)</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6E601D6"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5153B8">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{"citationID":"kUjf6dXh","properties":{"formattedCitation":"(Moore et al., 2000)","plainCitation":"(Moore et al., 2000)","noteIndex":0},"citationItems":[{"id":476,"uris":["http://zotero.org/users/5073745/items/DGJGZZR7"],"itemData":{"id":476,"type":"article-journal","abstract":"Macrophage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proofErr w:type="gramStart"/>
      <w:r w:rsidR="000D36C6" w:rsidRPr="003F141D">
        <w:rPr>
          <w:rFonts w:ascii="Times New Roman" w:hAnsi="Times New Roman" w:cs="Times New Roman"/>
        </w:rPr>
        <w:t>in  pregnancy</w:t>
      </w:r>
      <w:proofErr w:type="gramEnd"/>
      <w:r w:rsidR="000D36C6" w:rsidRPr="003F141D">
        <w:rPr>
          <w:rFonts w:ascii="Times New Roman" w:hAnsi="Times New Roman" w:cs="Times New Roman"/>
        </w:rPr>
        <w:t xml:space="preserve">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{"citationID":"IdpR7dfm","properties":{"formattedCitation":"(Tong et al., 2004)","plainCitation":"(Tong et al., 2004)","noteIndex":0},"citationItems":[{"id":465,"uris":["http://zotero.org/users/5073745/items/S8YA3E3X"],"itemData":{"id":465,"type":"article-journal","abstract":"Macrophage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r w:rsidR="00F01693">
        <w:rPr>
          <w:rFonts w:ascii="Times New Roman" w:hAnsi="Times New Roman" w:cs="Times New Roman"/>
        </w:rPr>
        <w:t xml:space="preserve">with </w:t>
      </w:r>
      <w:r w:rsidR="00B92807">
        <w:rPr>
          <w:rFonts w:ascii="Times New Roman" w:hAnsi="Times New Roman" w:cs="Times New Roman"/>
        </w:rPr>
        <w:t>elevat</w:t>
      </w:r>
      <w:r w:rsidR="00F01693">
        <w:rPr>
          <w:rFonts w:ascii="Times New Roman" w:hAnsi="Times New Roman" w:cs="Times New Roman"/>
        </w:rPr>
        <w:t>ed levels</w:t>
      </w:r>
      <w:r w:rsidR="00AB2246">
        <w:rPr>
          <w:rFonts w:ascii="Times New Roman" w:hAnsi="Times New Roman" w:cs="Times New Roman"/>
        </w:rPr>
        <w:t xml:space="preserve"> negatively associated with cumulative gestational weight gain </w:t>
      </w:r>
      <w:r w:rsidR="00AB2246">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{"citationID":"qR3HRkMK","properties":{"formattedCitation":"(P. Wang et al., 2020)","plainCitation":"(P. Wang et al., 2020)","noteIndex":0},"citationItems":[{"id":441,"uris":["http://zotero.org/users/5073745/items/9VI47QZ9"],"itemData":{"id":441,"type":"article-journal","abstract":"Objectives\nBased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r w:rsidR="00B92807">
        <w:rPr>
          <w:rFonts w:ascii="Times New Roman" w:hAnsi="Times New Roman" w:cs="Times New Roman"/>
        </w:rPr>
        <w:t xml:space="preserve">. </w:t>
      </w:r>
      <w:proofErr w:type="spellStart"/>
      <w:r w:rsidR="00592757">
        <w:rPr>
          <w:rFonts w:ascii="Times New Roman" w:hAnsi="Times New Roman" w:cs="Times New Roman"/>
        </w:rPr>
        <w:t>Petry</w:t>
      </w:r>
      <w:proofErr w:type="spellEnd"/>
      <w:r w:rsidR="00592757">
        <w:rPr>
          <w:rFonts w:ascii="Times New Roman" w:hAnsi="Times New Roman" w:cs="Times New Roman"/>
        </w:rPr>
        <w:t xml:space="preserve"> and colleagues found pre-pregnancy BMI was inversely related to GDF15 levels during pregnancy </w:t>
      </w:r>
      <w:r w:rsidR="00592757">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{"citationID":"8WHaG287","properties":{"formattedCitation":"(Petry et al., 2018)","plainCitation":"(Petry et al., 2018)","noteIndex":0},"citationItems":[{"id":464,"uris":["http://zotero.org/users/5073745/items/4M9LNJ5A"],"itemData":{"id":464,"type":"article-journal","abstract":"Background: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C456F4">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{"citationID":"asCyigVk","properties":{"formattedCitation":"(Chen et al., 2016)","plainCitation":"(Chen et al., 2016)","noteIndex":0},"citationItems":[{"id":472,"uris":["http://zotero.org/users/5073745/items/ZAWNVL9J"],"itemData":{"id":472,"type":"article-journal","abstract":"Background: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{"citationID":"jCye46Ql","properties":{"formattedCitation":"(Marjono et al., 2003)","plainCitation":"(Marjono et al., 2003)","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{"citationID":"ljedIe4J","properties":{"formattedCitation":"(Yakut et al., 2021)","plainCitation":"(Yakut et al., 2021)","noteIndex":0},"citationItems":[{"id":480,"uris":["http://zotero.org/users/5073745/items/DITELI98"],"itemData":{"id":480,"type":"article-journal","abstract":"Objective\nGrowth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{"citationID":"t4jWlLmQ","properties":{"formattedCitation":"(Sugulle et al., 2009)","plainCitation":"(Sugulle et al., 2009)","noteIndex":0},"citationItems":[{"id":442,"uris":["http://zotero.org/users/5073745/items/7H36LHYK"],"itemData":{"id":442,"type":"article-journal","container-title":"Hypertension","DOI":"10.1161/HYPERTENSIONAHA.109.130583","ISSN":"0194-911X,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w:t>
      </w:r>
      <w:r w:rsidR="009531B6">
        <w:rPr>
          <w:rFonts w:ascii="Times New Roman" w:hAnsi="Times New Roman" w:cs="Times New Roman"/>
        </w:rPr>
        <w:t>type 2 diabetes (</w:t>
      </w:r>
      <w:r w:rsidR="00B92807">
        <w:rPr>
          <w:rFonts w:ascii="Times New Roman" w:hAnsi="Times New Roman" w:cs="Times New Roman"/>
        </w:rPr>
        <w:t>T2DM</w:t>
      </w:r>
      <w:r w:rsidR="009531B6">
        <w:rPr>
          <w:rFonts w:ascii="Times New Roman" w:hAnsi="Times New Roman" w:cs="Times New Roman"/>
        </w:rPr>
        <w:t>)</w:t>
      </w:r>
      <w:r w:rsidR="00B92807">
        <w:rPr>
          <w:rFonts w:ascii="Times New Roman" w:hAnsi="Times New Roman" w:cs="Times New Roman"/>
        </w:rPr>
        <w:t xml:space="preserve"> or GDM</w:t>
      </w:r>
      <w:r w:rsidR="007F3588">
        <w:rPr>
          <w:rFonts w:ascii="Times New Roman" w:hAnsi="Times New Roman" w:cs="Times New Roman"/>
        </w:rPr>
        <w:t xml:space="preserve"> </w:t>
      </w:r>
      <w:r w:rsidR="00C4175E">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{"citationID":"Syd3pgzo","properties":{"formattedCitation":"(Jacobsen et al., 2022)","plainCitation":"(Jacobsen et al., 2022)","noteIndex":0},"citationItems":[{"id":478,"uris":["http://zotero.org/users/5073745/items/CHLIH6VP"],"itemData":{"id":478,"type":"article-journal","abstract":"Cardiovascular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commentRangeStart w:id="18"/>
      <w:r w:rsidR="0015746A">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{"citationID":"BOsiCtMt","properties":{"formattedCitation":"(Fejzo et al., 2018, 2019)","plainCitation":"(Fejzo et al., 2018, 2019)","noteIndex":0},"citationItems":[{"id":23,"uris":["http://zotero.org/users/5073745/items/NQPGPKKE"],"itemData":{"id":23,"type":"article-journal","abstract":"Hyperemesis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commentRangeEnd w:id="18"/>
      <w:r w:rsidR="00FF6019">
        <w:rPr>
          <w:rStyle w:val="CommentReference"/>
        </w:rPr>
        <w:commentReference w:id="18"/>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74CEECAD" w:rsidR="00283B15" w:rsidRPr="00303552" w:rsidRDefault="00283B15" w:rsidP="003B0707">
      <w:pPr>
        <w:pStyle w:val="Heading2"/>
      </w:pPr>
      <w:r w:rsidRPr="00303552">
        <w:t xml:space="preserve"> Animal Husbandry </w:t>
      </w:r>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9531B6">
      <w:pPr>
        <w:pStyle w:val="Heading3"/>
      </w:pPr>
      <w:r w:rsidRPr="009531B6">
        <w:t>Insulin resistance of pregnancy study</w:t>
      </w:r>
    </w:p>
    <w:p w14:paraId="4EB9E037" w14:textId="0ABFD831"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del w:id="19" w:author="Dave Bridges" w:date="2024-01-15T13:05:00Z">
        <w:r w:rsidR="00677804" w:rsidDel="00FF6019">
          <w:rPr>
            <w:rFonts w:ascii="Times New Roman" w:hAnsi="Times New Roman" w:cs="Times New Roman"/>
          </w:rPr>
          <w:delText xml:space="preserve"> </w:delText>
        </w:r>
      </w:del>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0116FF">
      <w:pPr>
        <w:pStyle w:val="Heading3"/>
      </w:pPr>
      <w:r>
        <w:t>G</w:t>
      </w:r>
      <w:r w:rsidR="00AD3B22">
        <w:t>DF</w:t>
      </w:r>
      <w:r>
        <w:t>15 study</w:t>
      </w:r>
    </w:p>
    <w:p w14:paraId="7E9520E1" w14:textId="464EA71A" w:rsidR="009C63CC" w:rsidRDefault="000116FF" w:rsidP="009C63CC">
      <w:pPr>
        <w:spacing w:line="36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ins w:id="20" w:author="Dave Bridges" w:date="2024-01-15T13:06:00Z">
        <w:r w:rsidR="00FF6019">
          <w:rPr>
            <w:rFonts w:ascii="Times New Roman" w:hAnsi="Times New Roman" w:cs="Times New Roman"/>
          </w:rPr>
          <w:t xml:space="preserve">were previously described </w:t>
        </w:r>
      </w:ins>
      <w:del w:id="21" w:author="Dave Bridges" w:date="2024-01-15T13:06:00Z">
        <w:r w:rsidR="000D7AD6" w:rsidDel="00FF6019">
          <w:rPr>
            <w:rFonts w:ascii="Times New Roman" w:hAnsi="Times New Roman" w:cs="Times New Roman"/>
          </w:rPr>
          <w:delText>are</w:delText>
        </w:r>
        <w:r w:rsidR="000D7AD6" w:rsidRPr="00303552" w:rsidDel="00FF6019">
          <w:rPr>
            <w:rFonts w:ascii="Times New Roman" w:hAnsi="Times New Roman" w:cs="Times New Roman"/>
          </w:rPr>
          <w:delText xml:space="preserve"> </w:delText>
        </w:r>
        <w:r w:rsidDel="00FF6019">
          <w:rPr>
            <w:rFonts w:ascii="Times New Roman" w:hAnsi="Times New Roman" w:cs="Times New Roman"/>
          </w:rPr>
          <w:delText xml:space="preserve">described in </w:delText>
        </w:r>
        <w:r w:rsidR="0093576C" w:rsidDel="00FF6019">
          <w:rPr>
            <w:rFonts w:ascii="Times New Roman" w:hAnsi="Times New Roman" w:cs="Times New Roman"/>
          </w:rPr>
          <w:delText xml:space="preserve">by </w:delText>
        </w:r>
      </w:del>
      <w:del w:id="22" w:author="Dave Bridges" w:date="2024-01-15T13:05:00Z">
        <w:r w:rsidR="0093576C" w:rsidDel="00FF6019">
          <w:rPr>
            <w:rFonts w:ascii="Times New Roman" w:hAnsi="Times New Roman" w:cs="Times New Roman"/>
          </w:rPr>
          <w:delText>Frolle</w:delText>
        </w:r>
      </w:del>
      <w:del w:id="23" w:author="Dave Bridges" w:date="2024-01-15T13:06:00Z">
        <w:r w:rsidR="0093576C" w:rsidDel="00FF6019">
          <w:rPr>
            <w:rFonts w:ascii="Times New Roman" w:hAnsi="Times New Roman" w:cs="Times New Roman"/>
          </w:rPr>
          <w:delText xml:space="preserve">-Schmidt and colleagues </w:delText>
        </w:r>
      </w:del>
      <w:r>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{"citationID":"xUy8dm8Y","properties":{"formattedCitation":"(Frikke-Schmidt et al., 2019)","plainCitation":"(Frikke-Schmidt et al., 2019)","noteIndex":0},"citationItems":[{"id":487,"uris":["http://zotero.org/users/5073745/items/5MMFNCAZ"],"itemData":{"id":487,"type":"article-journal","abstract":"OBJECTIVE: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fetus provides a substantial amount of</w:t>
      </w:r>
      <w:r w:rsidR="003D3D25">
        <w:rPr>
          <w:rFonts w:ascii="Times New Roman" w:hAnsi="Times New Roman" w:cs="Times New Roman"/>
        </w:rPr>
        <w:t xml:space="preserve"> GDF15 from</w:t>
      </w:r>
      <w:r w:rsidR="009C63CC">
        <w:rPr>
          <w:rFonts w:ascii="Times New Roman" w:hAnsi="Times New Roman" w:cs="Times New Roman"/>
        </w:rPr>
        <w:t xml:space="preserve"> the placenta.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n=8</w:t>
      </w:r>
      <w:del w:id="24" w:author="Dave Bridges" w:date="2024-01-15T13:06:00Z">
        <w:r w:rsidR="009C63CC" w:rsidDel="00FF6019">
          <w:rPr>
            <w:rFonts w:ascii="Times New Roman" w:hAnsi="Times New Roman" w:cs="Times New Roman"/>
            <w:vertAlign w:val="superscript"/>
          </w:rPr>
          <w:delText xml:space="preserve"> </w:delText>
        </w:r>
      </w:del>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w:t>
      </w:r>
      <w:r w:rsidR="009C63CC" w:rsidRPr="00303552">
        <w:rPr>
          <w:rFonts w:ascii="Times New Roman" w:hAnsi="Times New Roman" w:cs="Times New Roman"/>
        </w:rPr>
        <w:lastRenderedPageBreak/>
        <w:t xml:space="preserve">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7A54215D" w:rsidR="00436287" w:rsidRPr="009C63CC" w:rsidRDefault="00436287" w:rsidP="00373916">
      <w:pPr>
        <w:spacing w:line="36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 xml:space="preserve">10 </w:t>
      </w:r>
      <w:proofErr w:type="spellStart"/>
      <w:r w:rsidR="00004DE4" w:rsidRPr="00777A3D">
        <w:rPr>
          <w:rFonts w:ascii="Times New Roman" w:eastAsia="Times New Roman" w:hAnsi="Times New Roman" w:cs="Times New Roman"/>
          <w:color w:val="000000" w:themeColor="text1"/>
          <w:shd w:val="clear" w:color="auto" w:fill="FFFFFF"/>
        </w:rPr>
        <w:t>mM</w:t>
      </w:r>
      <w:proofErr w:type="spellEnd"/>
      <w:r w:rsidR="00004DE4" w:rsidRPr="00777A3D">
        <w:rPr>
          <w:rFonts w:ascii="Times New Roman" w:eastAsia="Times New Roman" w:hAnsi="Times New Roman" w:cs="Times New Roman"/>
          <w:color w:val="000000" w:themeColor="text1"/>
          <w:shd w:val="clear" w:color="auto" w:fill="FFFFFF"/>
        </w:rPr>
        <w:t xml:space="preserve">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 xml:space="preserve">8.0, 150 </w:t>
      </w:r>
      <w:proofErr w:type="spellStart"/>
      <w:r w:rsidR="00004DE4" w:rsidRPr="00777A3D">
        <w:rPr>
          <w:rFonts w:ascii="Times New Roman" w:eastAsia="Times New Roman" w:hAnsi="Times New Roman" w:cs="Times New Roman"/>
          <w:color w:val="000000" w:themeColor="text1"/>
          <w:shd w:val="clear" w:color="auto" w:fill="FFFFFF"/>
        </w:rPr>
        <w:t>mM</w:t>
      </w:r>
      <w:proofErr w:type="spellEnd"/>
      <w:r w:rsidR="00004DE4" w:rsidRPr="00777A3D">
        <w:rPr>
          <w:rFonts w:ascii="Times New Roman" w:eastAsia="Times New Roman" w:hAnsi="Times New Roman" w:cs="Times New Roman"/>
          <w:color w:val="000000" w:themeColor="text1"/>
          <w:shd w:val="clear" w:color="auto" w:fill="FFFFFF"/>
        </w:rPr>
        <w:t xml:space="preserve"> </w:t>
      </w:r>
      <w:proofErr w:type="spellStart"/>
      <w:r w:rsidR="00004DE4" w:rsidRPr="00777A3D">
        <w:rPr>
          <w:rFonts w:ascii="Times New Roman" w:eastAsia="Times New Roman" w:hAnsi="Times New Roman" w:cs="Times New Roman"/>
          <w:color w:val="000000" w:themeColor="text1"/>
          <w:shd w:val="clear" w:color="auto" w:fill="FFFFFF"/>
        </w:rPr>
        <w:t>NaCl</w:t>
      </w:r>
      <w:proofErr w:type="spellEnd"/>
      <w:r w:rsidR="00004DE4" w:rsidRPr="00777A3D">
        <w:rPr>
          <w:rFonts w:ascii="Times New Roman" w:eastAsia="Times New Roman" w:hAnsi="Times New Roman" w:cs="Times New Roman"/>
          <w:color w:val="000000" w:themeColor="text1"/>
          <w:shd w:val="clear" w:color="auto" w:fill="FFFFFF"/>
        </w:rPr>
        <w:t xml:space="preserve">, 10 </w:t>
      </w:r>
      <w:proofErr w:type="spellStart"/>
      <w:r w:rsidR="00004DE4" w:rsidRPr="00777A3D">
        <w:rPr>
          <w:rFonts w:ascii="Times New Roman" w:eastAsia="Times New Roman" w:hAnsi="Times New Roman" w:cs="Times New Roman"/>
          <w:color w:val="000000" w:themeColor="text1"/>
          <w:shd w:val="clear" w:color="auto" w:fill="FFFFFF"/>
        </w:rPr>
        <w:t>mM</w:t>
      </w:r>
      <w:proofErr w:type="spellEnd"/>
      <w:r w:rsidR="00004DE4" w:rsidRPr="00777A3D">
        <w:rPr>
          <w:rFonts w:ascii="Times New Roman" w:eastAsia="Times New Roman" w:hAnsi="Times New Roman" w:cs="Times New Roman"/>
          <w:color w:val="000000" w:themeColor="text1"/>
          <w:shd w:val="clear" w:color="auto" w:fill="FFFFFF"/>
        </w:rPr>
        <w:t xml:space="preserve">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0E0B55">
      <w:pPr>
        <w:spacing w:line="360" w:lineRule="auto"/>
        <w:rPr>
          <w:rFonts w:ascii="Times New Roman" w:hAnsi="Times New Roman" w:cs="Times New Roman"/>
        </w:rPr>
      </w:pPr>
    </w:p>
    <w:p w14:paraId="1C6103A5" w14:textId="641E7A6A" w:rsidR="00E973AF" w:rsidRDefault="0001059A" w:rsidP="005B1698">
      <w:pPr>
        <w:pStyle w:val="Heading2"/>
      </w:pPr>
      <w:r>
        <w:t>Insulin tolerance test</w:t>
      </w:r>
      <w:r w:rsidR="000E0B55">
        <w:t>s</w:t>
      </w:r>
    </w:p>
    <w:p w14:paraId="71709A0D" w14:textId="7A54BC62"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{"citationID":"u5ukMVdn","properties":{"formattedCitation":"(Bridges et al., 2022)","plainCitation":"(Bridges et al., 2022)","noteIndex":0},"citationItems":[{"id":486,"uris":["http://zotero.org/users/5073745/items/GWKFWWRY"],"itemData":{"id":486,"type":"webpage","abstract":"Insulin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EC23D1">
      <w:pPr>
        <w:spacing w:line="36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 xml:space="preserve">and whole blood was </w:t>
      </w:r>
      <w:r w:rsidR="009B3F1D">
        <w:rPr>
          <w:rFonts w:ascii="Times New Roman" w:eastAsia="Times New Roman" w:hAnsi="Times New Roman" w:cs="Times New Roman"/>
        </w:rPr>
        <w:lastRenderedPageBreak/>
        <w:t>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EC23D1">
      <w:pPr>
        <w:spacing w:line="360" w:lineRule="auto"/>
        <w:rPr>
          <w:rFonts w:ascii="Times New Roman" w:eastAsia="Times New Roman" w:hAnsi="Times New Roman" w:cs="Times New Roman"/>
        </w:rPr>
      </w:pPr>
      <w:r>
        <w:rPr>
          <w:rFonts w:ascii="Times New Roman" w:hAnsi="Times New Roman" w:cs="Times New Roman"/>
        </w:rPr>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r w:rsidR="000E0B55">
        <w:t xml:space="preserve"> Assessments</w:t>
      </w:r>
    </w:p>
    <w:p w14:paraId="6124BF62" w14:textId="33EDA4D1" w:rsidR="00004DE4" w:rsidRDefault="0087718F" w:rsidP="00004DE4">
      <w:pPr>
        <w:spacing w:line="36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1349082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{"citationID":"Pgj7tJbO","properties":{"formattedCitation":"(Boston et al., 2001; El Habbal et al., 2021)","plainCitation":"(Boston et al., 2001; El Habbal et al., 2021)","noteIndex":0},"citationItems":[{"id":417,"uris":["http://zotero.org/users/5073745/items/X6KF8W8Y"],"itemData":{"id":417,"type":"article-journal","abstract":"Lactose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598,"uris":["http://zotero.org/users/5073745/items/QB76SJAF"],"itemData":{"id":598,"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EE68A6">
        <w:rPr>
          <w:rFonts w:ascii="Times New Roman" w:hAnsi="Times New Roman" w:cs="Times New Roman"/>
          <w:noProof/>
        </w:rPr>
        <w:t>(Boston et al., 2001; El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lastRenderedPageBreak/>
        <w:t>Milk collection</w:t>
      </w:r>
    </w:p>
    <w:p w14:paraId="45D5E4A4" w14:textId="086D253C"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B0707">
      <w:pPr>
        <w:pStyle w:val="Heading2"/>
      </w:pPr>
      <w:r w:rsidRPr="00303552">
        <w:t>Milk fat percentage determination</w:t>
      </w:r>
      <w:ins w:id="25" w:author="Dave Bridges" w:date="2024-01-15T13:06:00Z">
        <w:r w:rsidR="00FF6019">
          <w:t>s</w:t>
        </w:r>
      </w:ins>
    </w:p>
    <w:p w14:paraId="64E3AEAB" w14:textId="60CBB0A8"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by pipetting. Capillary tubes were filled with the diluted milk solution and one end was double-sealed with </w:t>
      </w:r>
      <w:proofErr w:type="spellStart"/>
      <w:r w:rsidRPr="00303552">
        <w:rPr>
          <w:rFonts w:ascii="Times New Roman" w:hAnsi="Times New Roman" w:cs="Times New Roman"/>
        </w:rPr>
        <w:t>crit</w:t>
      </w:r>
      <w:proofErr w:type="spellEnd"/>
      <w:r w:rsidRPr="00303552">
        <w:rPr>
          <w:rFonts w:ascii="Times New Roman" w:hAnsi="Times New Roman" w:cs="Times New Roman"/>
        </w:rPr>
        <w: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7ADB1FB2"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CF07BD">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CF07BD">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w:t>
      </w:r>
      <w:proofErr w:type="spellStart"/>
      <w:r w:rsidR="002513AE">
        <w:rPr>
          <w:rFonts w:ascii="Times New Roman" w:eastAsia="Times New Roman" w:hAnsi="Times New Roman" w:cs="Times New Roman"/>
        </w:rPr>
        <w:t>Levene’s</w:t>
      </w:r>
      <w:proofErr w:type="spellEnd"/>
      <w:r w:rsidR="002513AE">
        <w:rPr>
          <w:rFonts w:ascii="Times New Roman" w:eastAsia="Times New Roman" w:hAnsi="Times New Roman" w:cs="Times New Roman"/>
        </w:rPr>
        <w:t xml:space="preserve">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lastRenderedPageBreak/>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1D01C7A1" w:rsidR="00E15F79"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 xml:space="preserve">Inconsistent </w:t>
      </w:r>
      <w:r w:rsidR="009A04F2">
        <w:rPr>
          <w:rFonts w:ascii="Times New Roman" w:hAnsi="Times New Roman" w:cs="Times New Roman"/>
        </w:rPr>
        <w:t>with</w:t>
      </w:r>
      <w:r w:rsidR="006C5A65">
        <w:rPr>
          <w:rFonts w:ascii="Times New Roman" w:hAnsi="Times New Roman" w:cs="Times New Roman"/>
        </w:rPr>
        <w:t xml:space="preserve">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 xml:space="preserve">differences in their fasting blood glucose </w:t>
      </w:r>
      <w:commentRangeStart w:id="26"/>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commentRangeEnd w:id="26"/>
      <w:r w:rsidR="004E5E1F" w:rsidRPr="004E5E1F">
        <w:rPr>
          <w:rStyle w:val="CommentReference"/>
        </w:rPr>
        <w:commentReference w:id="26"/>
      </w:r>
      <w:r w:rsidR="00846921">
        <w:rPr>
          <w:rFonts w:ascii="Times New Roman" w:hAnsi="Times New Roman" w:cs="Times New Roman"/>
        </w:rPr>
        <w:t>).</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w:t>
      </w:r>
      <w:proofErr w:type="spellStart"/>
      <w:r w:rsidR="00801A6F">
        <w:rPr>
          <w:rFonts w:ascii="Times New Roman" w:hAnsi="Times New Roman" w:cs="Times New Roman"/>
        </w:rPr>
        <w:t>dL</w:t>
      </w:r>
      <w:proofErr w:type="spellEnd"/>
      <w:r w:rsidR="00801A6F">
        <w:rPr>
          <w:rFonts w:ascii="Times New Roman" w:hAnsi="Times New Roman" w:cs="Times New Roman"/>
        </w:rPr>
        <w:t>)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29C99FD4" w:rsidR="006666C1" w:rsidRDefault="009F0AD1" w:rsidP="00B039A5">
      <w:pPr>
        <w:spacing w:line="360" w:lineRule="auto"/>
        <w:ind w:firstLine="720"/>
        <w:rPr>
          <w:rFonts w:ascii="Times New Roman" w:hAnsi="Times New Roman" w:cs="Times New Roman"/>
        </w:rPr>
      </w:pPr>
      <w:r>
        <w:rPr>
          <w:rFonts w:ascii="Times New Roman" w:hAnsi="Times New Roman" w:cs="Times New Roman"/>
        </w:rPr>
        <w:t xml:space="preserve">To enhance </w:t>
      </w:r>
      <w:commentRangeStart w:id="27"/>
      <w:r>
        <w:rPr>
          <w:rFonts w:ascii="Times New Roman" w:hAnsi="Times New Roman" w:cs="Times New Roman"/>
        </w:rPr>
        <w:t>insulin resistance in pregnancy</w:t>
      </w:r>
      <w:commentRangeEnd w:id="27"/>
      <w:r w:rsidR="003F40A1">
        <w:rPr>
          <w:rStyle w:val="CommentReference"/>
        </w:rPr>
        <w:commentReference w:id="27"/>
      </w:r>
      <w:r>
        <w:rPr>
          <w:rFonts w:ascii="Times New Roman" w:hAnsi="Times New Roman" w:cs="Times New Roman"/>
        </w:rPr>
        <w:t xml:space="preserve">,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w:t>
      </w:r>
      <w:r w:rsidR="004527CA">
        <w:rPr>
          <w:rFonts w:ascii="Times New Roman" w:hAnsi="Times New Roman" w:cs="Times New Roman"/>
        </w:rPr>
        <w:lastRenderedPageBreak/>
        <w:t>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440A9F9E"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proofErr w:type="gramStart"/>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w:t>
      </w:r>
      <w:proofErr w:type="gramEnd"/>
      <w:r w:rsidR="005A57BB" w:rsidRPr="005A57BB">
        <w:rPr>
          <w:rFonts w:ascii="Times New Roman" w:hAnsi="Times New Roman" w:cs="Times New Roman"/>
        </w:rPr>
        <w:t xml:space="preserve"> </w:t>
      </w:r>
      <w:r w:rsidR="001E21E6">
        <w:rPr>
          <w:rFonts w:ascii="Times New Roman" w:hAnsi="Times New Roman" w:cs="Times New Roman"/>
        </w:rPr>
        <w:t xml:space="preserve">consumed similar cumulative </w:t>
      </w:r>
      <w:del w:id="28" w:author="Dave Bridges" w:date="2024-01-15T13:07:00Z">
        <w:r w:rsidR="001E21E6" w:rsidDel="00646192">
          <w:rPr>
            <w:rFonts w:ascii="Times New Roman" w:hAnsi="Times New Roman" w:cs="Times New Roman"/>
          </w:rPr>
          <w:delText xml:space="preserve">kilocalories </w:delText>
        </w:r>
      </w:del>
      <w:ins w:id="29" w:author="Dave Bridges" w:date="2024-01-15T13:07:00Z">
        <w:r w:rsidR="00646192">
          <w:rPr>
            <w:rFonts w:ascii="Times New Roman" w:hAnsi="Times New Roman" w:cs="Times New Roman"/>
          </w:rPr>
          <w:t>calories</w:t>
        </w:r>
        <w:r w:rsidR="00646192">
          <w:rPr>
            <w:rFonts w:ascii="Times New Roman" w:hAnsi="Times New Roman" w:cs="Times New Roman"/>
          </w:rPr>
          <w:t xml:space="preserve"> </w:t>
        </w:r>
      </w:ins>
      <w:r w:rsidR="001E21E6">
        <w:rPr>
          <w:rFonts w:ascii="Times New Roman" w:hAnsi="Times New Roman" w:cs="Times New Roman"/>
        </w:rPr>
        <w:t>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3DE2E5E0"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del w:id="30" w:author="Dave Bridges" w:date="2024-01-15T13:08:00Z">
        <w:r w:rsidR="0027193E" w:rsidDel="00646192">
          <w:rPr>
            <w:rFonts w:ascii="Times New Roman" w:hAnsi="Times New Roman" w:cs="Times New Roman"/>
          </w:rPr>
          <w:delText xml:space="preserve">it </w:delText>
        </w:r>
      </w:del>
      <w:ins w:id="31" w:author="Dave Bridges" w:date="2024-01-15T13:08:00Z">
        <w:r w:rsidR="00646192">
          <w:rPr>
            <w:rFonts w:ascii="Times New Roman" w:hAnsi="Times New Roman" w:cs="Times New Roman"/>
          </w:rPr>
          <w:t xml:space="preserve">this </w:t>
        </w:r>
        <w:proofErr w:type="spellStart"/>
        <w:r w:rsidR="00646192">
          <w:rPr>
            <w:rFonts w:ascii="Times New Roman" w:hAnsi="Times New Roman" w:cs="Times New Roman"/>
          </w:rPr>
          <w:t>didi</w:t>
        </w:r>
        <w:proofErr w:type="spellEnd"/>
        <w:r w:rsidR="00646192">
          <w:rPr>
            <w:rFonts w:ascii="Times New Roman" w:hAnsi="Times New Roman" w:cs="Times New Roman"/>
          </w:rPr>
          <w:t xml:space="preserve"> not reach</w:t>
        </w:r>
        <w:r w:rsidR="00646192">
          <w:rPr>
            <w:rFonts w:ascii="Times New Roman" w:hAnsi="Times New Roman" w:cs="Times New Roman"/>
          </w:rPr>
          <w:t xml:space="preserve"> </w:t>
        </w:r>
      </w:ins>
      <w:del w:id="32" w:author="Dave Bridges" w:date="2024-01-15T13:08:00Z">
        <w:r w:rsidR="002219CC" w:rsidDel="00646192">
          <w:rPr>
            <w:rFonts w:ascii="Times New Roman" w:hAnsi="Times New Roman" w:cs="Times New Roman"/>
          </w:rPr>
          <w:delText>was not</w:delText>
        </w:r>
        <w:r w:rsidR="0030401E" w:rsidDel="00646192">
          <w:rPr>
            <w:rFonts w:ascii="Times New Roman" w:hAnsi="Times New Roman" w:cs="Times New Roman"/>
          </w:rPr>
          <w:delText xml:space="preserve"> significan</w:delText>
        </w:r>
        <w:r w:rsidR="002219CC" w:rsidDel="00646192">
          <w:rPr>
            <w:rFonts w:ascii="Times New Roman" w:hAnsi="Times New Roman" w:cs="Times New Roman"/>
          </w:rPr>
          <w:delText>t</w:delText>
        </w:r>
      </w:del>
      <w:ins w:id="33" w:author="Dave Bridges" w:date="2024-01-15T13:08:00Z">
        <w:r w:rsidR="00646192">
          <w:rPr>
            <w:rFonts w:ascii="Times New Roman" w:hAnsi="Times New Roman" w:cs="Times New Roman"/>
          </w:rPr>
          <w:t>statistical significance</w:t>
        </w:r>
      </w:ins>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del w:id="34" w:author="Dave Bridges" w:date="2024-01-15T13:08:00Z">
        <w:r w:rsidR="00C15EE4" w:rsidDel="00646192">
          <w:rPr>
            <w:rFonts w:ascii="Times New Roman" w:hAnsi="Times New Roman" w:cs="Times New Roman"/>
          </w:rPr>
          <w:delText>a</w:delText>
        </w:r>
        <w:r w:rsidR="00E14631" w:rsidDel="00646192">
          <w:rPr>
            <w:rFonts w:ascii="Times New Roman" w:hAnsi="Times New Roman" w:cs="Times New Roman"/>
          </w:rPr>
          <w:delText xml:space="preserve">ffect </w:delText>
        </w:r>
      </w:del>
      <w:ins w:id="35" w:author="Dave Bridges" w:date="2024-01-15T13:08:00Z">
        <w:r w:rsidR="00646192">
          <w:rPr>
            <w:rFonts w:ascii="Times New Roman" w:hAnsi="Times New Roman" w:cs="Times New Roman"/>
          </w:rPr>
          <w:t>alter</w:t>
        </w:r>
        <w:r w:rsidR="00646192">
          <w:rPr>
            <w:rFonts w:ascii="Times New Roman" w:hAnsi="Times New Roman" w:cs="Times New Roman"/>
          </w:rPr>
          <w:t xml:space="preserve"> </w:t>
        </w:r>
      </w:ins>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74C99427"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w:t>
      </w:r>
      <w:del w:id="36" w:author="Dave Bridges" w:date="2024-01-15T13:08:00Z">
        <w:r w:rsidR="0063731D" w:rsidDel="00646192">
          <w:rPr>
            <w:rFonts w:ascii="Times New Roman" w:hAnsi="Times New Roman" w:cs="Times New Roman"/>
            <w:i/>
            <w:iCs/>
            <w:vertAlign w:val="superscript"/>
          </w:rPr>
          <w:delText xml:space="preserve"> </w:delText>
        </w:r>
      </w:del>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 xml:space="preserve">Figure </w:t>
      </w:r>
      <w:r w:rsidR="00A62304" w:rsidRPr="00A62304">
        <w:rPr>
          <w:rFonts w:ascii="Times New Roman" w:hAnsi="Times New Roman" w:cs="Times New Roman"/>
          <w:b/>
          <w:bCs/>
        </w:rPr>
        <w:lastRenderedPageBreak/>
        <w:t>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521C51E5"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127086">
        <w:rPr>
          <w:rFonts w:ascii="Times New Roman" w:hAnsi="Times New Roman" w:cs="Times New Roman"/>
        </w:rPr>
        <w:instrText xml:space="preserve"> ADDIN ZOTERO_ITEM CSL_CITATION {"citationID":"yzNBMu2L","properties":{"formattedCitation":"(Boston et al., 2001)","plainCitation":"(Boston et al., 2001)","noteIndex":0},"citationItems":[{"id":417,"uris":["http://zotero.org/users/5073745/items/X6KF8W8Y"],"itemData":{"id":417,"type":"article-journal","abstract":"Lactose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127086" w:rsidRPr="00127086">
        <w:rPr>
          <w:rFonts w:ascii="Times New Roman" w:hAnsi="Times New Roman" w:cs="Times New Roman"/>
        </w:rPr>
        <w:t>(Boston et al., 2001)</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del w:id="37" w:author="Dave Bridges" w:date="2024-01-15T13:08:00Z">
        <w:r w:rsidDel="00646192">
          <w:rPr>
            <w:rFonts w:ascii="Times New Roman" w:hAnsi="Times New Roman" w:cs="Times New Roman"/>
            <w:i/>
            <w:iCs/>
            <w:vertAlign w:val="superscript"/>
          </w:rPr>
          <w:delText xml:space="preserve"> </w:delText>
        </w:r>
      </w:del>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4DED443F"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4D72F45" w14:textId="5271713B" w:rsidR="00110674" w:rsidRPr="00CB2486" w:rsidRDefault="00667E7E" w:rsidP="00CB2486">
      <w:pPr>
        <w:pStyle w:val="Heading1"/>
        <w:rPr>
          <w:rFonts w:cs="Times New Roman"/>
        </w:rPr>
      </w:pPr>
      <w:r w:rsidRPr="00303552">
        <w:rPr>
          <w:rFonts w:cs="Times New Roman"/>
        </w:rPr>
        <w:t>Discussion</w:t>
      </w:r>
    </w:p>
    <w:p w14:paraId="32580CFF" w14:textId="77777777" w:rsidR="00C93A4D" w:rsidRDefault="00C93A4D" w:rsidP="00330D79">
      <w:pPr>
        <w:spacing w:line="360" w:lineRule="auto"/>
        <w:rPr>
          <w:rFonts w:ascii="Times New Roman" w:hAnsi="Times New Roman" w:cs="Times New Roman"/>
        </w:rPr>
      </w:pPr>
    </w:p>
    <w:p w14:paraId="1D23D766" w14:textId="4956D78F"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lastRenderedPageBreak/>
        <w:t xml:space="preserve">GDF15 </w:t>
      </w:r>
      <w:r w:rsidR="00D144CA">
        <w:rPr>
          <w:rFonts w:ascii="Times New Roman" w:hAnsi="Times New Roman" w:cs="Times New Roman"/>
        </w:rPr>
        <w:t xml:space="preserve">has recently been </w:t>
      </w:r>
      <w:del w:id="38" w:author="Dave Bridges" w:date="2024-01-15T13:08:00Z">
        <w:r w:rsidR="00D144CA" w:rsidDel="00646192">
          <w:rPr>
            <w:rFonts w:ascii="Times New Roman" w:hAnsi="Times New Roman" w:cs="Times New Roman"/>
          </w:rPr>
          <w:delText xml:space="preserve">tied </w:delText>
        </w:r>
      </w:del>
      <w:ins w:id="39" w:author="Dave Bridges" w:date="2024-01-15T13:08:00Z">
        <w:r w:rsidR="00646192">
          <w:rPr>
            <w:rFonts w:ascii="Times New Roman" w:hAnsi="Times New Roman" w:cs="Times New Roman"/>
          </w:rPr>
          <w:t>linked</w:t>
        </w:r>
        <w:r w:rsidR="00646192">
          <w:rPr>
            <w:rFonts w:ascii="Times New Roman" w:hAnsi="Times New Roman" w:cs="Times New Roman"/>
          </w:rPr>
          <w:t xml:space="preserve"> </w:t>
        </w:r>
      </w:ins>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w:t>
      </w:r>
      <w:del w:id="40" w:author="Dave Bridges" w:date="2024-01-15T13:09:00Z">
        <w:r w:rsidR="00FE0C9F" w:rsidDel="00646192">
          <w:rPr>
            <w:rFonts w:ascii="Times New Roman" w:hAnsi="Times New Roman" w:cs="Times New Roman"/>
          </w:rPr>
          <w:delText xml:space="preserve">better understood </w:delText>
        </w:r>
      </w:del>
      <w:r w:rsidR="00FE0C9F">
        <w:rPr>
          <w:rFonts w:ascii="Times New Roman" w:hAnsi="Times New Roman" w:cs="Times New Roman"/>
        </w:rPr>
        <w:t xml:space="preserve">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ins w:id="41" w:author="Dave Bridges" w:date="2024-01-15T13:09:00Z">
        <w:r w:rsidR="00646192">
          <w:rPr>
            <w:rFonts w:ascii="Times New Roman" w:hAnsi="Times New Roman" w:cs="Times New Roman"/>
          </w:rPr>
          <w:t>P</w:t>
        </w:r>
      </w:ins>
      <w:del w:id="42" w:author="Dave Bridges" w:date="2024-01-15T13:09:00Z">
        <w:r w:rsidR="00FE0C9F" w:rsidDel="00646192">
          <w:rPr>
            <w:rFonts w:ascii="Times New Roman" w:hAnsi="Times New Roman" w:cs="Times New Roman"/>
          </w:rPr>
          <w:delText>In fact, p</w:delText>
        </w:r>
      </w:del>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w:t>
      </w:r>
      <w:del w:id="43" w:author="Dave Bridges" w:date="2024-01-15T13:09:00Z">
        <w:r w:rsidR="005C11D2" w:rsidDel="00646192">
          <w:rPr>
            <w:rFonts w:ascii="Times New Roman" w:hAnsi="Times New Roman" w:cs="Times New Roman"/>
          </w:rPr>
          <w:delText xml:space="preserve"> </w:delText>
        </w:r>
      </w:del>
      <w:r w:rsidR="005C11D2">
        <w:rPr>
          <w:rFonts w:ascii="Times New Roman" w:hAnsi="Times New Roman" w:cs="Times New Roman"/>
        </w:rPr>
        <w:t xml:space="preserve"> in 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{"citationID":"e9t3jF16","properties":{"formattedCitation":"(Andersson-Hall et al., 2021)","plainCitation":"(Andersson-Hall et al., 2021)","noteIndex":0},"citationItems":[{"id":436,"uris":["http://zotero.org/users/5073745/items/D7NVPGRH"],"itemData":{"id":436,"type":"article-journal","abstract":"Objective/Aim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{"citationID":"J1mzk2Bq","properties":{"formattedCitation":"(P. Wang et al., 2020)","plainCitation":"(P. Wang et al., 2020)","noteIndex":0},"citationItems":[{"id":441,"uris":["http://zotero.org/users/5073745/items/9VI47QZ9"],"itemData":{"id":441,"type":"article-journal","abstract":"Objectives\nBased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t>
      </w:r>
      <w:commentRangeStart w:id="44"/>
      <w:r w:rsidR="005C11D2">
        <w:rPr>
          <w:rFonts w:ascii="Times New Roman" w:hAnsi="Times New Roman" w:cs="Times New Roman"/>
        </w:rPr>
        <w:t>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3F62BE">
        <w:rPr>
          <w:rFonts w:ascii="Times New Roman" w:hAnsi="Times New Roman" w:cs="Times New Roman"/>
        </w:rPr>
        <w:t xml:space="preserve">mouse </w:t>
      </w:r>
      <w:r w:rsidR="0034537A">
        <w:rPr>
          <w:rFonts w:ascii="Times New Roman" w:hAnsi="Times New Roman" w:cs="Times New Roman"/>
        </w:rPr>
        <w:t xml:space="preserve">models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with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{"citationID":"abwxrZw9","properties":{"formattedCitation":"(Binder et al., 2016)","plainCitation":"(Binder et al., 2016)","noteIndex":0},"citationItems":[{"id":456,"uris":["http://zotero.org/users/5073745/items/MW9GMYQZ"],"itemData":{"id":456,"type":"article-journal","abstract":"Transgenic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0475E" w:rsidRPr="00E42C05">
        <w:rPr>
          <w:rFonts w:ascii="Times New Roman" w:hAnsi="Times New Roman" w:cs="Times New Roman"/>
          <w:noProof/>
        </w:rPr>
        <w:t>(Binder et al., 2016)</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commentRangeStart w:id="45"/>
      <w:r w:rsidR="00882A87">
        <w:rPr>
          <w:rFonts w:ascii="Times New Roman" w:hAnsi="Times New Roman" w:cs="Times New Roman"/>
        </w:rPr>
        <w:t>The unexpected lack of</w:t>
      </w:r>
      <w:del w:id="46" w:author="Dave Bridges" w:date="2024-01-15T13:10:00Z">
        <w:r w:rsidR="00882A87" w:rsidDel="00646192">
          <w:rPr>
            <w:rFonts w:ascii="Times New Roman" w:hAnsi="Times New Roman" w:cs="Times New Roman"/>
          </w:rPr>
          <w:delText xml:space="preserve"> relationship</w:delText>
        </w:r>
      </w:del>
      <w:ins w:id="47" w:author="Dave Bridges" w:date="2024-01-15T13:10:00Z">
        <w:r w:rsidR="00646192">
          <w:rPr>
            <w:rFonts w:ascii="Times New Roman" w:hAnsi="Times New Roman" w:cs="Times New Roman"/>
          </w:rPr>
          <w:t xml:space="preserve"> evidence that loss of</w:t>
        </w:r>
      </w:ins>
      <w:del w:id="48" w:author="Dave Bridges" w:date="2024-01-15T13:10:00Z">
        <w:r w:rsidR="00882A87" w:rsidDel="00646192">
          <w:rPr>
            <w:rFonts w:ascii="Times New Roman" w:hAnsi="Times New Roman" w:cs="Times New Roman"/>
          </w:rPr>
          <w:delText xml:space="preserve"> between </w:delText>
        </w:r>
      </w:del>
      <w:ins w:id="49" w:author="Dave Bridges" w:date="2024-01-15T13:10:00Z">
        <w:r w:rsidR="00646192">
          <w:rPr>
            <w:rFonts w:ascii="Times New Roman" w:hAnsi="Times New Roman" w:cs="Times New Roman"/>
          </w:rPr>
          <w:t xml:space="preserve"> </w:t>
        </w:r>
      </w:ins>
      <w:r w:rsidR="00882A87">
        <w:rPr>
          <w:rFonts w:ascii="Times New Roman" w:hAnsi="Times New Roman" w:cs="Times New Roman"/>
        </w:rPr>
        <w:t xml:space="preserve">GDF15 </w:t>
      </w:r>
      <w:del w:id="50" w:author="Dave Bridges" w:date="2024-01-15T13:10:00Z">
        <w:r w:rsidR="00882A87" w:rsidDel="00646192">
          <w:rPr>
            <w:rFonts w:ascii="Times New Roman" w:hAnsi="Times New Roman" w:cs="Times New Roman"/>
          </w:rPr>
          <w:delText xml:space="preserve">and </w:delText>
        </w:r>
      </w:del>
      <w:ins w:id="51" w:author="Dave Bridges" w:date="2024-01-15T13:10:00Z">
        <w:r w:rsidR="00646192">
          <w:rPr>
            <w:rFonts w:ascii="Times New Roman" w:hAnsi="Times New Roman" w:cs="Times New Roman"/>
          </w:rPr>
          <w:t>is related to</w:t>
        </w:r>
        <w:r w:rsidR="00646192">
          <w:rPr>
            <w:rFonts w:ascii="Times New Roman" w:hAnsi="Times New Roman" w:cs="Times New Roman"/>
          </w:rPr>
          <w:t xml:space="preserve"> </w:t>
        </w:r>
      </w:ins>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commentRangeStart w:id="52"/>
      <w:r w:rsidR="00882A87">
        <w:rPr>
          <w:rFonts w:ascii="Times New Roman" w:hAnsi="Times New Roman" w:cs="Times New Roman"/>
        </w:rPr>
        <w:fldChar w:fldCharType="begin"/>
      </w:r>
      <w:r w:rsidR="00882A87">
        <w:rPr>
          <w:rFonts w:ascii="Times New Roman" w:hAnsi="Times New Roman" w:cs="Times New Roman"/>
        </w:rPr>
        <w:instrText xml:space="preserve"> ADDIN ZOTERO_ITEM CSL_CITATION {"citationID":"ZazM2VaR","properties":{"formattedCitation":"(B\\uc0\\u246{}ttner et al., 1999)","plainCitation":"(Böttner et al., 1999)","noteIndex":0},"citationItems":[{"id":1945,"uris":["http://zotero.org/users/5073745/items/J7TYZZGI"],"itemData":{"id":1945,"type":"article-journal","abstract":"We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882A87" w:rsidRPr="004E5E1F">
        <w:rPr>
          <w:rFonts w:ascii="Times New Roman" w:hAnsi="Times New Roman" w:cs="Times New Roman"/>
        </w:rPr>
        <w:t>(Böttner et al., 1999)</w:t>
      </w:r>
      <w:r w:rsidR="00882A87">
        <w:rPr>
          <w:rFonts w:ascii="Times New Roman" w:hAnsi="Times New Roman" w:cs="Times New Roman"/>
        </w:rPr>
        <w:fldChar w:fldCharType="end"/>
      </w:r>
      <w:r w:rsidR="00882A87">
        <w:rPr>
          <w:rFonts w:ascii="Times New Roman" w:hAnsi="Times New Roman" w:cs="Times New Roman"/>
        </w:rPr>
        <w:t xml:space="preserve">. It would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882A87">
        <w:rPr>
          <w:rFonts w:ascii="Times New Roman" w:hAnsi="Times New Roman" w:cs="Times New Roman"/>
        </w:rPr>
        <w:instrText xml:space="preserve"> ADDIN ZOTERO_ITEM CSL_CITATION {"citationID":"1g14njlO","properties":{"formattedCitation":"(Binder et al., 2016)","plainCitation":"(Binder et al., 2016)","noteIndex":0},"citationItems":[{"id":456,"uris":["http://zotero.org/users/5073745/items/MW9GMYQZ"],"itemData":{"id":456,"type":"article-journal","abstract":"Transgenic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882A87" w:rsidRPr="005153B8">
        <w:rPr>
          <w:rFonts w:ascii="Times New Roman" w:hAnsi="Times New Roman" w:cs="Times New Roman"/>
        </w:rPr>
        <w:t>(Binder et al., 2016)</w:t>
      </w:r>
      <w:r w:rsidR="00882A87">
        <w:rPr>
          <w:rFonts w:ascii="Times New Roman" w:hAnsi="Times New Roman" w:cs="Times New Roman"/>
        </w:rPr>
        <w:fldChar w:fldCharType="end"/>
      </w:r>
      <w:r w:rsidR="00882A87">
        <w:rPr>
          <w:rFonts w:ascii="Times New Roman" w:hAnsi="Times New Roman" w:cs="Times New Roman"/>
        </w:rPr>
        <w:t>.</w:t>
      </w:r>
      <w:commentRangeEnd w:id="52"/>
      <w:r w:rsidR="00882A87">
        <w:rPr>
          <w:rStyle w:val="CommentReference"/>
        </w:rPr>
        <w:commentReference w:id="52"/>
      </w:r>
      <w:r w:rsidR="00882A87">
        <w:rPr>
          <w:rFonts w:ascii="Times New Roman" w:hAnsi="Times New Roman" w:cs="Times New Roman"/>
        </w:rPr>
        <w:t xml:space="preserve"> </w:t>
      </w:r>
      <w:commentRangeEnd w:id="45"/>
      <w:r w:rsidR="00646192">
        <w:rPr>
          <w:rStyle w:val="CommentReference"/>
        </w:rPr>
        <w:commentReference w:id="45"/>
      </w:r>
      <w:r w:rsidR="003F62BE" w:rsidRPr="00E42C05">
        <w:rPr>
          <w:rFonts w:ascii="Times New Roman" w:hAnsi="Times New Roman" w:cs="Times New Roman"/>
        </w:rPr>
        <w:t xml:space="preserve">Previous </w:t>
      </w:r>
      <w:commentRangeEnd w:id="44"/>
      <w:r w:rsidR="004174FF">
        <w:rPr>
          <w:rStyle w:val="CommentReference"/>
        </w:rPr>
        <w:commentReference w:id="44"/>
      </w:r>
      <w:r w:rsidR="003F62BE" w:rsidRPr="00E42C05">
        <w:rPr>
          <w:rFonts w:ascii="Times New Roman" w:hAnsi="Times New Roman" w:cs="Times New Roman"/>
        </w:rPr>
        <w:t xml:space="preserve">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3F62BE" w:rsidRPr="00E42C05">
        <w:rPr>
          <w:rFonts w:ascii="Times New Roman" w:hAnsi="Times New Roman" w:cs="Times New Roman"/>
          <w:noProof/>
        </w:rPr>
        <w:t>(Mullican et al., 2017; Patel et al., 2019)</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commentRangeStart w:id="53"/>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commentRangeEnd w:id="53"/>
      <w:r w:rsidR="00BE6434">
        <w:rPr>
          <w:rStyle w:val="CommentReference"/>
        </w:rPr>
        <w:commentReference w:id="53"/>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w:t>
      </w:r>
      <w:r w:rsidR="00CF07BD">
        <w:rPr>
          <w:rFonts w:ascii="Times New Roman" w:hAnsi="Times New Roman" w:cs="Times New Roman"/>
        </w:rPr>
        <w:lastRenderedPageBreak/>
        <w:t>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{"citationID":"Gj5u3jBl","properties":{"formattedCitation":"(Klein et al., 2023)","plainCitation":"(Klein et al., 2023)","noteIndex":0},"citationItems":[{"id":1943,"uris":["http://zotero.org/users/5073745/items/EP7ZQSR9"],"itemData":{"id":1943,"type":"article-journal","abstract":"Download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CF07BD" w:rsidRPr="00CF07BD">
        <w:rPr>
          <w:rFonts w:ascii="Times New Roman" w:hAnsi="Times New Roman" w:cs="Times New Roman"/>
        </w:rPr>
        <w:t>(Klein et al., 2023)</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9A0BD3">
      <w:pPr>
        <w:spacing w:line="36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369B703F" w:rsidR="00AB67D8" w:rsidRDefault="003F62BE" w:rsidP="00962AD9">
      <w:pPr>
        <w:spacing w:line="36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{"citationID":"Uq8azzWo","properties":{"formattedCitation":"(Schmidt et al., 2015)","plainCitation":"(Schmidt et al., 2015)","noteIndex":0},"citationItems":[{"id":602,"uris":["http://zotero.org/users/5073745/items/L4RSGINP"],"itemData":{"id":602,"type":"article-journal","container-title":"Journal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70010" w:rsidRPr="00CB2486">
        <w:rPr>
          <w:rFonts w:ascii="Times New Roman" w:hAnsi="Times New Roman" w:cs="Times New Roman"/>
          <w:noProof/>
        </w:rPr>
        <w:t>(Schmidt et al., 2015)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commentRangeStart w:id="54"/>
      <w:commentRangeStart w:id="55"/>
      <w:r w:rsidR="00E97581" w:rsidRPr="00CB2486">
        <w:rPr>
          <w:rFonts w:ascii="Times New Roman" w:hAnsi="Times New Roman" w:cs="Times New Roman"/>
        </w:rPr>
        <w:t xml:space="preserve">For example, </w:t>
      </w:r>
      <w:r w:rsidR="00F2698C" w:rsidRPr="00CB2486">
        <w:rPr>
          <w:rFonts w:ascii="Times New Roman" w:hAnsi="Times New Roman" w:cs="Times New Roman"/>
        </w:rPr>
        <w:t>v</w:t>
      </w:r>
      <w:r w:rsidR="00E97581" w:rsidRPr="00CB2486">
        <w:rPr>
          <w:rFonts w:ascii="Times New Roman" w:hAnsi="Times New Roman" w:cs="Times New Roman"/>
        </w:rPr>
        <w:t>ia a reverse power analysis, we</w:t>
      </w:r>
      <w:r w:rsidR="00AC51BD" w:rsidRPr="00CB2486">
        <w:rPr>
          <w:rFonts w:ascii="Times New Roman" w:hAnsi="Times New Roman" w:cs="Times New Roman"/>
        </w:rPr>
        <w:t xml:space="preserve"> cannot rule out an effect </w:t>
      </w:r>
      <w:r w:rsidR="00F07EE9">
        <w:rPr>
          <w:rFonts w:ascii="Times New Roman" w:hAnsi="Times New Roman" w:cs="Times New Roman"/>
        </w:rPr>
        <w:t xml:space="preserve">size smaller than </w:t>
      </w:r>
      <w:r w:rsidR="000828A2">
        <w:rPr>
          <w:rFonts w:ascii="Times New Roman" w:hAnsi="Times New Roman" w:cs="Times New Roman"/>
        </w:rPr>
        <w:t>3.4</w:t>
      </w:r>
      <w:del w:id="56" w:author="Dave Bridges" w:date="2024-01-15T13:12:00Z">
        <w:r w:rsidR="000828A2" w:rsidDel="00646192">
          <w:rPr>
            <w:rFonts w:ascii="Times New Roman" w:hAnsi="Times New Roman" w:cs="Times New Roman"/>
          </w:rPr>
          <w:delText>1</w:delText>
        </w:r>
      </w:del>
      <w:r w:rsidR="000828A2">
        <w:rPr>
          <w:rFonts w:ascii="Times New Roman" w:hAnsi="Times New Roman" w:cs="Times New Roman"/>
        </w:rPr>
        <w:t xml:space="preserve"> grams of </w:t>
      </w:r>
      <w:r w:rsidR="00DF08F8">
        <w:rPr>
          <w:rFonts w:ascii="Times New Roman" w:hAnsi="Times New Roman" w:cs="Times New Roman"/>
        </w:rPr>
        <w:t>body weight gain</w:t>
      </w:r>
      <w:r w:rsidR="00890485" w:rsidRPr="00CB2486">
        <w:rPr>
          <w:rFonts w:ascii="Times New Roman" w:hAnsi="Times New Roman" w:cs="Times New Roman"/>
        </w:rPr>
        <w:t xml:space="preserve"> during pregnancy</w:t>
      </w:r>
      <w:r w:rsidR="00E97581" w:rsidRPr="00CB2486">
        <w:rPr>
          <w:rFonts w:ascii="Times New Roman" w:hAnsi="Times New Roman" w:cs="Times New Roman"/>
        </w:rPr>
        <w:t xml:space="preserve"> </w:t>
      </w:r>
      <w:r w:rsidR="00DF08F8">
        <w:rPr>
          <w:rFonts w:ascii="Times New Roman" w:hAnsi="Times New Roman" w:cs="Times New Roman"/>
        </w:rPr>
        <w:t xml:space="preserve">between </w:t>
      </w:r>
      <w:r w:rsidR="004544A7">
        <w:rPr>
          <w:rFonts w:ascii="Times New Roman" w:hAnsi="Times New Roman" w:cs="Times New Roman"/>
        </w:rPr>
        <w:t>genotypes</w:t>
      </w:r>
      <w:r w:rsidR="00F07EE9">
        <w:rPr>
          <w:rFonts w:ascii="Times New Roman" w:hAnsi="Times New Roman" w:cs="Times New Roman"/>
        </w:rPr>
        <w:t>,</w:t>
      </w:r>
      <w:r w:rsidR="00DF08F8">
        <w:rPr>
          <w:rFonts w:ascii="Times New Roman" w:hAnsi="Times New Roman" w:cs="Times New Roman"/>
        </w:rPr>
        <w:t xml:space="preserve"> </w:t>
      </w:r>
      <w:r w:rsidR="00645688">
        <w:rPr>
          <w:rFonts w:ascii="Times New Roman" w:hAnsi="Times New Roman" w:cs="Times New Roman"/>
        </w:rPr>
        <w:t>which could still be a</w:t>
      </w:r>
      <w:r w:rsidR="00E97581" w:rsidRPr="00CB2486">
        <w:rPr>
          <w:rFonts w:ascii="Times New Roman" w:hAnsi="Times New Roman" w:cs="Times New Roman"/>
        </w:rPr>
        <w:t xml:space="preserve"> physiologically significant</w:t>
      </w:r>
      <w:r w:rsidR="00645688">
        <w:rPr>
          <w:rFonts w:ascii="Times New Roman" w:hAnsi="Times New Roman" w:cs="Times New Roman"/>
        </w:rPr>
        <w:t xml:space="preserve"> amount of weight</w:t>
      </w:r>
      <w:r w:rsidR="00AC51BD" w:rsidRPr="00CB2486">
        <w:rPr>
          <w:rFonts w:ascii="Times New Roman" w:hAnsi="Times New Roman" w:cs="Times New Roman"/>
        </w:rPr>
        <w:t xml:space="preserve">. </w:t>
      </w:r>
      <w:commentRangeEnd w:id="54"/>
      <w:r w:rsidR="00062E9C">
        <w:rPr>
          <w:rStyle w:val="CommentReference"/>
        </w:rPr>
        <w:commentReference w:id="54"/>
      </w:r>
      <w:commentRangeEnd w:id="55"/>
      <w:ins w:id="57" w:author="Dave Bridges" w:date="2024-01-15T13:12:00Z">
        <w:r w:rsidR="00FC327E">
          <w:rPr>
            <w:rFonts w:ascii="Times New Roman" w:hAnsi="Times New Roman" w:cs="Times New Roman"/>
          </w:rPr>
          <w:t xml:space="preserve">It is also possible that compensatory </w:t>
        </w:r>
      </w:ins>
      <w:ins w:id="58" w:author="Dave Bridges" w:date="2024-01-15T13:13:00Z">
        <w:r w:rsidR="00FC327E">
          <w:rPr>
            <w:rFonts w:ascii="Times New Roman" w:hAnsi="Times New Roman" w:cs="Times New Roman"/>
          </w:rPr>
          <w:t>adaptations, such as other feeding hormones occur alongside with life-long loss of GDF15.</w:t>
        </w:r>
      </w:ins>
      <w:ins w:id="59" w:author="Dave Bridges" w:date="2024-01-15T13:12:00Z">
        <w:r w:rsidR="00FC327E">
          <w:rPr>
            <w:rFonts w:ascii="Times New Roman" w:hAnsi="Times New Roman" w:cs="Times New Roman"/>
          </w:rPr>
          <w:t xml:space="preserve"> </w:t>
        </w:r>
      </w:ins>
      <w:r w:rsidR="00646192">
        <w:rPr>
          <w:rStyle w:val="CommentReference"/>
        </w:rPr>
        <w:commentReference w:id="55"/>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0EE15874"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t>
      </w:r>
      <w:r>
        <w:rPr>
          <w:rFonts w:ascii="Times New Roman" w:hAnsi="Times New Roman" w:cs="Times New Roman"/>
        </w:rPr>
        <w:lastRenderedPageBreak/>
        <w:t xml:space="preserve">were derived from heterozygous crosses to limit genetic drift. </w:t>
      </w:r>
      <w:r w:rsidR="006C49A8">
        <w:rPr>
          <w:rFonts w:ascii="Times New Roman" w:hAnsi="Times New Roman" w:cs="Times New Roman"/>
        </w:rPr>
        <w:t xml:space="preserve">In contrast to human observational studies demonstrating connections to pregnancy complications, we do not observe any detectable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in </w:t>
      </w:r>
      <w:r w:rsidR="002A5CBE">
        <w:rPr>
          <w:rFonts w:ascii="Times New Roman" w:hAnsi="Times New Roman" w:cs="Times New Roman"/>
        </w:rPr>
        <w:t xml:space="preserve">pregnancy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w:t>
      </w:r>
      <w:commentRangeStart w:id="60"/>
      <w:commentRangeStart w:id="61"/>
      <w:r>
        <w:rPr>
          <w:rFonts w:ascii="Times New Roman" w:hAnsi="Times New Roman" w:cs="Times New Roman"/>
        </w:rPr>
        <w:t xml:space="preserve">offspring </w:t>
      </w:r>
      <w:r w:rsidR="00645688">
        <w:rPr>
          <w:rFonts w:ascii="Times New Roman" w:hAnsi="Times New Roman" w:cs="Times New Roman"/>
        </w:rPr>
        <w:t>health</w:t>
      </w:r>
      <w:r>
        <w:rPr>
          <w:rFonts w:ascii="Times New Roman" w:hAnsi="Times New Roman" w:cs="Times New Roman"/>
        </w:rPr>
        <w:t xml:space="preserve">.  </w:t>
      </w:r>
      <w:commentRangeEnd w:id="60"/>
      <w:r w:rsidR="00062E9C">
        <w:rPr>
          <w:rStyle w:val="CommentReference"/>
        </w:rPr>
        <w:commentReference w:id="60"/>
      </w:r>
      <w:commentRangeEnd w:id="61"/>
      <w:r w:rsidR="00FC327E">
        <w:rPr>
          <w:rStyle w:val="CommentReference"/>
        </w:rPr>
        <w:commentReference w:id="61"/>
      </w:r>
    </w:p>
    <w:p w14:paraId="641A1936" w14:textId="77777777" w:rsidR="00B40172" w:rsidRDefault="00B40172" w:rsidP="00B40172">
      <w:pPr>
        <w:pStyle w:val="Heading1"/>
        <w:rPr>
          <w:rFonts w:cs="Times New Roman"/>
        </w:rPr>
      </w:pPr>
      <w:r w:rsidRPr="00303552">
        <w:rPr>
          <w:rFonts w:cs="Times New Roman"/>
        </w:rPr>
        <w:t>Conclusion</w:t>
      </w:r>
    </w:p>
    <w:p w14:paraId="58460B7A" w14:textId="33EB2BC5"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61D23743" w:rsidR="00F15E14" w:rsidRPr="003C0FFC" w:rsidRDefault="00F15E14" w:rsidP="003C0FFC">
      <w:pPr>
        <w:pStyle w:val="Heading2"/>
      </w:pPr>
      <w:r w:rsidRPr="003C0FFC">
        <w:t xml:space="preserve">Figure 1: </w:t>
      </w:r>
      <w:r w:rsidR="00AD5136">
        <w:t xml:space="preserve">Schematic of Experimental Manipulations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0901C28B" w:rsidR="00F15E14" w:rsidRPr="003C0FFC" w:rsidRDefault="00F15E14" w:rsidP="003C0FFC">
      <w:pPr>
        <w:pStyle w:val="Heading2"/>
      </w:pPr>
      <w:r w:rsidRPr="003C0FFC">
        <w:t xml:space="preserve">Figure 2: </w:t>
      </w:r>
      <w:r w:rsidR="00AF292A">
        <w:t>Insulin Resistance of Pregnancy Co-occurs with Elevations in GDF15</w:t>
      </w:r>
    </w:p>
    <w:p w14:paraId="19AB02C2" w14:textId="62C576C9"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sidR="00B85798">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sidR="00AD5136">
        <w:rPr>
          <w:rFonts w:ascii="Times New Roman" w:hAnsi="Times New Roman" w:cs="Times New Roman"/>
        </w:rPr>
        <w:t xml:space="preserve">) GDF15 levels at ZT1 in pregnant and non-pregnant females, </w:t>
      </w:r>
      <w:r w:rsidRPr="003C0FFC">
        <w:rPr>
          <w:rFonts w:ascii="Times New Roman" w:hAnsi="Times New Roman" w:cs="Times New Roman"/>
        </w:rPr>
        <w:t>assessed</w:t>
      </w:r>
      <w:r w:rsidR="00AD5136" w:rsidRPr="003C0FFC">
        <w:rPr>
          <w:rFonts w:ascii="Times New Roman" w:hAnsi="Times New Roman" w:cs="Times New Roman"/>
        </w:rPr>
        <w:t xml:space="preserve"> as paired t tests</w:t>
      </w:r>
      <w:r w:rsidRPr="003C0FFC">
        <w:rPr>
          <w:rFonts w:ascii="Times New Roman" w:hAnsi="Times New Roman" w:cs="Times New Roman"/>
        </w:rPr>
        <w: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15 ELISA evaluating serum levels at ZT1 and ZT13 in pregnant dams given plain drinking water, pregnant dams given dexamethasone in drinking water,</w:t>
      </w:r>
      <w:r w:rsidR="00AD5136">
        <w:rPr>
          <w:rFonts w:ascii="Times New Roman" w:hAnsi="Times New Roman" w:cs="Times New Roman"/>
        </w:rPr>
        <w:t xml:space="preserve"> a</w:t>
      </w:r>
      <w:r w:rsidR="00A13E14" w:rsidRPr="003C0FFC">
        <w:rPr>
          <w:rFonts w:ascii="Times New Roman" w:hAnsi="Times New Roman" w:cs="Times New Roman"/>
        </w:rPr>
        <w:t>ssessed as paired t tests.</w:t>
      </w:r>
      <w:r w:rsidR="00B85798">
        <w:rPr>
          <w:rFonts w:ascii="Times New Roman" w:hAnsi="Times New Roman" w:cs="Times New Roman"/>
        </w:rPr>
        <w:t xml:space="preserve"> * indicates p&lt;0.05</w:t>
      </w:r>
      <w:r w:rsidR="00A13E14" w:rsidRPr="003C0FFC">
        <w:rPr>
          <w:rFonts w:ascii="Times New Roman" w:hAnsi="Times New Roman" w:cs="Times New Roman"/>
        </w:rPr>
        <w:t xml:space="preserve"> </w:t>
      </w:r>
    </w:p>
    <w:p w14:paraId="08D9FE2C" w14:textId="77777777" w:rsidR="00A13E14" w:rsidRPr="003C0FFC" w:rsidRDefault="00A13E14" w:rsidP="00F15E14">
      <w:pPr>
        <w:rPr>
          <w:rFonts w:ascii="Times New Roman" w:hAnsi="Times New Roman" w:cs="Times New Roman"/>
        </w:rPr>
      </w:pPr>
    </w:p>
    <w:p w14:paraId="295BDDBC" w14:textId="5C6626EC" w:rsidR="00A13E14" w:rsidRPr="003C0FFC" w:rsidRDefault="00A13E14" w:rsidP="003C0FFC">
      <w:pPr>
        <w:pStyle w:val="Heading2"/>
      </w:pPr>
      <w:r w:rsidRPr="003C0FFC">
        <w:t xml:space="preserve">Figure </w:t>
      </w:r>
      <w:proofErr w:type="gramStart"/>
      <w:r w:rsidRPr="003C0FFC">
        <w:t>3:</w:t>
      </w:r>
      <w:r w:rsidR="00AD5136">
        <w:t>Gdf</w:t>
      </w:r>
      <w:proofErr w:type="gramEnd"/>
      <w:r w:rsidR="00AD5136">
        <w:t>15 Knockout Does Not Impact Food Intake or Body Weight During Mouse Pregnancy</w:t>
      </w:r>
    </w:p>
    <w:p w14:paraId="32D77A37" w14:textId="2F551A0A"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ins w:id="62" w:author="Dave Bridges" w:date="2024-01-15T13:14:00Z">
        <w:r w:rsidR="00DC47CA">
          <w:rPr>
            <w:rFonts w:ascii="Times New Roman" w:hAnsi="Times New Roman" w:cs="Times New Roman"/>
          </w:rPr>
          <w:t>S</w:t>
        </w:r>
      </w:ins>
      <w:del w:id="63" w:author="Dave Bridges" w:date="2024-01-15T13:14:00Z">
        <w:r w:rsidRPr="003C0FFC" w:rsidDel="00DC47CA">
          <w:rPr>
            <w:rFonts w:ascii="Times New Roman" w:hAnsi="Times New Roman" w:cs="Times New Roman"/>
          </w:rPr>
          <w:delText>s</w:delText>
        </w:r>
      </w:del>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ins w:id="64" w:author="Dave Bridges" w:date="2024-01-15T13:14:00Z">
        <w:r w:rsidR="00DC47CA">
          <w:rPr>
            <w:rFonts w:ascii="Times New Roman" w:hAnsi="Times New Roman" w:cs="Times New Roman"/>
          </w:rPr>
          <w:t>S</w:t>
        </w:r>
      </w:ins>
      <w:del w:id="65" w:author="Dave Bridges" w:date="2024-01-15T13:14:00Z">
        <w:r w:rsidRPr="003C0FFC" w:rsidDel="00DC47CA">
          <w:rPr>
            <w:rFonts w:ascii="Times New Roman" w:hAnsi="Times New Roman" w:cs="Times New Roman"/>
          </w:rPr>
          <w:delText>s</w:delText>
        </w:r>
      </w:del>
      <w:r w:rsidRPr="003C0FFC">
        <w:rPr>
          <w:rFonts w:ascii="Times New Roman" w:hAnsi="Times New Roman" w:cs="Times New Roman"/>
        </w:rPr>
        <w:t xml:space="preserve">tudent’s </w:t>
      </w:r>
      <w:r w:rsidRPr="00DC47CA">
        <w:rPr>
          <w:rFonts w:ascii="Times New Roman" w:hAnsi="Times New Roman" w:cs="Times New Roman"/>
          <w:i/>
          <w:rPrChange w:id="66" w:author="Dave Bridges" w:date="2024-01-15T13:14:00Z">
            <w:rPr>
              <w:rFonts w:ascii="Times New Roman" w:hAnsi="Times New Roman" w:cs="Times New Roman"/>
            </w:rPr>
          </w:rPrChange>
        </w:rPr>
        <w:t>t</w:t>
      </w:r>
      <w:r w:rsidRPr="003C0FFC">
        <w:rPr>
          <w:rFonts w:ascii="Times New Roman" w:hAnsi="Times New Roman" w:cs="Times New Roman"/>
        </w:rPr>
        <w:t xml:space="preserve"> test. D) Weight lost in the postnatal period, assessed via </w:t>
      </w:r>
      <w:ins w:id="67" w:author="Dave Bridges" w:date="2024-01-15T13:14:00Z">
        <w:r w:rsidR="00DC47CA">
          <w:rPr>
            <w:rFonts w:ascii="Times New Roman" w:hAnsi="Times New Roman" w:cs="Times New Roman"/>
          </w:rPr>
          <w:t>S</w:t>
        </w:r>
      </w:ins>
      <w:del w:id="68" w:author="Dave Bridges" w:date="2024-01-15T13:14:00Z">
        <w:r w:rsidRPr="003C0FFC" w:rsidDel="00DC47CA">
          <w:rPr>
            <w:rFonts w:ascii="Times New Roman" w:hAnsi="Times New Roman" w:cs="Times New Roman"/>
          </w:rPr>
          <w:delText>s</w:delText>
        </w:r>
      </w:del>
      <w:r w:rsidRPr="003C0FFC">
        <w:rPr>
          <w:rFonts w:ascii="Times New Roman" w:hAnsi="Times New Roman" w:cs="Times New Roman"/>
        </w:rPr>
        <w:t xml:space="preserve">tudents’ </w:t>
      </w:r>
      <w:r w:rsidRPr="00DC47CA">
        <w:rPr>
          <w:rFonts w:ascii="Times New Roman" w:hAnsi="Times New Roman" w:cs="Times New Roman"/>
          <w:i/>
          <w:rPrChange w:id="69" w:author="Dave Bridges" w:date="2024-01-15T13:14:00Z">
            <w:rPr>
              <w:rFonts w:ascii="Times New Roman" w:hAnsi="Times New Roman" w:cs="Times New Roman"/>
            </w:rPr>
          </w:rPrChange>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D1F8D9" w:rsidR="00167549" w:rsidRPr="003C0FFC" w:rsidRDefault="00167549" w:rsidP="003C0FFC">
      <w:pPr>
        <w:pStyle w:val="Heading2"/>
      </w:pPr>
      <w:r w:rsidRPr="003C0FFC">
        <w:t xml:space="preserve">Figure 4: </w:t>
      </w:r>
      <w:r w:rsidR="00AD5136">
        <w:t>Gdf15 Knockout Has No Effect on Gestational</w:t>
      </w:r>
      <w:r w:rsidRPr="003C0FFC">
        <w:t xml:space="preserve"> Insulin Tolerance</w:t>
      </w:r>
      <w:r w:rsidR="00AD5136">
        <w:t xml:space="preserve"> </w:t>
      </w:r>
    </w:p>
    <w:p w14:paraId="3C3D01BB" w14:textId="3735F41E"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ins w:id="70" w:author="Dave Bridges" w:date="2024-01-15T13:14:00Z">
        <w:r w:rsidR="00DC47CA">
          <w:rPr>
            <w:rFonts w:ascii="Times New Roman" w:hAnsi="Times New Roman" w:cs="Times New Roman"/>
          </w:rPr>
          <w:t>S</w:t>
        </w:r>
      </w:ins>
      <w:del w:id="71" w:author="Dave Bridges" w:date="2024-01-15T13:14:00Z">
        <w:r w:rsidRPr="003C0FFC" w:rsidDel="00DC47CA">
          <w:rPr>
            <w:rFonts w:ascii="Times New Roman" w:hAnsi="Times New Roman" w:cs="Times New Roman"/>
          </w:rPr>
          <w:delText>s</w:delText>
        </w:r>
      </w:del>
      <w:r w:rsidRPr="003C0FFC">
        <w:rPr>
          <w:rFonts w:ascii="Times New Roman" w:hAnsi="Times New Roman" w:cs="Times New Roman"/>
        </w:rPr>
        <w:t xml:space="preserve">tudent’s </w:t>
      </w:r>
      <w:r w:rsidRPr="00DC47CA">
        <w:rPr>
          <w:rFonts w:ascii="Times New Roman" w:hAnsi="Times New Roman" w:cs="Times New Roman"/>
          <w:i/>
          <w:rPrChange w:id="72" w:author="Dave Bridges" w:date="2024-01-15T13:14:00Z">
            <w:rPr>
              <w:rFonts w:ascii="Times New Roman" w:hAnsi="Times New Roman" w:cs="Times New Roman"/>
            </w:rPr>
          </w:rPrChange>
        </w:rPr>
        <w:t>t</w:t>
      </w:r>
      <w:r w:rsidRPr="003C0FFC">
        <w:rPr>
          <w:rFonts w:ascii="Times New Roman" w:hAnsi="Times New Roman" w:cs="Times New Roman"/>
        </w:rPr>
        <w:t xml:space="preserve"> test. D) Rate of drop in blood glucose in the first hour of the insulin tolerance test, assessed by </w:t>
      </w:r>
      <w:ins w:id="73" w:author="Dave Bridges" w:date="2024-01-15T13:14:00Z">
        <w:r w:rsidR="00DC47CA">
          <w:rPr>
            <w:rFonts w:ascii="Times New Roman" w:hAnsi="Times New Roman" w:cs="Times New Roman"/>
          </w:rPr>
          <w:t>S</w:t>
        </w:r>
      </w:ins>
      <w:del w:id="74" w:author="Dave Bridges" w:date="2024-01-15T13:14:00Z">
        <w:r w:rsidRPr="003C0FFC" w:rsidDel="00DC47CA">
          <w:rPr>
            <w:rFonts w:ascii="Times New Roman" w:hAnsi="Times New Roman" w:cs="Times New Roman"/>
          </w:rPr>
          <w:delText>s</w:delText>
        </w:r>
      </w:del>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12B14872" w14:textId="3634F889" w:rsidR="00167549" w:rsidRPr="003C0FFC" w:rsidRDefault="00167549" w:rsidP="00167549">
      <w:pPr>
        <w:rPr>
          <w:rFonts w:ascii="Times New Roman" w:hAnsi="Times New Roman" w:cs="Times New Roman"/>
        </w:rPr>
      </w:pPr>
    </w:p>
    <w:p w14:paraId="292F5F4F" w14:textId="50DBEA59" w:rsidR="00167549" w:rsidRPr="003C0FFC" w:rsidRDefault="00167549" w:rsidP="003C0FFC">
      <w:pPr>
        <w:pStyle w:val="Heading2"/>
      </w:pPr>
      <w:r w:rsidRPr="003C0FFC">
        <w:t xml:space="preserve">Figure </w:t>
      </w:r>
      <w:proofErr w:type="gramStart"/>
      <w:r w:rsidRPr="003C0FFC">
        <w:t>5:</w:t>
      </w:r>
      <w:r w:rsidR="00296635">
        <w:t>Offspring</w:t>
      </w:r>
      <w:proofErr w:type="gramEnd"/>
      <w:r w:rsidR="00296635">
        <w:t xml:space="preserve"> B</w:t>
      </w:r>
      <w:r w:rsidR="00B60826">
        <w:t>irth Weight is Reduced</w:t>
      </w:r>
      <w:r w:rsidR="00AD5136">
        <w:t xml:space="preserve"> in Gdf15 Knockout Pregnancies</w:t>
      </w:r>
    </w:p>
    <w:p w14:paraId="45EBD3B4" w14:textId="32F41A38"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ins w:id="75" w:author="Dave Bridges" w:date="2024-01-15T13:14:00Z">
        <w:r w:rsidR="00DC47CA">
          <w:rPr>
            <w:rFonts w:ascii="Times New Roman" w:hAnsi="Times New Roman" w:cs="Times New Roman"/>
          </w:rPr>
          <w:t xml:space="preserve"> </w:t>
        </w:r>
      </w:ins>
      <w:r w:rsidRPr="003C0FFC">
        <w:rPr>
          <w:rFonts w:ascii="Times New Roman" w:hAnsi="Times New Roman" w:cs="Times New Roman"/>
        </w:rPr>
        <w:t xml:space="preserve">Gestational age in days, calculated as the number of days from appearance of copulatory plug until birth of the litter. Assessed via Mann-Whitney test. C)Average birth weight of pups, calculated as the average birth weight for each dam, then averaged by genotype. Assessed by </w:t>
      </w:r>
      <w:ins w:id="76" w:author="Dave Bridges" w:date="2024-01-15T13:14:00Z">
        <w:r w:rsidR="00DC47CA">
          <w:rPr>
            <w:rFonts w:ascii="Times New Roman" w:hAnsi="Times New Roman" w:cs="Times New Roman"/>
          </w:rPr>
          <w:t>S</w:t>
        </w:r>
      </w:ins>
      <w:del w:id="77" w:author="Dave Bridges" w:date="2024-01-15T13:14:00Z">
        <w:r w:rsidRPr="003C0FFC" w:rsidDel="00DC47CA">
          <w:rPr>
            <w:rFonts w:ascii="Times New Roman" w:hAnsi="Times New Roman" w:cs="Times New Roman"/>
          </w:rPr>
          <w:delText>s</w:delText>
        </w:r>
      </w:del>
      <w:r w:rsidRPr="003C0FFC">
        <w:rPr>
          <w:rFonts w:ascii="Times New Roman" w:hAnsi="Times New Roman" w:cs="Times New Roman"/>
        </w:rPr>
        <w:t>tudent’s</w:t>
      </w:r>
      <w:r w:rsidRPr="00DC47CA">
        <w:rPr>
          <w:rFonts w:ascii="Times New Roman" w:hAnsi="Times New Roman" w:cs="Times New Roman"/>
          <w:i/>
          <w:rPrChange w:id="78" w:author="Dave Bridges" w:date="2024-01-15T13:14:00Z">
            <w:rPr>
              <w:rFonts w:ascii="Times New Roman" w:hAnsi="Times New Roman" w:cs="Times New Roman"/>
            </w:rPr>
          </w:rPrChange>
        </w:rPr>
        <w:t xml:space="preserve"> t</w:t>
      </w:r>
      <w:r w:rsidRPr="003C0FFC">
        <w:rPr>
          <w:rFonts w:ascii="Times New Roman" w:hAnsi="Times New Roman" w:cs="Times New Roman"/>
        </w:rPr>
        <w:t xml:space="preserve"> test. D)</w:t>
      </w:r>
      <w:ins w:id="79" w:author="Dave Bridges" w:date="2024-01-15T13:14:00Z">
        <w:r w:rsidR="00DC47CA">
          <w:rPr>
            <w:rFonts w:ascii="Times New Roman" w:hAnsi="Times New Roman" w:cs="Times New Roman"/>
          </w:rPr>
          <w:t xml:space="preserve"> </w:t>
        </w:r>
      </w:ins>
      <w:r w:rsidRPr="003C0FFC">
        <w:rPr>
          <w:rFonts w:ascii="Times New Roman" w:hAnsi="Times New Roman" w:cs="Times New Roman"/>
        </w:rPr>
        <w:t>Total litter size</w:t>
      </w:r>
      <w:r w:rsidR="00965E55" w:rsidRPr="003C0FFC">
        <w:rPr>
          <w:rFonts w:ascii="Times New Roman" w:hAnsi="Times New Roman" w:cs="Times New Roman"/>
        </w:rPr>
        <w:t xml:space="preserve"> (including those </w:t>
      </w:r>
      <w:r w:rsidR="00296635">
        <w:rPr>
          <w:rFonts w:ascii="Times New Roman" w:hAnsi="Times New Roman" w:cs="Times New Roman"/>
        </w:rPr>
        <w:t>born</w:t>
      </w:r>
      <w:r w:rsidR="00965E55" w:rsidRPr="003C0FFC">
        <w:rPr>
          <w:rFonts w:ascii="Times New Roman" w:hAnsi="Times New Roman" w:cs="Times New Roman"/>
        </w:rPr>
        <w:t xml:space="preserve"> dead), assessed via student’s t test. E)</w:t>
      </w:r>
      <w:ins w:id="80" w:author="Dave Bridges" w:date="2024-01-15T13:14:00Z">
        <w:r w:rsidR="00DC47CA">
          <w:rPr>
            <w:rFonts w:ascii="Times New Roman" w:hAnsi="Times New Roman" w:cs="Times New Roman"/>
          </w:rPr>
          <w:t xml:space="preserve"> </w:t>
        </w:r>
      </w:ins>
      <w:r w:rsidR="00965E55" w:rsidRPr="003C0FFC">
        <w:rPr>
          <w:rFonts w:ascii="Times New Roman" w:hAnsi="Times New Roman" w:cs="Times New Roman"/>
        </w:rPr>
        <w:t xml:space="preserve">Number of </w:t>
      </w:r>
      <w:r w:rsidR="00296635">
        <w:rPr>
          <w:rFonts w:ascii="Times New Roman" w:hAnsi="Times New Roman" w:cs="Times New Roman"/>
        </w:rPr>
        <w:t xml:space="preserve">live </w:t>
      </w:r>
      <w:r w:rsidR="00965E55" w:rsidRPr="003C0FFC">
        <w:rPr>
          <w:rFonts w:ascii="Times New Roman" w:hAnsi="Times New Roman" w:cs="Times New Roman"/>
        </w:rPr>
        <w:t xml:space="preserve">pups born per </w:t>
      </w:r>
      <w:r w:rsidR="00296635">
        <w:rPr>
          <w:rFonts w:ascii="Times New Roman" w:hAnsi="Times New Roman" w:cs="Times New Roman"/>
        </w:rPr>
        <w:t>litter</w:t>
      </w:r>
      <w:r w:rsidR="00965E55" w:rsidRPr="003C0FFC">
        <w:rPr>
          <w:rFonts w:ascii="Times New Roman" w:hAnsi="Times New Roman" w:cs="Times New Roman"/>
        </w:rPr>
        <w:t xml:space="preserve">, assessed via student’s </w:t>
      </w:r>
      <w:r w:rsidR="00965E55" w:rsidRPr="003C0FFC">
        <w:rPr>
          <w:rFonts w:ascii="Times New Roman" w:hAnsi="Times New Roman" w:cs="Times New Roman"/>
        </w:rPr>
        <w:lastRenderedPageBreak/>
        <w:t xml:space="preserve">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r w:rsidR="00B85798">
        <w:rPr>
          <w:rFonts w:ascii="Times New Roman" w:hAnsi="Times New Roman" w:cs="Times New Roman"/>
        </w:rPr>
        <w:t>* indicates p&lt;0.05</w:t>
      </w:r>
    </w:p>
    <w:p w14:paraId="4EE2D172" w14:textId="6E89F367" w:rsidR="00470839" w:rsidRPr="003C0FFC" w:rsidRDefault="00470839" w:rsidP="00167549">
      <w:pPr>
        <w:rPr>
          <w:rFonts w:ascii="Times New Roman" w:hAnsi="Times New Roman" w:cs="Times New Roman"/>
        </w:rPr>
      </w:pPr>
    </w:p>
    <w:p w14:paraId="3D4BB353" w14:textId="5579AC20" w:rsidR="00470839" w:rsidRPr="003C0FFC" w:rsidRDefault="00470839" w:rsidP="003C0FFC">
      <w:pPr>
        <w:pStyle w:val="Heading2"/>
      </w:pPr>
      <w:r w:rsidRPr="003C0FFC">
        <w:t xml:space="preserve">Figure 6: Milk volume and </w:t>
      </w:r>
      <w:r w:rsidR="00AD5136">
        <w:t>M</w:t>
      </w:r>
      <w:r w:rsidRPr="003C0FFC">
        <w:t xml:space="preserve">ilkfat </w:t>
      </w:r>
      <w:r w:rsidR="00AD5136">
        <w:t>P</w:t>
      </w:r>
      <w:r w:rsidRPr="003C0FFC">
        <w:t>ercentage</w:t>
      </w:r>
      <w:r w:rsidR="00AD5136">
        <w:t xml:space="preserve"> Are </w:t>
      </w:r>
      <w:proofErr w:type="gramStart"/>
      <w:r w:rsidR="00AD5136">
        <w:t>not</w:t>
      </w:r>
      <w:proofErr w:type="gramEnd"/>
      <w:r w:rsidR="00AD5136">
        <w:t xml:space="preserve"> Changed in Gdf15 Knockout Dams</w:t>
      </w:r>
    </w:p>
    <w:p w14:paraId="2147CCF3" w14:textId="7044A407"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ins w:id="81" w:author="Dave Bridges" w:date="2024-01-15T13:14:00Z">
        <w:r w:rsidR="00DC47CA">
          <w:rPr>
            <w:rFonts w:ascii="Times New Roman" w:hAnsi="Times New Roman" w:cs="Times New Roman"/>
          </w:rPr>
          <w:t xml:space="preserve"> </w:t>
        </w:r>
      </w:ins>
      <w:r w:rsidRPr="003C0FFC">
        <w:rPr>
          <w:rFonts w:ascii="Times New Roman" w:hAnsi="Times New Roman" w:cs="Times New Roman"/>
        </w:rPr>
        <w:t>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Whitney test. C)</w:t>
      </w:r>
      <w:ins w:id="82" w:author="Dave Bridges" w:date="2024-01-15T13:14:00Z">
        <w:r w:rsidR="00DC47CA">
          <w:rPr>
            <w:rFonts w:ascii="Times New Roman" w:hAnsi="Times New Roman" w:cs="Times New Roman"/>
          </w:rPr>
          <w:t xml:space="preserve"> </w:t>
        </w:r>
      </w:ins>
      <w:r w:rsidRPr="003C0FFC">
        <w:rPr>
          <w:rFonts w:ascii="Times New Roman" w:hAnsi="Times New Roman" w:cs="Times New Roman"/>
        </w:rPr>
        <w:t xml:space="preserve">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419262BD" w:rsidR="00470839" w:rsidRPr="003C0FFC" w:rsidRDefault="00470839" w:rsidP="003C0FFC">
      <w:pPr>
        <w:pStyle w:val="Heading2"/>
      </w:pPr>
      <w:r w:rsidRPr="003C0FFC">
        <w:t xml:space="preserve">Figure 7: </w:t>
      </w:r>
      <w:r w:rsidR="00AD5136">
        <w:t>Offspring Postnatal Growth is Normal in Gdf15 Knockout Litters</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4BCC1B40" w:rsidR="00470839" w:rsidRPr="003C0FFC" w:rsidRDefault="00470839" w:rsidP="003C0FFC">
      <w:pPr>
        <w:pStyle w:val="Heading2"/>
      </w:pPr>
      <w:r w:rsidRPr="003C0FFC">
        <w:t>Supplementary Figure 1: Gdf15 levels in Knockout animals</w:t>
      </w:r>
      <w:r w:rsidR="00AD5136">
        <w:t xml:space="preserve"> and Body Weights in </w:t>
      </w:r>
    </w:p>
    <w:p w14:paraId="56E50C4D" w14:textId="1455A1A6" w:rsidR="00470839"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w:t>
      </w:r>
      <w:proofErr w:type="spellStart"/>
      <w:r w:rsidR="005A7D5B" w:rsidRPr="003C0FFC">
        <w:rPr>
          <w:rFonts w:ascii="Times New Roman" w:hAnsi="Times New Roman" w:cs="Times New Roman"/>
        </w:rPr>
        <w:t>pg</w:t>
      </w:r>
      <w:proofErr w:type="spellEnd"/>
      <w:r w:rsidR="005A7D5B" w:rsidRPr="003C0FFC">
        <w:rPr>
          <w:rFonts w:ascii="Times New Roman" w:hAnsi="Times New Roman" w:cs="Times New Roman"/>
        </w:rPr>
        <w:t xml:space="preserve">/mL)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ins w:id="83" w:author="Dave Bridges" w:date="2024-01-15T13:15:00Z">
        <w:r w:rsidR="00DC47CA">
          <w:rPr>
            <w:rFonts w:ascii="Times New Roman" w:hAnsi="Times New Roman" w:cs="Times New Roman"/>
          </w:rPr>
          <w:t>S</w:t>
        </w:r>
      </w:ins>
      <w:del w:id="84" w:author="Dave Bridges" w:date="2024-01-15T13:15:00Z">
        <w:r w:rsidRPr="003C0FFC" w:rsidDel="00DC47CA">
          <w:rPr>
            <w:rFonts w:ascii="Times New Roman" w:hAnsi="Times New Roman" w:cs="Times New Roman"/>
          </w:rPr>
          <w:delText>s</w:delText>
        </w:r>
      </w:del>
      <w:r w:rsidRPr="003C0FFC">
        <w:rPr>
          <w:rFonts w:ascii="Times New Roman" w:hAnsi="Times New Roman" w:cs="Times New Roman"/>
        </w:rPr>
        <w:t xml:space="preserve">tudents </w:t>
      </w:r>
      <w:bookmarkStart w:id="85" w:name="_GoBack"/>
      <w:r w:rsidRPr="00DC47CA">
        <w:rPr>
          <w:rFonts w:ascii="Times New Roman" w:hAnsi="Times New Roman" w:cs="Times New Roman"/>
          <w:i/>
          <w:rPrChange w:id="86" w:author="Dave Bridges" w:date="2024-01-15T13:15:00Z">
            <w:rPr>
              <w:rFonts w:ascii="Times New Roman" w:hAnsi="Times New Roman" w:cs="Times New Roman"/>
            </w:rPr>
          </w:rPrChange>
        </w:rPr>
        <w:t>t</w:t>
      </w:r>
      <w:bookmarkEnd w:id="85"/>
      <w:r w:rsidRPr="003C0FFC">
        <w:rPr>
          <w:rFonts w:ascii="Times New Roman" w:hAnsi="Times New Roman" w:cs="Times New Roman"/>
        </w:rPr>
        <w:t xml:space="preserve"> test. </w:t>
      </w:r>
      <w:r w:rsidR="00B85798">
        <w:rPr>
          <w:rFonts w:ascii="Times New Roman" w:hAnsi="Times New Roman" w:cs="Times New Roman"/>
        </w:rPr>
        <w:t>* indicates p&lt;0.05</w:t>
      </w:r>
    </w:p>
    <w:p w14:paraId="17AA2E77" w14:textId="76C55688" w:rsidR="00AD5136" w:rsidRDefault="00AD5136" w:rsidP="00700852">
      <w:pPr>
        <w:pStyle w:val="Heading2"/>
      </w:pPr>
    </w:p>
    <w:p w14:paraId="7E2739DE" w14:textId="5947F81A" w:rsidR="00700852" w:rsidRDefault="00700852" w:rsidP="00700852">
      <w:pPr>
        <w:pStyle w:val="Heading2"/>
      </w:pPr>
      <w:r>
        <w:t>Supplementary Figure 2:</w:t>
      </w:r>
      <w:r w:rsidR="001E3E15">
        <w:t xml:space="preserve"> Pregnancy Increases Body Weight in Mice, but Weight Gain Is Impaired by Dexamethasone Treatment</w:t>
      </w:r>
    </w:p>
    <w:p w14:paraId="0B958E4E" w14:textId="383C224B" w:rsidR="00AD5136" w:rsidRPr="003C0FFC" w:rsidRDefault="00700852" w:rsidP="00167549">
      <w:pPr>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00AD5136"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00AD5136"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00AD5136" w:rsidRPr="003C0FFC">
        <w:rPr>
          <w:rFonts w:ascii="Times New Roman" w:hAnsi="Times New Roman" w:cs="Times New Roman"/>
        </w:rPr>
        <w:t xml:space="preserve"> via linear mixed effects modeling.</w:t>
      </w:r>
      <w:r w:rsidR="00B85798">
        <w:rPr>
          <w:rFonts w:ascii="Times New Roman" w:hAnsi="Times New Roman" w:cs="Times New Roman"/>
        </w:rPr>
        <w:t xml:space="preserve"> * indicates p&lt;0.05</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48C425EB" w14:textId="77777777" w:rsidR="005153B8" w:rsidRPr="005153B8" w:rsidRDefault="006D0E50" w:rsidP="005153B8">
      <w:pPr>
        <w:pStyle w:val="Bibliography"/>
        <w:rPr>
          <w:rFonts w:ascii="Calibri" w:hAnsi="Calibri" w:cs="Calibri"/>
        </w:rPr>
      </w:pPr>
      <w:r w:rsidRPr="00F145A3">
        <w:fldChar w:fldCharType="begin"/>
      </w:r>
      <w:r w:rsidR="00EE68A6">
        <w:instrText xml:space="preserve"> ADDIN ZOTERO_BIBL {"uncited":[],"omitted":[],"custom":[]} CSL_BIBLIOGRAPHY </w:instrText>
      </w:r>
      <w:r w:rsidRPr="00F145A3">
        <w:fldChar w:fldCharType="separate"/>
      </w:r>
      <w:r w:rsidR="005153B8" w:rsidRPr="005153B8">
        <w:rPr>
          <w:rFonts w:ascii="Calibri" w:hAnsi="Calibri" w:cs="Calibri"/>
        </w:rPr>
        <w:t xml:space="preserve">Andersson-Hall, U., Joelsson, L., Svedin, P., Mallard, C., &amp; Holmäng, A. (2021). Growth-differentiation-factor 15 levels in obese and healthy pregnancies: Relation to insulin resistance and insulin secretory function. </w:t>
      </w:r>
      <w:r w:rsidR="005153B8" w:rsidRPr="005153B8">
        <w:rPr>
          <w:rFonts w:ascii="Calibri" w:hAnsi="Calibri" w:cs="Calibri"/>
          <w:i/>
          <w:iCs/>
        </w:rPr>
        <w:t>Clinical Endocrinology</w:t>
      </w:r>
      <w:r w:rsidR="005153B8" w:rsidRPr="005153B8">
        <w:rPr>
          <w:rFonts w:ascii="Calibri" w:hAnsi="Calibri" w:cs="Calibri"/>
        </w:rPr>
        <w:t xml:space="preserve">, </w:t>
      </w:r>
      <w:r w:rsidR="005153B8" w:rsidRPr="005153B8">
        <w:rPr>
          <w:rFonts w:ascii="Calibri" w:hAnsi="Calibri" w:cs="Calibri"/>
          <w:i/>
          <w:iCs/>
        </w:rPr>
        <w:t>95</w:t>
      </w:r>
      <w:r w:rsidR="005153B8" w:rsidRPr="005153B8">
        <w:rPr>
          <w:rFonts w:ascii="Calibri" w:hAnsi="Calibri" w:cs="Calibri"/>
        </w:rPr>
        <w:t>(1), 92–100. https://doi.org/10.1111/cen.14433</w:t>
      </w:r>
    </w:p>
    <w:p w14:paraId="27EF9279" w14:textId="77777777" w:rsidR="005153B8" w:rsidRPr="005153B8" w:rsidRDefault="005153B8" w:rsidP="005153B8">
      <w:pPr>
        <w:pStyle w:val="Bibliography"/>
        <w:rPr>
          <w:rFonts w:ascii="Calibri" w:hAnsi="Calibri" w:cs="Calibri"/>
        </w:rPr>
      </w:pPr>
      <w:r w:rsidRPr="005153B8">
        <w:rPr>
          <w:rFonts w:ascii="Calibri" w:hAnsi="Calibri" w:cs="Calibri"/>
        </w:rPr>
        <w:t xml:space="preserve">Bates, D., Mächler, M., Bolker, B., &amp; Walker, S. (2015). Fitting Linear Mixed-Effects Models Using lme4. </w:t>
      </w:r>
      <w:r w:rsidRPr="005153B8">
        <w:rPr>
          <w:rFonts w:ascii="Calibri" w:hAnsi="Calibri" w:cs="Calibri"/>
          <w:i/>
          <w:iCs/>
        </w:rPr>
        <w:t>Journal of Statistical Software</w:t>
      </w:r>
      <w:r w:rsidRPr="005153B8">
        <w:rPr>
          <w:rFonts w:ascii="Calibri" w:hAnsi="Calibri" w:cs="Calibri"/>
        </w:rPr>
        <w:t xml:space="preserve">, </w:t>
      </w:r>
      <w:r w:rsidRPr="005153B8">
        <w:rPr>
          <w:rFonts w:ascii="Calibri" w:hAnsi="Calibri" w:cs="Calibri"/>
          <w:i/>
          <w:iCs/>
        </w:rPr>
        <w:t>67</w:t>
      </w:r>
      <w:r w:rsidRPr="005153B8">
        <w:rPr>
          <w:rFonts w:ascii="Calibri" w:hAnsi="Calibri" w:cs="Calibri"/>
        </w:rPr>
        <w:t>, 1–48. https://doi.org/10.18637/jss.v067.i01</w:t>
      </w:r>
    </w:p>
    <w:p w14:paraId="2CD2E73A" w14:textId="77777777" w:rsidR="005153B8" w:rsidRPr="005153B8" w:rsidRDefault="005153B8" w:rsidP="005153B8">
      <w:pPr>
        <w:pStyle w:val="Bibliography"/>
        <w:rPr>
          <w:rFonts w:ascii="Calibri" w:hAnsi="Calibri" w:cs="Calibri"/>
        </w:rPr>
      </w:pPr>
      <w:r w:rsidRPr="005153B8">
        <w:rPr>
          <w:rFonts w:ascii="Calibri" w:hAnsi="Calibri" w:cs="Calibri"/>
        </w:rPr>
        <w:t xml:space="preserve">Binder, A. K., Kosak, J. P., Janhardhan, K. S., Moser, G., Eling, T. E., &amp; Korach, K. S. (2016). Expression of Human NSAID Activated Gene 1 in Mice Leads to Altered Mammary Gland Differentiation and Impaired Lactation. </w:t>
      </w:r>
      <w:r w:rsidRPr="005153B8">
        <w:rPr>
          <w:rFonts w:ascii="Calibri" w:hAnsi="Calibri" w:cs="Calibri"/>
          <w:i/>
          <w:iCs/>
        </w:rPr>
        <w:t>PLoS ONE</w:t>
      </w:r>
      <w:r w:rsidRPr="005153B8">
        <w:rPr>
          <w:rFonts w:ascii="Calibri" w:hAnsi="Calibri" w:cs="Calibri"/>
        </w:rPr>
        <w:t xml:space="preserve">, </w:t>
      </w:r>
      <w:r w:rsidRPr="005153B8">
        <w:rPr>
          <w:rFonts w:ascii="Calibri" w:hAnsi="Calibri" w:cs="Calibri"/>
          <w:i/>
          <w:iCs/>
        </w:rPr>
        <w:t>11</w:t>
      </w:r>
      <w:r w:rsidRPr="005153B8">
        <w:rPr>
          <w:rFonts w:ascii="Calibri" w:hAnsi="Calibri" w:cs="Calibri"/>
        </w:rPr>
        <w:t>(1), e0146518. https://doi.org/10.1371/journal.pone.0146518</w:t>
      </w:r>
    </w:p>
    <w:p w14:paraId="31FD698C" w14:textId="77777777" w:rsidR="005153B8" w:rsidRPr="005153B8" w:rsidRDefault="005153B8" w:rsidP="005153B8">
      <w:pPr>
        <w:pStyle w:val="Bibliography"/>
        <w:rPr>
          <w:rFonts w:ascii="Calibri" w:hAnsi="Calibri" w:cs="Calibri"/>
        </w:rPr>
      </w:pPr>
      <w:r w:rsidRPr="005153B8">
        <w:rPr>
          <w:rFonts w:ascii="Calibri" w:hAnsi="Calibri" w:cs="Calibri"/>
        </w:rPr>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5153B8">
        <w:rPr>
          <w:rFonts w:ascii="Calibri" w:hAnsi="Calibri" w:cs="Calibri"/>
          <w:i/>
          <w:iCs/>
        </w:rPr>
        <w:t>Proceedings of the National Academy of Sciences</w:t>
      </w:r>
      <w:r w:rsidRPr="005153B8">
        <w:rPr>
          <w:rFonts w:ascii="Calibri" w:hAnsi="Calibri" w:cs="Calibri"/>
        </w:rPr>
        <w:t xml:space="preserve">, </w:t>
      </w:r>
      <w:r w:rsidRPr="005153B8">
        <w:rPr>
          <w:rFonts w:ascii="Calibri" w:hAnsi="Calibri" w:cs="Calibri"/>
          <w:i/>
          <w:iCs/>
        </w:rPr>
        <w:t>94</w:t>
      </w:r>
      <w:r w:rsidRPr="005153B8">
        <w:rPr>
          <w:rFonts w:ascii="Calibri" w:hAnsi="Calibri" w:cs="Calibri"/>
        </w:rPr>
        <w:t>(21), 11514–11519. https://doi.org/10.1073/pnas.94.21.11514</w:t>
      </w:r>
    </w:p>
    <w:p w14:paraId="61C6F2A7" w14:textId="77777777" w:rsidR="005153B8" w:rsidRPr="005153B8" w:rsidRDefault="005153B8" w:rsidP="005153B8">
      <w:pPr>
        <w:pStyle w:val="Bibliography"/>
        <w:rPr>
          <w:rFonts w:ascii="Calibri" w:hAnsi="Calibri" w:cs="Calibri"/>
        </w:rPr>
      </w:pPr>
      <w:r w:rsidRPr="005153B8">
        <w:rPr>
          <w:rFonts w:ascii="Calibri" w:hAnsi="Calibri" w:cs="Calibri"/>
        </w:rPr>
        <w:t xml:space="preserve">Borner, T., Shaulson, E. D., Ghidewon, M. Y., Barnett, A. B., Horn, C. C., Doyle, R. P., Grill, H. J., Hayes, M. R., &amp; De Jonghe, B. C. (2020). GDF15 Induces Anorexia through Nausea and Emesis. </w:t>
      </w:r>
      <w:r w:rsidRPr="005153B8">
        <w:rPr>
          <w:rFonts w:ascii="Calibri" w:hAnsi="Calibri" w:cs="Calibri"/>
          <w:i/>
          <w:iCs/>
        </w:rPr>
        <w:t>Cell Metabolism</w:t>
      </w:r>
      <w:r w:rsidRPr="005153B8">
        <w:rPr>
          <w:rFonts w:ascii="Calibri" w:hAnsi="Calibri" w:cs="Calibri"/>
        </w:rPr>
        <w:t xml:space="preserve">, </w:t>
      </w:r>
      <w:r w:rsidRPr="005153B8">
        <w:rPr>
          <w:rFonts w:ascii="Calibri" w:hAnsi="Calibri" w:cs="Calibri"/>
          <w:i/>
          <w:iCs/>
        </w:rPr>
        <w:t>31</w:t>
      </w:r>
      <w:r w:rsidRPr="005153B8">
        <w:rPr>
          <w:rFonts w:ascii="Calibri" w:hAnsi="Calibri" w:cs="Calibri"/>
        </w:rPr>
        <w:t>(2), 351-362.e5. https://doi.org/10.1016/j.cmet.2019.12.004</w:t>
      </w:r>
    </w:p>
    <w:p w14:paraId="2857E5DC" w14:textId="77777777" w:rsidR="005153B8" w:rsidRPr="005153B8" w:rsidRDefault="005153B8" w:rsidP="005153B8">
      <w:pPr>
        <w:pStyle w:val="Bibliography"/>
        <w:rPr>
          <w:rFonts w:ascii="Calibri" w:hAnsi="Calibri" w:cs="Calibri"/>
        </w:rPr>
      </w:pPr>
      <w:r w:rsidRPr="005153B8">
        <w:rPr>
          <w:rFonts w:ascii="Calibri" w:hAnsi="Calibri" w:cs="Calibri"/>
        </w:rPr>
        <w:t xml:space="preserve">Boston, W. S., Bleck, G. T., Conroy, J. C., Wheeler, M. B., &amp; Miller, D. J. (2001). Short Communication: Effects of Increased Expression of α-Lactalbumin In Transgenic Mice on </w:t>
      </w:r>
      <w:r w:rsidRPr="005153B8">
        <w:rPr>
          <w:rFonts w:ascii="Calibri" w:hAnsi="Calibri" w:cs="Calibri"/>
        </w:rPr>
        <w:lastRenderedPageBreak/>
        <w:t xml:space="preserve">Milk Yield and Pup Growth. </w:t>
      </w:r>
      <w:r w:rsidRPr="005153B8">
        <w:rPr>
          <w:rFonts w:ascii="Calibri" w:hAnsi="Calibri" w:cs="Calibri"/>
          <w:i/>
          <w:iCs/>
        </w:rPr>
        <w:t>Journal of Dairy Science</w:t>
      </w:r>
      <w:r w:rsidRPr="005153B8">
        <w:rPr>
          <w:rFonts w:ascii="Calibri" w:hAnsi="Calibri" w:cs="Calibri"/>
        </w:rPr>
        <w:t xml:space="preserve">, </w:t>
      </w:r>
      <w:r w:rsidRPr="005153B8">
        <w:rPr>
          <w:rFonts w:ascii="Calibri" w:hAnsi="Calibri" w:cs="Calibri"/>
          <w:i/>
          <w:iCs/>
        </w:rPr>
        <w:t>84</w:t>
      </w:r>
      <w:r w:rsidRPr="005153B8">
        <w:rPr>
          <w:rFonts w:ascii="Calibri" w:hAnsi="Calibri" w:cs="Calibri"/>
        </w:rPr>
        <w:t>(3), 620–622. https://doi.org/10.3168/jds.S0022-0302(01)74516-X</w:t>
      </w:r>
    </w:p>
    <w:p w14:paraId="4F19DFB2" w14:textId="77777777" w:rsidR="005153B8" w:rsidRPr="005153B8" w:rsidRDefault="005153B8" w:rsidP="005153B8">
      <w:pPr>
        <w:pStyle w:val="Bibliography"/>
        <w:rPr>
          <w:rFonts w:ascii="Calibri" w:hAnsi="Calibri" w:cs="Calibri"/>
        </w:rPr>
      </w:pPr>
      <w:r w:rsidRPr="005153B8">
        <w:rPr>
          <w:rFonts w:ascii="Calibri" w:hAnsi="Calibri" w:cs="Calibri"/>
        </w:rPr>
        <w:t xml:space="preserve">Böttner, M., Laaff, M., Schechinger, B., Rappold, G., Unsicker, K., &amp; Suter-Crazzolara, C. (1999). Characterization of the rat, mouse, and human genes of growth/differentiation factor-15/macrophage inhibiting cytokine-1 (GDF-15/MIC-1). </w:t>
      </w:r>
      <w:r w:rsidRPr="005153B8">
        <w:rPr>
          <w:rFonts w:ascii="Calibri" w:hAnsi="Calibri" w:cs="Calibri"/>
          <w:i/>
          <w:iCs/>
        </w:rPr>
        <w:t>Gene</w:t>
      </w:r>
      <w:r w:rsidRPr="005153B8">
        <w:rPr>
          <w:rFonts w:ascii="Calibri" w:hAnsi="Calibri" w:cs="Calibri"/>
        </w:rPr>
        <w:t xml:space="preserve">, </w:t>
      </w:r>
      <w:r w:rsidRPr="005153B8">
        <w:rPr>
          <w:rFonts w:ascii="Calibri" w:hAnsi="Calibri" w:cs="Calibri"/>
          <w:i/>
          <w:iCs/>
        </w:rPr>
        <w:t>237</w:t>
      </w:r>
      <w:r w:rsidRPr="005153B8">
        <w:rPr>
          <w:rFonts w:ascii="Calibri" w:hAnsi="Calibri" w:cs="Calibri"/>
        </w:rPr>
        <w:t>(1), 105–111. https://doi.org/10.1016/S0378-1119(99)00309-1</w:t>
      </w:r>
    </w:p>
    <w:p w14:paraId="2EA7810A" w14:textId="77777777" w:rsidR="005153B8" w:rsidRPr="005153B8" w:rsidRDefault="005153B8" w:rsidP="005153B8">
      <w:pPr>
        <w:pStyle w:val="Bibliography"/>
        <w:rPr>
          <w:rFonts w:ascii="Calibri" w:hAnsi="Calibri" w:cs="Calibri"/>
        </w:rPr>
      </w:pPr>
      <w:r w:rsidRPr="005153B8">
        <w:rPr>
          <w:rFonts w:ascii="Calibri" w:hAnsi="Calibri" w:cs="Calibri"/>
        </w:rPr>
        <w:t xml:space="preserve">Bridges, D., Mulcahy, M. C., &amp; Redd, J. R. (2022, March 7). </w:t>
      </w:r>
      <w:r w:rsidRPr="005153B8">
        <w:rPr>
          <w:rFonts w:ascii="Calibri" w:hAnsi="Calibri" w:cs="Calibri"/>
          <w:i/>
          <w:iCs/>
        </w:rPr>
        <w:t>Insulin Tolerance Test</w:t>
      </w:r>
      <w:r w:rsidRPr="005153B8">
        <w:rPr>
          <w:rFonts w:ascii="Calibri" w:hAnsi="Calibri" w:cs="Calibri"/>
        </w:rPr>
        <w:t>. Protocols.Io. dx.doi.org/10.17504/protocols.io.b5zxq77n</w:t>
      </w:r>
    </w:p>
    <w:p w14:paraId="6B0E1A26" w14:textId="77777777" w:rsidR="005153B8" w:rsidRPr="005153B8" w:rsidRDefault="005153B8" w:rsidP="005153B8">
      <w:pPr>
        <w:pStyle w:val="Bibliography"/>
        <w:rPr>
          <w:rFonts w:ascii="Calibri" w:hAnsi="Calibri" w:cs="Calibri"/>
        </w:rPr>
      </w:pPr>
      <w:r w:rsidRPr="005153B8">
        <w:rPr>
          <w:rFonts w:ascii="Calibri" w:hAnsi="Calibri" w:cs="Calibri"/>
        </w:rPr>
        <w:t xml:space="preserve">Chen, Q., Wang, Y., Zhao, M., Hyett, J., da Silva Costa, F., &amp; Nie, G. (2016). Serum levels of GDF15 are reduced in preeclampsia and the reduction is more profound in late-onset than early-onset cases. </w:t>
      </w:r>
      <w:r w:rsidRPr="005153B8">
        <w:rPr>
          <w:rFonts w:ascii="Calibri" w:hAnsi="Calibri" w:cs="Calibri"/>
          <w:i/>
          <w:iCs/>
        </w:rPr>
        <w:t>Cytokine</w:t>
      </w:r>
      <w:r w:rsidRPr="005153B8">
        <w:rPr>
          <w:rFonts w:ascii="Calibri" w:hAnsi="Calibri" w:cs="Calibri"/>
        </w:rPr>
        <w:t xml:space="preserve">, </w:t>
      </w:r>
      <w:r w:rsidRPr="005153B8">
        <w:rPr>
          <w:rFonts w:ascii="Calibri" w:hAnsi="Calibri" w:cs="Calibri"/>
          <w:i/>
          <w:iCs/>
        </w:rPr>
        <w:t>83</w:t>
      </w:r>
      <w:r w:rsidRPr="005153B8">
        <w:rPr>
          <w:rFonts w:ascii="Calibri" w:hAnsi="Calibri" w:cs="Calibri"/>
        </w:rPr>
        <w:t>, 226–230. https://doi.org/10.1016/j.cyto.2016.05.002</w:t>
      </w:r>
    </w:p>
    <w:p w14:paraId="170E0284" w14:textId="77777777" w:rsidR="005153B8" w:rsidRPr="005153B8" w:rsidRDefault="005153B8" w:rsidP="005153B8">
      <w:pPr>
        <w:pStyle w:val="Bibliography"/>
        <w:rPr>
          <w:rFonts w:ascii="Calibri" w:hAnsi="Calibri" w:cs="Calibri"/>
        </w:rPr>
      </w:pPr>
      <w:r w:rsidRPr="005153B8">
        <w:rPr>
          <w:rFonts w:ascii="Calibri" w:hAnsi="Calibri" w:cs="Calibri"/>
        </w:rPr>
        <w:t xml:space="preserve">El Habbal, N., Meyer, A. C., Hafner, H., Redd, J. R., Carlson, Z., Mulcahy, M. C., Gregg, B., &amp; Bridges, D. (2021). Activation of Adipocyte mTORC1 Increases Milk Lipids in a Mouse Model of Lactation. </w:t>
      </w:r>
      <w:r w:rsidRPr="005153B8">
        <w:rPr>
          <w:rFonts w:ascii="Calibri" w:hAnsi="Calibri" w:cs="Calibri"/>
          <w:i/>
          <w:iCs/>
        </w:rPr>
        <w:t>bioRxiv</w:t>
      </w:r>
      <w:r w:rsidRPr="005153B8">
        <w:rPr>
          <w:rFonts w:ascii="Calibri" w:hAnsi="Calibri" w:cs="Calibri"/>
        </w:rPr>
        <w:t>, 2021.07.01.450596. https://doi.org/10.1101/2021.07.01.450596</w:t>
      </w:r>
    </w:p>
    <w:p w14:paraId="0F834C36" w14:textId="77777777" w:rsidR="005153B8" w:rsidRPr="005153B8" w:rsidRDefault="005153B8" w:rsidP="005153B8">
      <w:pPr>
        <w:pStyle w:val="Bibliography"/>
        <w:rPr>
          <w:rFonts w:ascii="Calibri" w:hAnsi="Calibri" w:cs="Calibri"/>
        </w:rPr>
      </w:pPr>
      <w:r w:rsidRPr="005153B8">
        <w:rPr>
          <w:rFonts w:ascii="Calibri" w:hAnsi="Calibri" w:cs="Calibri"/>
        </w:rPr>
        <w:t xml:space="preserve">Emmerson, P. J., Wang, F., Du, Y., Liu, Q., Pickard, R. T., Gonciarz, M. D., Coskun, T., Hamang, M. J., Sindelar, D. K., Ballman, K. K., Foltz, L. A., Muppidi, A., Alsina-Fernandez, J., Barnard, G. C., Tang, J. X., Liu, X., Mao, X., Siegel, R., Sloan, J. H., … Wu, X. (2017). The metabolic effects of GDF15 are mediated by the orphan receptor GFRAL. </w:t>
      </w:r>
      <w:r w:rsidRPr="005153B8">
        <w:rPr>
          <w:rFonts w:ascii="Calibri" w:hAnsi="Calibri" w:cs="Calibri"/>
          <w:i/>
          <w:iCs/>
        </w:rPr>
        <w:t>Nature Medicine</w:t>
      </w:r>
      <w:r w:rsidRPr="005153B8">
        <w:rPr>
          <w:rFonts w:ascii="Calibri" w:hAnsi="Calibri" w:cs="Calibri"/>
        </w:rPr>
        <w:t xml:space="preserve">, </w:t>
      </w:r>
      <w:r w:rsidRPr="005153B8">
        <w:rPr>
          <w:rFonts w:ascii="Calibri" w:hAnsi="Calibri" w:cs="Calibri"/>
          <w:i/>
          <w:iCs/>
        </w:rPr>
        <w:t>23</w:t>
      </w:r>
      <w:r w:rsidRPr="005153B8">
        <w:rPr>
          <w:rFonts w:ascii="Calibri" w:hAnsi="Calibri" w:cs="Calibri"/>
        </w:rPr>
        <w:t>(10), Article 10. https://doi.org/10.1038/nm.4393</w:t>
      </w:r>
    </w:p>
    <w:p w14:paraId="3B0F6751" w14:textId="77777777" w:rsidR="005153B8" w:rsidRPr="005153B8" w:rsidRDefault="005153B8" w:rsidP="005153B8">
      <w:pPr>
        <w:pStyle w:val="Bibliography"/>
        <w:rPr>
          <w:rFonts w:ascii="Calibri" w:hAnsi="Calibri" w:cs="Calibri"/>
        </w:rPr>
      </w:pPr>
      <w:r w:rsidRPr="005153B8">
        <w:rPr>
          <w:rFonts w:ascii="Calibri" w:hAnsi="Calibri" w:cs="Calibri"/>
        </w:rPr>
        <w:lastRenderedPageBreak/>
        <w:t xml:space="preserve">Fejzo, M. S., Fasching, P. A., Schneider, M. O., Schwitulla, J., Beckmann, M. W., Schwenke, E., MacGibbon, K. W., &amp; Mullin, P. M. (2019). Analysis of GDF15 and IGFBP7 in Hyperemesis Gravidarum Support Causality. </w:t>
      </w:r>
      <w:r w:rsidRPr="005153B8">
        <w:rPr>
          <w:rFonts w:ascii="Calibri" w:hAnsi="Calibri" w:cs="Calibri"/>
          <w:i/>
          <w:iCs/>
        </w:rPr>
        <w:t>Geburtshilfe Und Frauenheilkunde</w:t>
      </w:r>
      <w:r w:rsidRPr="005153B8">
        <w:rPr>
          <w:rFonts w:ascii="Calibri" w:hAnsi="Calibri" w:cs="Calibri"/>
        </w:rPr>
        <w:t xml:space="preserve">, </w:t>
      </w:r>
      <w:r w:rsidRPr="005153B8">
        <w:rPr>
          <w:rFonts w:ascii="Calibri" w:hAnsi="Calibri" w:cs="Calibri"/>
          <w:i/>
          <w:iCs/>
        </w:rPr>
        <w:t>79</w:t>
      </w:r>
      <w:r w:rsidRPr="005153B8">
        <w:rPr>
          <w:rFonts w:ascii="Calibri" w:hAnsi="Calibri" w:cs="Calibri"/>
        </w:rPr>
        <w:t>(4), 382–388. https://doi.org/10.1055/a-0830-1346</w:t>
      </w:r>
    </w:p>
    <w:p w14:paraId="58FB7500" w14:textId="77777777" w:rsidR="005153B8" w:rsidRPr="005153B8" w:rsidRDefault="005153B8" w:rsidP="005153B8">
      <w:pPr>
        <w:pStyle w:val="Bibliography"/>
        <w:rPr>
          <w:rFonts w:ascii="Calibri" w:hAnsi="Calibri" w:cs="Calibri"/>
        </w:rPr>
      </w:pPr>
      <w:r w:rsidRPr="005153B8">
        <w:rPr>
          <w:rFonts w:ascii="Calibri" w:hAnsi="Calibri" w:cs="Calibri"/>
        </w:rPr>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5153B8">
        <w:rPr>
          <w:rFonts w:ascii="Calibri" w:hAnsi="Calibri" w:cs="Calibri"/>
          <w:i/>
          <w:iCs/>
        </w:rPr>
        <w:t>Nature Communications; London</w:t>
      </w:r>
      <w:r w:rsidRPr="005153B8">
        <w:rPr>
          <w:rFonts w:ascii="Calibri" w:hAnsi="Calibri" w:cs="Calibri"/>
        </w:rPr>
        <w:t xml:space="preserve">, </w:t>
      </w:r>
      <w:r w:rsidRPr="005153B8">
        <w:rPr>
          <w:rFonts w:ascii="Calibri" w:hAnsi="Calibri" w:cs="Calibri"/>
          <w:i/>
          <w:iCs/>
        </w:rPr>
        <w:t>9</w:t>
      </w:r>
      <w:r w:rsidRPr="005153B8">
        <w:rPr>
          <w:rFonts w:ascii="Calibri" w:hAnsi="Calibri" w:cs="Calibri"/>
        </w:rPr>
        <w:t>, 1–9. http://dx.doi.org.proxy.lib.umich.edu/10.1038/s41467-018-03258-0</w:t>
      </w:r>
    </w:p>
    <w:p w14:paraId="41C47464" w14:textId="77777777" w:rsidR="005153B8" w:rsidRPr="005153B8" w:rsidRDefault="005153B8" w:rsidP="005153B8">
      <w:pPr>
        <w:pStyle w:val="Bibliography"/>
        <w:rPr>
          <w:rFonts w:ascii="Calibri" w:hAnsi="Calibri" w:cs="Calibri"/>
        </w:rPr>
      </w:pPr>
      <w:r w:rsidRPr="005153B8">
        <w:rPr>
          <w:rFonts w:ascii="Calibri" w:hAnsi="Calibri" w:cs="Calibri"/>
        </w:rPr>
        <w:t xml:space="preserve">Frikke-Schmidt, H., Hultman, K., Galaske, J. W., Jørgensen, S. B., Myers, M. G., &amp; Seeley, R. J. (2019). GDF15 acts synergistically with liraglutide but is not necessary for the weight loss induced by bariatric surgery in mice. </w:t>
      </w:r>
      <w:r w:rsidRPr="005153B8">
        <w:rPr>
          <w:rFonts w:ascii="Calibri" w:hAnsi="Calibri" w:cs="Calibri"/>
          <w:i/>
          <w:iCs/>
        </w:rPr>
        <w:t>Molecular Metabolism</w:t>
      </w:r>
      <w:r w:rsidRPr="005153B8">
        <w:rPr>
          <w:rFonts w:ascii="Calibri" w:hAnsi="Calibri" w:cs="Calibri"/>
        </w:rPr>
        <w:t xml:space="preserve">, </w:t>
      </w:r>
      <w:r w:rsidRPr="005153B8">
        <w:rPr>
          <w:rFonts w:ascii="Calibri" w:hAnsi="Calibri" w:cs="Calibri"/>
          <w:i/>
          <w:iCs/>
        </w:rPr>
        <w:t>21</w:t>
      </w:r>
      <w:r w:rsidRPr="005153B8">
        <w:rPr>
          <w:rFonts w:ascii="Calibri" w:hAnsi="Calibri" w:cs="Calibri"/>
        </w:rPr>
        <w:t>, 13–21. https://doi.org/10.1016/j.molmet.2019.01.003</w:t>
      </w:r>
    </w:p>
    <w:p w14:paraId="28B1EFAE" w14:textId="77777777" w:rsidR="005153B8" w:rsidRPr="005153B8" w:rsidRDefault="005153B8" w:rsidP="005153B8">
      <w:pPr>
        <w:pStyle w:val="Bibliography"/>
        <w:rPr>
          <w:rFonts w:ascii="Calibri" w:hAnsi="Calibri" w:cs="Calibri"/>
        </w:rPr>
      </w:pPr>
      <w:r w:rsidRPr="005153B8">
        <w:rPr>
          <w:rFonts w:ascii="Calibri" w:hAnsi="Calibri" w:cs="Calibri"/>
        </w:rPr>
        <w:t xml:space="preserve">Gunder, L. C., Harvey, I., Redd, J. R., Davis, C. S., AL-Tamimi, A., Brooks, S. V., &amp; Bridges, D. (2020). Obesity Augments Glucocorticoid-Dependent Muscle Atrophy in Male C57BL/6J Mice. </w:t>
      </w:r>
      <w:r w:rsidRPr="005153B8">
        <w:rPr>
          <w:rFonts w:ascii="Calibri" w:hAnsi="Calibri" w:cs="Calibri"/>
          <w:i/>
          <w:iCs/>
        </w:rPr>
        <w:t>Biomedicines</w:t>
      </w:r>
      <w:r w:rsidRPr="005153B8">
        <w:rPr>
          <w:rFonts w:ascii="Calibri" w:hAnsi="Calibri" w:cs="Calibri"/>
        </w:rPr>
        <w:t xml:space="preserve">, </w:t>
      </w:r>
      <w:r w:rsidRPr="005153B8">
        <w:rPr>
          <w:rFonts w:ascii="Calibri" w:hAnsi="Calibri" w:cs="Calibri"/>
          <w:i/>
          <w:iCs/>
        </w:rPr>
        <w:t>8</w:t>
      </w:r>
      <w:r w:rsidRPr="005153B8">
        <w:rPr>
          <w:rFonts w:ascii="Calibri" w:hAnsi="Calibri" w:cs="Calibri"/>
        </w:rPr>
        <w:t>(10), Article 10. https://doi.org/10.3390/biomedicines8100420</w:t>
      </w:r>
    </w:p>
    <w:p w14:paraId="4D44A766" w14:textId="77777777" w:rsidR="005153B8" w:rsidRPr="005153B8" w:rsidRDefault="005153B8" w:rsidP="005153B8">
      <w:pPr>
        <w:pStyle w:val="Bibliography"/>
        <w:rPr>
          <w:rFonts w:ascii="Calibri" w:hAnsi="Calibri" w:cs="Calibri"/>
        </w:rPr>
      </w:pPr>
      <w:r w:rsidRPr="005153B8">
        <w:rPr>
          <w:rFonts w:ascii="Calibri" w:hAnsi="Calibri" w:cs="Calibri"/>
        </w:rPr>
        <w:t xml:space="preserve">Harvey, I., Stephenson, E. J., Redd, J. R., Tran, Q. T., Hochberg, I., Qi, N., &amp; Bridges, D. (2018). Glucocorticoid-Induced Metabolic Disturbances Are Exacerbated in Obese Male Mice. </w:t>
      </w:r>
      <w:r w:rsidRPr="005153B8">
        <w:rPr>
          <w:rFonts w:ascii="Calibri" w:hAnsi="Calibri" w:cs="Calibri"/>
          <w:i/>
          <w:iCs/>
        </w:rPr>
        <w:t>Endocrinology</w:t>
      </w:r>
      <w:r w:rsidRPr="005153B8">
        <w:rPr>
          <w:rFonts w:ascii="Calibri" w:hAnsi="Calibri" w:cs="Calibri"/>
        </w:rPr>
        <w:t xml:space="preserve">, </w:t>
      </w:r>
      <w:r w:rsidRPr="005153B8">
        <w:rPr>
          <w:rFonts w:ascii="Calibri" w:hAnsi="Calibri" w:cs="Calibri"/>
          <w:i/>
          <w:iCs/>
        </w:rPr>
        <w:t>159</w:t>
      </w:r>
      <w:r w:rsidRPr="005153B8">
        <w:rPr>
          <w:rFonts w:ascii="Calibri" w:hAnsi="Calibri" w:cs="Calibri"/>
        </w:rPr>
        <w:t>(6), 2275–2287. https://doi.org/10.1210/en.2018-00147</w:t>
      </w:r>
    </w:p>
    <w:p w14:paraId="5DD6CEF1" w14:textId="77777777" w:rsidR="005153B8" w:rsidRPr="005153B8" w:rsidRDefault="005153B8" w:rsidP="005153B8">
      <w:pPr>
        <w:pStyle w:val="Bibliography"/>
        <w:rPr>
          <w:rFonts w:ascii="Calibri" w:hAnsi="Calibri" w:cs="Calibri"/>
        </w:rPr>
      </w:pPr>
      <w:r w:rsidRPr="005153B8">
        <w:rPr>
          <w:rFonts w:ascii="Calibri" w:hAnsi="Calibri" w:cs="Calibri"/>
        </w:rPr>
        <w:t xml:space="preserve">Hsu, J.-Y., Crawley, S., Chen, M., Ayupova, D. A., Lindhout, D. A., Higbee, J., Kutach, A., Joo, W., Gao, Z., Fu, D., To, C., Mondal, K., Li, B., Kekatpure, A., Wang, M., Laird, T., Horner, G., </w:t>
      </w:r>
      <w:r w:rsidRPr="005153B8">
        <w:rPr>
          <w:rFonts w:ascii="Calibri" w:hAnsi="Calibri" w:cs="Calibri"/>
        </w:rPr>
        <w:lastRenderedPageBreak/>
        <w:t xml:space="preserve">Chan, J., McEntee, M., … Allan, B. B. (2017). Non-homeostatic body weight regulation through a brainstem-restricted receptor for GDF15. </w:t>
      </w:r>
      <w:r w:rsidRPr="005153B8">
        <w:rPr>
          <w:rFonts w:ascii="Calibri" w:hAnsi="Calibri" w:cs="Calibri"/>
          <w:i/>
          <w:iCs/>
        </w:rPr>
        <w:t>Nature</w:t>
      </w:r>
      <w:r w:rsidRPr="005153B8">
        <w:rPr>
          <w:rFonts w:ascii="Calibri" w:hAnsi="Calibri" w:cs="Calibri"/>
        </w:rPr>
        <w:t xml:space="preserve">, </w:t>
      </w:r>
      <w:r w:rsidRPr="005153B8">
        <w:rPr>
          <w:rFonts w:ascii="Calibri" w:hAnsi="Calibri" w:cs="Calibri"/>
          <w:i/>
          <w:iCs/>
        </w:rPr>
        <w:t>550</w:t>
      </w:r>
      <w:r w:rsidRPr="005153B8">
        <w:rPr>
          <w:rFonts w:ascii="Calibri" w:hAnsi="Calibri" w:cs="Calibri"/>
        </w:rPr>
        <w:t>(7675), 255–259. https://doi.org/10.1038/nature24042</w:t>
      </w:r>
    </w:p>
    <w:p w14:paraId="14CDDA0E" w14:textId="77777777" w:rsidR="005153B8" w:rsidRPr="005153B8" w:rsidRDefault="005153B8" w:rsidP="005153B8">
      <w:pPr>
        <w:pStyle w:val="Bibliography"/>
        <w:rPr>
          <w:rFonts w:ascii="Calibri" w:hAnsi="Calibri" w:cs="Calibri"/>
        </w:rPr>
      </w:pPr>
      <w:r w:rsidRPr="005153B8">
        <w:rPr>
          <w:rFonts w:ascii="Calibri" w:hAnsi="Calibri" w:cs="Calibri"/>
        </w:rPr>
        <w:t xml:space="preserve">Jacobsen, D. P., Røysland, R., Strand, H., Moe, K., Sugulle, M., Omland, T., &amp; Staff, A. C. (2022). Cardiovascular biomarkers in pregnancy with diabetes and associations to glucose control. </w:t>
      </w:r>
      <w:r w:rsidRPr="005153B8">
        <w:rPr>
          <w:rFonts w:ascii="Calibri" w:hAnsi="Calibri" w:cs="Calibri"/>
          <w:i/>
          <w:iCs/>
        </w:rPr>
        <w:t>Acta Diabetologica</w:t>
      </w:r>
      <w:r w:rsidRPr="005153B8">
        <w:rPr>
          <w:rFonts w:ascii="Calibri" w:hAnsi="Calibri" w:cs="Calibri"/>
        </w:rPr>
        <w:t xml:space="preserve">, </w:t>
      </w:r>
      <w:r w:rsidRPr="005153B8">
        <w:rPr>
          <w:rFonts w:ascii="Calibri" w:hAnsi="Calibri" w:cs="Calibri"/>
          <w:i/>
          <w:iCs/>
        </w:rPr>
        <w:t>59</w:t>
      </w:r>
      <w:r w:rsidRPr="005153B8">
        <w:rPr>
          <w:rFonts w:ascii="Calibri" w:hAnsi="Calibri" w:cs="Calibri"/>
        </w:rPr>
        <w:t>(9), 1229–1236. https://doi.org/10.1007/s00592-022-01916-w</w:t>
      </w:r>
    </w:p>
    <w:p w14:paraId="38331125" w14:textId="77777777" w:rsidR="005153B8" w:rsidRPr="005153B8" w:rsidRDefault="005153B8" w:rsidP="005153B8">
      <w:pPr>
        <w:pStyle w:val="Bibliography"/>
        <w:rPr>
          <w:rFonts w:ascii="Calibri" w:hAnsi="Calibri" w:cs="Calibri"/>
        </w:rPr>
      </w:pPr>
      <w:r w:rsidRPr="005153B8">
        <w:rPr>
          <w:rFonts w:ascii="Calibri" w:hAnsi="Calibri" w:cs="Calibri"/>
        </w:rPr>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5153B8">
        <w:rPr>
          <w:rFonts w:ascii="Calibri" w:hAnsi="Calibri" w:cs="Calibri"/>
          <w:i/>
          <w:iCs/>
        </w:rPr>
        <w:t>Circulation Research</w:t>
      </w:r>
      <w:r w:rsidRPr="005153B8">
        <w:rPr>
          <w:rFonts w:ascii="Calibri" w:hAnsi="Calibri" w:cs="Calibri"/>
        </w:rPr>
        <w:t xml:space="preserve">, </w:t>
      </w:r>
      <w:r w:rsidRPr="005153B8">
        <w:rPr>
          <w:rFonts w:ascii="Calibri" w:hAnsi="Calibri" w:cs="Calibri"/>
          <w:i/>
          <w:iCs/>
        </w:rPr>
        <w:t>98</w:t>
      </w:r>
      <w:r w:rsidRPr="005153B8">
        <w:rPr>
          <w:rFonts w:ascii="Calibri" w:hAnsi="Calibri" w:cs="Calibri"/>
        </w:rPr>
        <w:t>(3), 351–360. https://doi.org/10.1161/01.RES.0000202805.73038.48</w:t>
      </w:r>
    </w:p>
    <w:p w14:paraId="1A258BEA" w14:textId="77777777" w:rsidR="005153B8" w:rsidRPr="005153B8" w:rsidRDefault="005153B8" w:rsidP="005153B8">
      <w:pPr>
        <w:pStyle w:val="Bibliography"/>
        <w:rPr>
          <w:rFonts w:ascii="Calibri" w:hAnsi="Calibri" w:cs="Calibri"/>
        </w:rPr>
      </w:pPr>
      <w:r w:rsidRPr="005153B8">
        <w:rPr>
          <w:rFonts w:ascii="Calibri" w:hAnsi="Calibri" w:cs="Calibri"/>
        </w:rPr>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motivation to exercise. </w:t>
      </w:r>
      <w:r w:rsidRPr="005153B8">
        <w:rPr>
          <w:rFonts w:ascii="Calibri" w:hAnsi="Calibri" w:cs="Calibri"/>
          <w:i/>
          <w:iCs/>
        </w:rPr>
        <w:t>Nature Communications</w:t>
      </w:r>
      <w:r w:rsidRPr="005153B8">
        <w:rPr>
          <w:rFonts w:ascii="Calibri" w:hAnsi="Calibri" w:cs="Calibri"/>
        </w:rPr>
        <w:t xml:space="preserve">, </w:t>
      </w:r>
      <w:r w:rsidRPr="005153B8">
        <w:rPr>
          <w:rFonts w:ascii="Calibri" w:hAnsi="Calibri" w:cs="Calibri"/>
          <w:i/>
          <w:iCs/>
        </w:rPr>
        <w:t>12</w:t>
      </w:r>
      <w:r w:rsidRPr="005153B8">
        <w:rPr>
          <w:rFonts w:ascii="Calibri" w:hAnsi="Calibri" w:cs="Calibri"/>
        </w:rPr>
        <w:t>, 1041. https://doi.org/10.1038/s41467-021-21309-x</w:t>
      </w:r>
    </w:p>
    <w:p w14:paraId="2D7550D2" w14:textId="77777777" w:rsidR="005153B8" w:rsidRPr="005153B8" w:rsidRDefault="005153B8" w:rsidP="005153B8">
      <w:pPr>
        <w:pStyle w:val="Bibliography"/>
        <w:rPr>
          <w:rFonts w:ascii="Calibri" w:hAnsi="Calibri" w:cs="Calibri"/>
        </w:rPr>
      </w:pPr>
      <w:r w:rsidRPr="005153B8">
        <w:rPr>
          <w:rFonts w:ascii="Calibri" w:hAnsi="Calibri" w:cs="Calibri"/>
        </w:rPr>
        <w:t xml:space="preserve">Klein, A. B., Ranea-Robles, P., Nicolaisen, T. S., Gil, C., Johann, K., Quesada, J. P., Pistolevij, N., Hviid, K. V. R., Fich, L., Offersen, S. M., Helge, J. W., Nielsen, H. S., Bakker, J., Kleinert, M., &amp; Clemmensen, C. (2023). Cross-species comparison of pregnancy-induced GDF15. </w:t>
      </w:r>
      <w:r w:rsidRPr="005153B8">
        <w:rPr>
          <w:rFonts w:ascii="Calibri" w:hAnsi="Calibri" w:cs="Calibri"/>
          <w:i/>
          <w:iCs/>
        </w:rPr>
        <w:lastRenderedPageBreak/>
        <w:t>American Journal of Physiology-Endocrinology and Metabolism</w:t>
      </w:r>
      <w:r w:rsidRPr="005153B8">
        <w:rPr>
          <w:rFonts w:ascii="Calibri" w:hAnsi="Calibri" w:cs="Calibri"/>
        </w:rPr>
        <w:t xml:space="preserve">, </w:t>
      </w:r>
      <w:r w:rsidRPr="005153B8">
        <w:rPr>
          <w:rFonts w:ascii="Calibri" w:hAnsi="Calibri" w:cs="Calibri"/>
          <w:i/>
          <w:iCs/>
        </w:rPr>
        <w:t>325</w:t>
      </w:r>
      <w:r w:rsidRPr="005153B8">
        <w:rPr>
          <w:rFonts w:ascii="Calibri" w:hAnsi="Calibri" w:cs="Calibri"/>
        </w:rPr>
        <w:t>(4), E303–E309. https://doi.org/10.1152/ajpendo.00134.2023</w:t>
      </w:r>
    </w:p>
    <w:p w14:paraId="08AA66B4" w14:textId="77777777" w:rsidR="005153B8" w:rsidRPr="005153B8" w:rsidRDefault="005153B8" w:rsidP="005153B8">
      <w:pPr>
        <w:pStyle w:val="Bibliography"/>
        <w:rPr>
          <w:rFonts w:ascii="Calibri" w:hAnsi="Calibri" w:cs="Calibri"/>
        </w:rPr>
      </w:pPr>
      <w:r w:rsidRPr="005153B8">
        <w:rPr>
          <w:rFonts w:ascii="Calibri" w:hAnsi="Calibri" w:cs="Calibri"/>
        </w:rPr>
        <w:t xml:space="preserve">Ladyman, S. R., Carter, K. M., &amp; Grattan, D. R. (2018). Energy homeostasis and running wheel activity during pregnancy in the mouse. </w:t>
      </w:r>
      <w:r w:rsidRPr="005153B8">
        <w:rPr>
          <w:rFonts w:ascii="Calibri" w:hAnsi="Calibri" w:cs="Calibri"/>
          <w:i/>
          <w:iCs/>
        </w:rPr>
        <w:t>Physiology &amp; Behavior</w:t>
      </w:r>
      <w:r w:rsidRPr="005153B8">
        <w:rPr>
          <w:rFonts w:ascii="Calibri" w:hAnsi="Calibri" w:cs="Calibri"/>
        </w:rPr>
        <w:t xml:space="preserve">, </w:t>
      </w:r>
      <w:r w:rsidRPr="005153B8">
        <w:rPr>
          <w:rFonts w:ascii="Calibri" w:hAnsi="Calibri" w:cs="Calibri"/>
          <w:i/>
          <w:iCs/>
        </w:rPr>
        <w:t>194</w:t>
      </w:r>
      <w:r w:rsidRPr="005153B8">
        <w:rPr>
          <w:rFonts w:ascii="Calibri" w:hAnsi="Calibri" w:cs="Calibri"/>
        </w:rPr>
        <w:t>, 83–94. https://doi.org/10.1016/j.physbeh.2018.05.002</w:t>
      </w:r>
    </w:p>
    <w:p w14:paraId="0C32B5C6" w14:textId="77777777" w:rsidR="005153B8" w:rsidRPr="005153B8" w:rsidRDefault="005153B8" w:rsidP="005153B8">
      <w:pPr>
        <w:pStyle w:val="Bibliography"/>
        <w:rPr>
          <w:rFonts w:ascii="Calibri" w:hAnsi="Calibri" w:cs="Calibri"/>
        </w:rPr>
      </w:pPr>
      <w:r w:rsidRPr="005153B8">
        <w:rPr>
          <w:rFonts w:ascii="Calibri" w:hAnsi="Calibri" w:cs="Calibri"/>
        </w:rPr>
        <w:t xml:space="preserve">Marjono, A. B., Brown, D. A., Horton, K. E., Wallace, E. M., Breit, S. N., &amp; Manuelpillai, U. (2003). Macrophage Inhibitory Cytokine-1 in Gestational Tissues and Maternal Serum in Normal and Pre-eclamptic Pregnancy. </w:t>
      </w:r>
      <w:r w:rsidRPr="005153B8">
        <w:rPr>
          <w:rFonts w:ascii="Calibri" w:hAnsi="Calibri" w:cs="Calibri"/>
          <w:i/>
          <w:iCs/>
        </w:rPr>
        <w:t>Placenta</w:t>
      </w:r>
      <w:r w:rsidRPr="005153B8">
        <w:rPr>
          <w:rFonts w:ascii="Calibri" w:hAnsi="Calibri" w:cs="Calibri"/>
        </w:rPr>
        <w:t xml:space="preserve">, </w:t>
      </w:r>
      <w:r w:rsidRPr="005153B8">
        <w:rPr>
          <w:rFonts w:ascii="Calibri" w:hAnsi="Calibri" w:cs="Calibri"/>
          <w:i/>
          <w:iCs/>
        </w:rPr>
        <w:t>24</w:t>
      </w:r>
      <w:r w:rsidRPr="005153B8">
        <w:rPr>
          <w:rFonts w:ascii="Calibri" w:hAnsi="Calibri" w:cs="Calibri"/>
        </w:rPr>
        <w:t>(1), 100–106. https://doi.org/10.1053/plac.2002.0881</w:t>
      </w:r>
    </w:p>
    <w:p w14:paraId="1074311E" w14:textId="77777777" w:rsidR="005153B8" w:rsidRPr="005153B8" w:rsidRDefault="005153B8" w:rsidP="005153B8">
      <w:pPr>
        <w:pStyle w:val="Bibliography"/>
        <w:rPr>
          <w:rFonts w:ascii="Calibri" w:hAnsi="Calibri" w:cs="Calibri"/>
        </w:rPr>
      </w:pPr>
      <w:r w:rsidRPr="005153B8">
        <w:rPr>
          <w:rFonts w:ascii="Calibri" w:hAnsi="Calibri" w:cs="Calibri"/>
        </w:rPr>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5153B8">
        <w:rPr>
          <w:rFonts w:ascii="Calibri" w:hAnsi="Calibri" w:cs="Calibri"/>
          <w:i/>
          <w:iCs/>
        </w:rPr>
        <w:t>The Journal of Clinical Endocrinology and Metabolism</w:t>
      </w:r>
      <w:r w:rsidRPr="005153B8">
        <w:rPr>
          <w:rFonts w:ascii="Calibri" w:hAnsi="Calibri" w:cs="Calibri"/>
        </w:rPr>
        <w:t xml:space="preserve">, </w:t>
      </w:r>
      <w:r w:rsidRPr="005153B8">
        <w:rPr>
          <w:rFonts w:ascii="Calibri" w:hAnsi="Calibri" w:cs="Calibri"/>
          <w:i/>
          <w:iCs/>
        </w:rPr>
        <w:t>85</w:t>
      </w:r>
      <w:r w:rsidRPr="005153B8">
        <w:rPr>
          <w:rFonts w:ascii="Calibri" w:hAnsi="Calibri" w:cs="Calibri"/>
        </w:rPr>
        <w:t>(12), 4781–4788. https://doi.org/10.1210/jcem.85.12.7007</w:t>
      </w:r>
    </w:p>
    <w:p w14:paraId="548D0A9D" w14:textId="77777777" w:rsidR="005153B8" w:rsidRPr="005153B8" w:rsidRDefault="005153B8" w:rsidP="005153B8">
      <w:pPr>
        <w:pStyle w:val="Bibliography"/>
        <w:rPr>
          <w:rFonts w:ascii="Calibri" w:hAnsi="Calibri" w:cs="Calibri"/>
        </w:rPr>
      </w:pPr>
      <w:r w:rsidRPr="005153B8">
        <w:rPr>
          <w:rFonts w:ascii="Calibri" w:hAnsi="Calibri" w:cs="Calibri"/>
        </w:rPr>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5153B8">
        <w:rPr>
          <w:rFonts w:ascii="Calibri" w:hAnsi="Calibri" w:cs="Calibri"/>
          <w:i/>
          <w:iCs/>
        </w:rPr>
        <w:t>Nature Medicine</w:t>
      </w:r>
      <w:r w:rsidRPr="005153B8">
        <w:rPr>
          <w:rFonts w:ascii="Calibri" w:hAnsi="Calibri" w:cs="Calibri"/>
        </w:rPr>
        <w:t xml:space="preserve">, </w:t>
      </w:r>
      <w:r w:rsidRPr="005153B8">
        <w:rPr>
          <w:rFonts w:ascii="Calibri" w:hAnsi="Calibri" w:cs="Calibri"/>
          <w:i/>
          <w:iCs/>
        </w:rPr>
        <w:t>23</w:t>
      </w:r>
      <w:r w:rsidRPr="005153B8">
        <w:rPr>
          <w:rFonts w:ascii="Calibri" w:hAnsi="Calibri" w:cs="Calibri"/>
        </w:rPr>
        <w:t>(10), 1150–1157. https://doi.org/10.1038/nm.4392</w:t>
      </w:r>
    </w:p>
    <w:p w14:paraId="41DD0426" w14:textId="77777777" w:rsidR="005153B8" w:rsidRPr="005153B8" w:rsidRDefault="005153B8" w:rsidP="005153B8">
      <w:pPr>
        <w:pStyle w:val="Bibliography"/>
        <w:rPr>
          <w:rFonts w:ascii="Calibri" w:hAnsi="Calibri" w:cs="Calibri"/>
        </w:rPr>
      </w:pPr>
      <w:r w:rsidRPr="005153B8">
        <w:rPr>
          <w:rFonts w:ascii="Calibri" w:hAnsi="Calibri" w:cs="Calibri"/>
        </w:rPr>
        <w:t xml:space="preserve">Musial, B., Fernandez-Twinn, D. S., Vaughan, O. R., Ozanne, S. E., Voshol, P., Sferruzzi-Perri, A. N., &amp; Fowden, A. L. (2016). Proximity to Delivery Alters Insulin Sensitivity and Glucose </w:t>
      </w:r>
      <w:r w:rsidRPr="005153B8">
        <w:rPr>
          <w:rFonts w:ascii="Calibri" w:hAnsi="Calibri" w:cs="Calibri"/>
        </w:rPr>
        <w:lastRenderedPageBreak/>
        <w:t xml:space="preserve">Metabolism in Pregnant Mice. </w:t>
      </w:r>
      <w:r w:rsidRPr="005153B8">
        <w:rPr>
          <w:rFonts w:ascii="Calibri" w:hAnsi="Calibri" w:cs="Calibri"/>
          <w:i/>
          <w:iCs/>
        </w:rPr>
        <w:t>Diabetes</w:t>
      </w:r>
      <w:r w:rsidRPr="005153B8">
        <w:rPr>
          <w:rFonts w:ascii="Calibri" w:hAnsi="Calibri" w:cs="Calibri"/>
        </w:rPr>
        <w:t xml:space="preserve">, </w:t>
      </w:r>
      <w:r w:rsidRPr="005153B8">
        <w:rPr>
          <w:rFonts w:ascii="Calibri" w:hAnsi="Calibri" w:cs="Calibri"/>
          <w:i/>
          <w:iCs/>
        </w:rPr>
        <w:t>65</w:t>
      </w:r>
      <w:r w:rsidRPr="005153B8">
        <w:rPr>
          <w:rFonts w:ascii="Calibri" w:hAnsi="Calibri" w:cs="Calibri"/>
        </w:rPr>
        <w:t>(4), 851–860. https://doi.org/10.2337/db15-1531</w:t>
      </w:r>
    </w:p>
    <w:p w14:paraId="56F4FAD9" w14:textId="77777777" w:rsidR="005153B8" w:rsidRPr="005153B8" w:rsidRDefault="005153B8" w:rsidP="005153B8">
      <w:pPr>
        <w:pStyle w:val="Bibliography"/>
        <w:rPr>
          <w:rFonts w:ascii="Calibri" w:hAnsi="Calibri" w:cs="Calibri"/>
        </w:rPr>
      </w:pPr>
      <w:r w:rsidRPr="005153B8">
        <w:rPr>
          <w:rFonts w:ascii="Calibri" w:hAnsi="Calibri" w:cs="Calibri"/>
        </w:rPr>
        <w:t xml:space="preserve">Ost, M., Igual Gil, C., Coleman, V., Keipert, S., Efstathiou, S., Vidic, V., Weyers, M., &amp; Klaus, S. (2020). Muscle-derived GDF15 drives diurnal anorexia and systemic metabolic remodeling during mitochondrial stress. </w:t>
      </w:r>
      <w:r w:rsidRPr="005153B8">
        <w:rPr>
          <w:rFonts w:ascii="Calibri" w:hAnsi="Calibri" w:cs="Calibri"/>
          <w:i/>
          <w:iCs/>
        </w:rPr>
        <w:t>EMBO Reports</w:t>
      </w:r>
      <w:r w:rsidRPr="005153B8">
        <w:rPr>
          <w:rFonts w:ascii="Calibri" w:hAnsi="Calibri" w:cs="Calibri"/>
        </w:rPr>
        <w:t xml:space="preserve">, </w:t>
      </w:r>
      <w:r w:rsidRPr="005153B8">
        <w:rPr>
          <w:rFonts w:ascii="Calibri" w:hAnsi="Calibri" w:cs="Calibri"/>
          <w:i/>
          <w:iCs/>
        </w:rPr>
        <w:t>21</w:t>
      </w:r>
      <w:r w:rsidRPr="005153B8">
        <w:rPr>
          <w:rFonts w:ascii="Calibri" w:hAnsi="Calibri" w:cs="Calibri"/>
        </w:rPr>
        <w:t>(3), e48804. https://doi.org/10.15252/embr.201948804</w:t>
      </w:r>
    </w:p>
    <w:p w14:paraId="0F4836E5" w14:textId="77777777" w:rsidR="005153B8" w:rsidRPr="005153B8" w:rsidRDefault="005153B8" w:rsidP="005153B8">
      <w:pPr>
        <w:pStyle w:val="Bibliography"/>
        <w:rPr>
          <w:rFonts w:ascii="Calibri" w:hAnsi="Calibri" w:cs="Calibri"/>
        </w:rPr>
      </w:pPr>
      <w:r w:rsidRPr="005153B8">
        <w:rPr>
          <w:rFonts w:ascii="Calibri" w:hAnsi="Calibri" w:cs="Calibri"/>
        </w:rPr>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5153B8">
        <w:rPr>
          <w:rFonts w:ascii="Calibri" w:hAnsi="Calibri" w:cs="Calibri"/>
          <w:i/>
          <w:iCs/>
        </w:rPr>
        <w:t>Cell Metabolism</w:t>
      </w:r>
      <w:r w:rsidRPr="005153B8">
        <w:rPr>
          <w:rFonts w:ascii="Calibri" w:hAnsi="Calibri" w:cs="Calibri"/>
        </w:rPr>
        <w:t xml:space="preserve">, </w:t>
      </w:r>
      <w:r w:rsidRPr="005153B8">
        <w:rPr>
          <w:rFonts w:ascii="Calibri" w:hAnsi="Calibri" w:cs="Calibri"/>
          <w:i/>
          <w:iCs/>
        </w:rPr>
        <w:t>29</w:t>
      </w:r>
      <w:r w:rsidRPr="005153B8">
        <w:rPr>
          <w:rFonts w:ascii="Calibri" w:hAnsi="Calibri" w:cs="Calibri"/>
        </w:rPr>
        <w:t>(3), 707-718.e8. https://doi.org/10.1016/j.cmet.2018.12.016</w:t>
      </w:r>
    </w:p>
    <w:p w14:paraId="606E9D6C" w14:textId="77777777" w:rsidR="005153B8" w:rsidRPr="005153B8" w:rsidRDefault="005153B8" w:rsidP="005153B8">
      <w:pPr>
        <w:pStyle w:val="Bibliography"/>
        <w:rPr>
          <w:rFonts w:ascii="Calibri" w:hAnsi="Calibri" w:cs="Calibri"/>
        </w:rPr>
      </w:pPr>
      <w:r w:rsidRPr="005153B8">
        <w:rPr>
          <w:rFonts w:ascii="Calibri" w:hAnsi="Calibri" w:cs="Calibri"/>
        </w:rPr>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5153B8">
        <w:rPr>
          <w:rFonts w:ascii="Calibri" w:hAnsi="Calibri" w:cs="Calibri"/>
          <w:i/>
          <w:iCs/>
        </w:rPr>
        <w:t>Wellcome Open Research</w:t>
      </w:r>
      <w:r w:rsidRPr="005153B8">
        <w:rPr>
          <w:rFonts w:ascii="Calibri" w:hAnsi="Calibri" w:cs="Calibri"/>
        </w:rPr>
        <w:t xml:space="preserve">, </w:t>
      </w:r>
      <w:r w:rsidRPr="005153B8">
        <w:rPr>
          <w:rFonts w:ascii="Calibri" w:hAnsi="Calibri" w:cs="Calibri"/>
          <w:i/>
          <w:iCs/>
        </w:rPr>
        <w:t>3</w:t>
      </w:r>
      <w:r w:rsidRPr="005153B8">
        <w:rPr>
          <w:rFonts w:ascii="Calibri" w:hAnsi="Calibri" w:cs="Calibri"/>
        </w:rPr>
        <w:t>, 123. https://doi.org/10.12688/wellcomeopenres.14818.1</w:t>
      </w:r>
    </w:p>
    <w:p w14:paraId="0E9A14D9" w14:textId="77777777" w:rsidR="005153B8" w:rsidRPr="005153B8" w:rsidRDefault="005153B8" w:rsidP="005153B8">
      <w:pPr>
        <w:pStyle w:val="Bibliography"/>
        <w:rPr>
          <w:rFonts w:ascii="Calibri" w:hAnsi="Calibri" w:cs="Calibri"/>
        </w:rPr>
      </w:pPr>
      <w:r w:rsidRPr="005153B8">
        <w:rPr>
          <w:rFonts w:ascii="Calibri" w:hAnsi="Calibri" w:cs="Calibri"/>
        </w:rPr>
        <w:t xml:space="preserve">R Core Team. (2021). </w:t>
      </w:r>
      <w:r w:rsidRPr="005153B8">
        <w:rPr>
          <w:rFonts w:ascii="Calibri" w:hAnsi="Calibri" w:cs="Calibri"/>
          <w:i/>
          <w:iCs/>
        </w:rPr>
        <w:t>R: A Language and Environment for Statistical Computing</w:t>
      </w:r>
      <w:r w:rsidRPr="005153B8">
        <w:rPr>
          <w:rFonts w:ascii="Calibri" w:hAnsi="Calibri" w:cs="Calibri"/>
        </w:rPr>
        <w:t>. R Foundation for Statistical Computing. https://www.R-project.org/</w:t>
      </w:r>
    </w:p>
    <w:p w14:paraId="481E8FCA" w14:textId="77777777" w:rsidR="005153B8" w:rsidRPr="005153B8" w:rsidRDefault="005153B8" w:rsidP="005153B8">
      <w:pPr>
        <w:pStyle w:val="Bibliography"/>
        <w:rPr>
          <w:rFonts w:ascii="Calibri" w:hAnsi="Calibri" w:cs="Calibri"/>
        </w:rPr>
      </w:pPr>
      <w:r w:rsidRPr="005153B8">
        <w:rPr>
          <w:rFonts w:ascii="Calibri" w:hAnsi="Calibri" w:cs="Calibri"/>
        </w:rPr>
        <w:t xml:space="preserve">Schmidt, A., Morales-Prieto, D. M., Pastuschek, J., Fröhlich, K., &amp; Markert, U. R. (2015). Only humans have human placentas: Molecular differences between mice and humans. </w:t>
      </w:r>
      <w:r w:rsidRPr="005153B8">
        <w:rPr>
          <w:rFonts w:ascii="Calibri" w:hAnsi="Calibri" w:cs="Calibri"/>
          <w:i/>
          <w:iCs/>
        </w:rPr>
        <w:lastRenderedPageBreak/>
        <w:t>Journal of Reproductive Immunology</w:t>
      </w:r>
      <w:r w:rsidRPr="005153B8">
        <w:rPr>
          <w:rFonts w:ascii="Calibri" w:hAnsi="Calibri" w:cs="Calibri"/>
        </w:rPr>
        <w:t xml:space="preserve">, </w:t>
      </w:r>
      <w:r w:rsidRPr="005153B8">
        <w:rPr>
          <w:rFonts w:ascii="Calibri" w:hAnsi="Calibri" w:cs="Calibri"/>
          <w:i/>
          <w:iCs/>
        </w:rPr>
        <w:t>108</w:t>
      </w:r>
      <w:r w:rsidRPr="005153B8">
        <w:rPr>
          <w:rFonts w:ascii="Calibri" w:hAnsi="Calibri" w:cs="Calibri"/>
        </w:rPr>
        <w:t>, 65–71. https://doi.org/10.1016/j.jri.2015.03.001</w:t>
      </w:r>
    </w:p>
    <w:p w14:paraId="577F12BF" w14:textId="77777777" w:rsidR="005153B8" w:rsidRPr="005153B8" w:rsidRDefault="005153B8" w:rsidP="005153B8">
      <w:pPr>
        <w:pStyle w:val="Bibliography"/>
        <w:rPr>
          <w:rFonts w:ascii="Calibri" w:hAnsi="Calibri" w:cs="Calibri"/>
        </w:rPr>
      </w:pPr>
      <w:r w:rsidRPr="005153B8">
        <w:rPr>
          <w:rFonts w:ascii="Calibri" w:hAnsi="Calibri" w:cs="Calibri"/>
        </w:rPr>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5153B8">
        <w:rPr>
          <w:rFonts w:ascii="Calibri" w:hAnsi="Calibri" w:cs="Calibri"/>
          <w:i/>
          <w:iCs/>
        </w:rPr>
        <w:t>Hypertension</w:t>
      </w:r>
      <w:r w:rsidRPr="005153B8">
        <w:rPr>
          <w:rFonts w:ascii="Calibri" w:hAnsi="Calibri" w:cs="Calibri"/>
        </w:rPr>
        <w:t xml:space="preserve">, </w:t>
      </w:r>
      <w:r w:rsidRPr="005153B8">
        <w:rPr>
          <w:rFonts w:ascii="Calibri" w:hAnsi="Calibri" w:cs="Calibri"/>
          <w:i/>
          <w:iCs/>
        </w:rPr>
        <w:t>54</w:t>
      </w:r>
      <w:r w:rsidRPr="005153B8">
        <w:rPr>
          <w:rFonts w:ascii="Calibri" w:hAnsi="Calibri" w:cs="Calibri"/>
        </w:rPr>
        <w:t>(1), 106–112. https://doi.org/10.1161/HYPERTENSIONAHA.109.130583</w:t>
      </w:r>
    </w:p>
    <w:p w14:paraId="40FF0579" w14:textId="77777777" w:rsidR="005153B8" w:rsidRPr="005153B8" w:rsidRDefault="005153B8" w:rsidP="005153B8">
      <w:pPr>
        <w:pStyle w:val="Bibliography"/>
        <w:rPr>
          <w:rFonts w:ascii="Calibri" w:hAnsi="Calibri" w:cs="Calibri"/>
        </w:rPr>
      </w:pPr>
      <w:r w:rsidRPr="005153B8">
        <w:rPr>
          <w:rFonts w:ascii="Calibri" w:hAnsi="Calibri" w:cs="Calibri"/>
        </w:rPr>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5153B8">
        <w:rPr>
          <w:rFonts w:ascii="Calibri" w:hAnsi="Calibri" w:cs="Calibri"/>
          <w:i/>
          <w:iCs/>
        </w:rPr>
        <w:t>Nature Medicine</w:t>
      </w:r>
      <w:r w:rsidRPr="005153B8">
        <w:rPr>
          <w:rFonts w:ascii="Calibri" w:hAnsi="Calibri" w:cs="Calibri"/>
        </w:rPr>
        <w:t xml:space="preserve">, </w:t>
      </w:r>
      <w:r w:rsidRPr="005153B8">
        <w:rPr>
          <w:rFonts w:ascii="Calibri" w:hAnsi="Calibri" w:cs="Calibri"/>
          <w:i/>
          <w:iCs/>
        </w:rPr>
        <w:t>26</w:t>
      </w:r>
      <w:r w:rsidRPr="005153B8">
        <w:rPr>
          <w:rFonts w:ascii="Calibri" w:hAnsi="Calibri" w:cs="Calibri"/>
        </w:rPr>
        <w:t>(8), 1264–1270. https://doi.org/10.1038/s41591-020-0945-x</w:t>
      </w:r>
    </w:p>
    <w:p w14:paraId="1281D5DE" w14:textId="77777777" w:rsidR="005153B8" w:rsidRPr="005153B8" w:rsidRDefault="005153B8" w:rsidP="005153B8">
      <w:pPr>
        <w:pStyle w:val="Bibliography"/>
        <w:rPr>
          <w:rFonts w:ascii="Calibri" w:hAnsi="Calibri" w:cs="Calibri"/>
        </w:rPr>
      </w:pPr>
      <w:r w:rsidRPr="005153B8">
        <w:rPr>
          <w:rFonts w:ascii="Calibri" w:hAnsi="Calibri" w:cs="Calibri"/>
        </w:rPr>
        <w:t xml:space="preserve">Tong, S., Marjono, B., Brown, D. A., Mulvey, S., Breit, S. N., Manuelpillai, U., &amp; Wallace, E. M. (2004). Serum concentrations of macrophage inhibitory cytokine 1 (MIC 1) as a predictor of miscarriage. </w:t>
      </w:r>
      <w:r w:rsidRPr="005153B8">
        <w:rPr>
          <w:rFonts w:ascii="Calibri" w:hAnsi="Calibri" w:cs="Calibri"/>
          <w:i/>
          <w:iCs/>
        </w:rPr>
        <w:t>The Lancet</w:t>
      </w:r>
      <w:r w:rsidRPr="005153B8">
        <w:rPr>
          <w:rFonts w:ascii="Calibri" w:hAnsi="Calibri" w:cs="Calibri"/>
        </w:rPr>
        <w:t xml:space="preserve">, </w:t>
      </w:r>
      <w:r w:rsidRPr="005153B8">
        <w:rPr>
          <w:rFonts w:ascii="Calibri" w:hAnsi="Calibri" w:cs="Calibri"/>
          <w:i/>
          <w:iCs/>
        </w:rPr>
        <w:t>363</w:t>
      </w:r>
      <w:r w:rsidRPr="005153B8">
        <w:rPr>
          <w:rFonts w:ascii="Calibri" w:hAnsi="Calibri" w:cs="Calibri"/>
        </w:rPr>
        <w:t>(9403), 129–130. https://doi.org/10.1016/S0140-6736(03)15265-8</w:t>
      </w:r>
    </w:p>
    <w:p w14:paraId="19F65023" w14:textId="77777777" w:rsidR="005153B8" w:rsidRPr="005153B8" w:rsidRDefault="005153B8" w:rsidP="005153B8">
      <w:pPr>
        <w:pStyle w:val="Bibliography"/>
        <w:rPr>
          <w:rFonts w:ascii="Calibri" w:hAnsi="Calibri" w:cs="Calibri"/>
        </w:rPr>
      </w:pPr>
      <w:r w:rsidRPr="005153B8">
        <w:rPr>
          <w:rFonts w:ascii="Calibri" w:hAnsi="Calibri" w:cs="Calibri"/>
        </w:rPr>
        <w:t xml:space="preserve">Tran, T., Yang, J., Gardner, J., &amp; Xiong, Y. (2018). GDF15 deficiency promotes high fat diet-induced obesity in mice. </w:t>
      </w:r>
      <w:r w:rsidRPr="005153B8">
        <w:rPr>
          <w:rFonts w:ascii="Calibri" w:hAnsi="Calibri" w:cs="Calibri"/>
          <w:i/>
          <w:iCs/>
        </w:rPr>
        <w:t>PloS One</w:t>
      </w:r>
      <w:r w:rsidRPr="005153B8">
        <w:rPr>
          <w:rFonts w:ascii="Calibri" w:hAnsi="Calibri" w:cs="Calibri"/>
        </w:rPr>
        <w:t xml:space="preserve">, </w:t>
      </w:r>
      <w:r w:rsidRPr="005153B8">
        <w:rPr>
          <w:rFonts w:ascii="Calibri" w:hAnsi="Calibri" w:cs="Calibri"/>
          <w:i/>
          <w:iCs/>
        </w:rPr>
        <w:t>13</w:t>
      </w:r>
      <w:r w:rsidRPr="005153B8">
        <w:rPr>
          <w:rFonts w:ascii="Calibri" w:hAnsi="Calibri" w:cs="Calibri"/>
        </w:rPr>
        <w:t>(8), e0201584. https://doi.org/10.1371/journal.pone.0201584</w:t>
      </w:r>
    </w:p>
    <w:p w14:paraId="196D01D2" w14:textId="77777777" w:rsidR="005153B8" w:rsidRPr="005153B8" w:rsidRDefault="005153B8" w:rsidP="005153B8">
      <w:pPr>
        <w:pStyle w:val="Bibliography"/>
        <w:rPr>
          <w:rFonts w:ascii="Calibri" w:hAnsi="Calibri" w:cs="Calibri"/>
        </w:rPr>
      </w:pPr>
      <w:r w:rsidRPr="005153B8">
        <w:rPr>
          <w:rFonts w:ascii="Calibri" w:hAnsi="Calibri" w:cs="Calibri"/>
        </w:rPr>
        <w:t xml:space="preserve">Tsai, V. W.-W., Zhang, H. P., Manandhar, R., Schofield, P., Christ, D., Lee-Ng, K. K. M., Lebhar, H., Marquis, C. P., Husaini, Y., Brown, D. A., &amp; Breit, S. N. (2019). GDF15 mediates adiposity </w:t>
      </w:r>
      <w:r w:rsidRPr="005153B8">
        <w:rPr>
          <w:rFonts w:ascii="Calibri" w:hAnsi="Calibri" w:cs="Calibri"/>
        </w:rPr>
        <w:lastRenderedPageBreak/>
        <w:t xml:space="preserve">resistance through actions on GFRAL neurons in the hindbrain AP/NTS. </w:t>
      </w:r>
      <w:r w:rsidRPr="005153B8">
        <w:rPr>
          <w:rFonts w:ascii="Calibri" w:hAnsi="Calibri" w:cs="Calibri"/>
          <w:i/>
          <w:iCs/>
        </w:rPr>
        <w:t>International Journal of Obesity</w:t>
      </w:r>
      <w:r w:rsidRPr="005153B8">
        <w:rPr>
          <w:rFonts w:ascii="Calibri" w:hAnsi="Calibri" w:cs="Calibri"/>
        </w:rPr>
        <w:t xml:space="preserve">, </w:t>
      </w:r>
      <w:r w:rsidRPr="005153B8">
        <w:rPr>
          <w:rFonts w:ascii="Calibri" w:hAnsi="Calibri" w:cs="Calibri"/>
          <w:i/>
          <w:iCs/>
        </w:rPr>
        <w:t>43</w:t>
      </w:r>
      <w:r w:rsidRPr="005153B8">
        <w:rPr>
          <w:rFonts w:ascii="Calibri" w:hAnsi="Calibri" w:cs="Calibri"/>
        </w:rPr>
        <w:t>(12), Article 12. https://doi.org/10.1038/s41366-019-0365-5</w:t>
      </w:r>
    </w:p>
    <w:p w14:paraId="05EB8420" w14:textId="77777777" w:rsidR="005153B8" w:rsidRPr="005153B8" w:rsidRDefault="005153B8" w:rsidP="005153B8">
      <w:pPr>
        <w:pStyle w:val="Bibliography"/>
        <w:rPr>
          <w:rFonts w:ascii="Calibri" w:hAnsi="Calibri" w:cs="Calibri"/>
        </w:rPr>
      </w:pPr>
      <w:r w:rsidRPr="005153B8">
        <w:rPr>
          <w:rFonts w:ascii="Calibri" w:hAnsi="Calibri" w:cs="Calibri"/>
        </w:rPr>
        <w:t xml:space="preserve">Wang, L., &amp; Yang, Q. (2022). Circulating Growth Differentiation Factor 15 and Preeclampsia: A Meta-Analysis. </w:t>
      </w:r>
      <w:r w:rsidRPr="005153B8">
        <w:rPr>
          <w:rFonts w:ascii="Calibri" w:hAnsi="Calibri" w:cs="Calibri"/>
          <w:i/>
          <w:iCs/>
        </w:rPr>
        <w:t>Hormone and Metabolic Research = Hormon- Und Stoffwechselforschung = Hormones Et Metabolisme</w:t>
      </w:r>
      <w:r w:rsidRPr="005153B8">
        <w:rPr>
          <w:rFonts w:ascii="Calibri" w:hAnsi="Calibri" w:cs="Calibri"/>
        </w:rPr>
        <w:t>. https://doi.org/10.1055/a-1956-2961</w:t>
      </w:r>
    </w:p>
    <w:p w14:paraId="373860E5" w14:textId="77777777" w:rsidR="005153B8" w:rsidRPr="005153B8" w:rsidRDefault="005153B8" w:rsidP="005153B8">
      <w:pPr>
        <w:pStyle w:val="Bibliography"/>
        <w:rPr>
          <w:rFonts w:ascii="Calibri" w:hAnsi="Calibri" w:cs="Calibri"/>
        </w:rPr>
      </w:pPr>
      <w:r w:rsidRPr="005153B8">
        <w:rPr>
          <w:rFonts w:ascii="Calibri" w:hAnsi="Calibri" w:cs="Calibri"/>
        </w:rPr>
        <w:t xml:space="preserve">Wang, P., Ma, W., Zhou, Y., Zhao, Y., Shi, H., Yang, Q., &amp; Zhang, Y. (2020). Circulating metal concentrations, inflammatory cytokines and gestational weight gain: Shanghai MCPC cohort. </w:t>
      </w:r>
      <w:r w:rsidRPr="005153B8">
        <w:rPr>
          <w:rFonts w:ascii="Calibri" w:hAnsi="Calibri" w:cs="Calibri"/>
          <w:i/>
          <w:iCs/>
        </w:rPr>
        <w:t>Ecotoxicology and Environmental Safety</w:t>
      </w:r>
      <w:r w:rsidRPr="005153B8">
        <w:rPr>
          <w:rFonts w:ascii="Calibri" w:hAnsi="Calibri" w:cs="Calibri"/>
        </w:rPr>
        <w:t xml:space="preserve">, </w:t>
      </w:r>
      <w:r w:rsidRPr="005153B8">
        <w:rPr>
          <w:rFonts w:ascii="Calibri" w:hAnsi="Calibri" w:cs="Calibri"/>
          <w:i/>
          <w:iCs/>
        </w:rPr>
        <w:t>199</w:t>
      </w:r>
      <w:r w:rsidRPr="005153B8">
        <w:rPr>
          <w:rFonts w:ascii="Calibri" w:hAnsi="Calibri" w:cs="Calibri"/>
        </w:rPr>
        <w:t>, 110697. https://doi.org/10.1016/j.ecoenv.2020.110697</w:t>
      </w:r>
    </w:p>
    <w:p w14:paraId="08E9FD8C" w14:textId="77777777" w:rsidR="005153B8" w:rsidRPr="005153B8" w:rsidRDefault="005153B8" w:rsidP="005153B8">
      <w:pPr>
        <w:pStyle w:val="Bibliography"/>
        <w:rPr>
          <w:rFonts w:ascii="Calibri" w:hAnsi="Calibri" w:cs="Calibri"/>
        </w:rPr>
      </w:pPr>
      <w:r w:rsidRPr="005153B8">
        <w:rPr>
          <w:rFonts w:ascii="Calibri" w:hAnsi="Calibri" w:cs="Calibri"/>
        </w:rPr>
        <w:t xml:space="preserve">Welsh, P., Kimenai, D. M., Marioni, R. E., Hayward, C., Campbell, A., Porteous, D., Mills, N. L., O’Rahilly, S., &amp; Sattar, N. (2022). Reference ranges for GDF-15, and risk factors associated with GDF-15, in a large general population cohort. </w:t>
      </w:r>
      <w:r w:rsidRPr="005153B8">
        <w:rPr>
          <w:rFonts w:ascii="Calibri" w:hAnsi="Calibri" w:cs="Calibri"/>
          <w:i/>
          <w:iCs/>
        </w:rPr>
        <w:t>Clinical Chemistry and Laboratory Medicine (CCLM)</w:t>
      </w:r>
      <w:r w:rsidRPr="005153B8">
        <w:rPr>
          <w:rFonts w:ascii="Calibri" w:hAnsi="Calibri" w:cs="Calibri"/>
        </w:rPr>
        <w:t>. https://doi.org/10.1515/cclm-2022-0135</w:t>
      </w:r>
    </w:p>
    <w:p w14:paraId="13B09ADC" w14:textId="77777777" w:rsidR="005153B8" w:rsidRPr="005153B8" w:rsidRDefault="005153B8" w:rsidP="005153B8">
      <w:pPr>
        <w:pStyle w:val="Bibliography"/>
        <w:rPr>
          <w:rFonts w:ascii="Calibri" w:hAnsi="Calibri" w:cs="Calibri"/>
        </w:rPr>
      </w:pPr>
      <w:r w:rsidRPr="005153B8">
        <w:rPr>
          <w:rFonts w:ascii="Calibri" w:hAnsi="Calibri" w:cs="Calibri"/>
        </w:rPr>
        <w:t xml:space="preserve">Yakut, K., Öcal, D. F., Öztürk, F. H., Öztürk, M., Oğuz, Y., Sınacı, S., &amp; Çağlar, T. (2021). Is GDF-15 level associated with gestational diabetes mellitus and adverse perinatal outcomes? </w:t>
      </w:r>
      <w:r w:rsidRPr="005153B8">
        <w:rPr>
          <w:rFonts w:ascii="Calibri" w:hAnsi="Calibri" w:cs="Calibri"/>
          <w:i/>
          <w:iCs/>
        </w:rPr>
        <w:t>Taiwanese Journal of Obstetrics and Gynecology</w:t>
      </w:r>
      <w:r w:rsidRPr="005153B8">
        <w:rPr>
          <w:rFonts w:ascii="Calibri" w:hAnsi="Calibri" w:cs="Calibri"/>
        </w:rPr>
        <w:t xml:space="preserve">, </w:t>
      </w:r>
      <w:r w:rsidRPr="005153B8">
        <w:rPr>
          <w:rFonts w:ascii="Calibri" w:hAnsi="Calibri" w:cs="Calibri"/>
          <w:i/>
          <w:iCs/>
        </w:rPr>
        <w:t>60</w:t>
      </w:r>
      <w:r w:rsidRPr="005153B8">
        <w:rPr>
          <w:rFonts w:ascii="Calibri" w:hAnsi="Calibri" w:cs="Calibri"/>
        </w:rPr>
        <w:t>(2), 221–224. https://doi.org/10.1016/j.tjog.2020.12.004</w:t>
      </w:r>
    </w:p>
    <w:p w14:paraId="7931A9D5" w14:textId="77777777" w:rsidR="005153B8" w:rsidRPr="005153B8" w:rsidRDefault="005153B8" w:rsidP="005153B8">
      <w:pPr>
        <w:pStyle w:val="Bibliography"/>
        <w:rPr>
          <w:rFonts w:ascii="Calibri" w:hAnsi="Calibri" w:cs="Calibri"/>
        </w:rPr>
      </w:pPr>
      <w:r w:rsidRPr="005153B8">
        <w:rPr>
          <w:rFonts w:ascii="Calibri" w:hAnsi="Calibri" w:cs="Calibri"/>
        </w:rPr>
        <w:t xml:space="preserve">Yang, L., Chang, C.-C., Sun, Z., Madsen, D., Zhu, H., Padkjær, S. B., Wu, X., Huang, T., Hultman, K., Paulsen, S. J., Wang, J., Bugge, A., Frantzen, J. B., Nørgaard, P., Jeppesen, J. F., Yang, Z., Secher, A., Chen, H., Li, X., … Jørgensen, S. B. (2017). GFRAL is the receptor for GDF15 and is required for the anti-obesity effects of the ligand. </w:t>
      </w:r>
      <w:r w:rsidRPr="005153B8">
        <w:rPr>
          <w:rFonts w:ascii="Calibri" w:hAnsi="Calibri" w:cs="Calibri"/>
          <w:i/>
          <w:iCs/>
        </w:rPr>
        <w:t>Nature Medicine</w:t>
      </w:r>
      <w:r w:rsidRPr="005153B8">
        <w:rPr>
          <w:rFonts w:ascii="Calibri" w:hAnsi="Calibri" w:cs="Calibri"/>
        </w:rPr>
        <w:t xml:space="preserve">, </w:t>
      </w:r>
      <w:r w:rsidRPr="005153B8">
        <w:rPr>
          <w:rFonts w:ascii="Calibri" w:hAnsi="Calibri" w:cs="Calibri"/>
          <w:i/>
          <w:iCs/>
        </w:rPr>
        <w:t>23</w:t>
      </w:r>
      <w:r w:rsidRPr="005153B8">
        <w:rPr>
          <w:rFonts w:ascii="Calibri" w:hAnsi="Calibri" w:cs="Calibri"/>
        </w:rPr>
        <w:t>(10), Article 10. https://doi.org/10.1038/nm.4394</w:t>
      </w:r>
    </w:p>
    <w:p w14:paraId="4CA6E760" w14:textId="1DAB0041" w:rsidR="006D0E50" w:rsidRPr="006D0E50" w:rsidRDefault="006D0E50" w:rsidP="006D0E50">
      <w:r w:rsidRPr="00F145A3">
        <w:rPr>
          <w:rFonts w:ascii="Times New Roman" w:hAnsi="Times New Roman" w:cs="Times New Roman"/>
        </w:rPr>
        <w:lastRenderedPageBreak/>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e Bridges" w:date="2022-12-14T10:51:00Z" w:initials="DB">
    <w:p w14:paraId="78D2FB61" w14:textId="224FFFA3" w:rsidR="009B3A39" w:rsidRDefault="009B3A39">
      <w:pPr>
        <w:pStyle w:val="CommentText"/>
      </w:pPr>
      <w:r>
        <w:rPr>
          <w:rStyle w:val="CommentReference"/>
        </w:rPr>
        <w:annotationRef/>
      </w:r>
      <w:r>
        <w:t>Others please add your relevant funding.</w:t>
      </w:r>
    </w:p>
  </w:comment>
  <w:comment w:id="15" w:author="Molly C. Mulcahy" w:date="2024-01-11T11:50:00Z" w:initials="MCM">
    <w:p w14:paraId="5E3AFF8D" w14:textId="77777777" w:rsidR="00DE698C" w:rsidRDefault="00DE698C" w:rsidP="00872EE8">
      <w:pPr>
        <w:pStyle w:val="CommentText"/>
      </w:pPr>
      <w:r>
        <w:rPr>
          <w:rStyle w:val="CommentReference"/>
        </w:rPr>
        <w:annotationRef/>
      </w:r>
      <w:r>
        <w:t>I changed this from the gene notation. I think that makes more sense. What do you think?</w:t>
      </w:r>
    </w:p>
  </w:comment>
  <w:comment w:id="18" w:author="Dave Bridges" w:date="2024-01-15T13:01:00Z" w:initials="DB">
    <w:p w14:paraId="0C0A1B4B" w14:textId="77777777" w:rsidR="00FF6019" w:rsidRDefault="00FF6019" w:rsidP="00FF6019">
      <w:r>
        <w:rPr>
          <w:rStyle w:val="CommentReference"/>
        </w:rPr>
        <w:annotationRef/>
      </w:r>
      <w:r>
        <w:t>Add recent paper:</w:t>
      </w:r>
    </w:p>
    <w:p w14:paraId="12022F3B" w14:textId="77777777" w:rsidR="00FF6019" w:rsidRDefault="00FF6019" w:rsidP="00FF6019">
      <w:pPr>
        <w:rPr>
          <w:rFonts w:ascii="Helvetica Neue" w:eastAsia="Times New Roman" w:hAnsi="Helvetica Neue" w:cs="Times New Roman"/>
          <w:color w:val="212121"/>
          <w:shd w:val="clear" w:color="auto" w:fill="FFFFFF"/>
        </w:rPr>
      </w:pPr>
    </w:p>
    <w:p w14:paraId="32AE7B42" w14:textId="7AC5D17A" w:rsidR="00FF6019" w:rsidRPr="00FF6019" w:rsidRDefault="00FF6019" w:rsidP="00FF6019">
      <w:pPr>
        <w:rPr>
          <w:rFonts w:ascii="Times New Roman" w:eastAsia="Times New Roman" w:hAnsi="Times New Roman" w:cs="Times New Roman"/>
        </w:rPr>
      </w:pPr>
      <w:proofErr w:type="spellStart"/>
      <w:r w:rsidRPr="00FF6019">
        <w:rPr>
          <w:rFonts w:ascii="Helvetica Neue" w:eastAsia="Times New Roman" w:hAnsi="Helvetica Neue" w:cs="Times New Roman"/>
          <w:color w:val="212121"/>
          <w:shd w:val="clear" w:color="auto" w:fill="FFFFFF"/>
        </w:rPr>
        <w:t>Fejzo</w:t>
      </w:r>
      <w:proofErr w:type="spellEnd"/>
      <w:r w:rsidRPr="00FF6019">
        <w:rPr>
          <w:rFonts w:ascii="Helvetica Neue" w:eastAsia="Times New Roman" w:hAnsi="Helvetica Neue" w:cs="Times New Roman"/>
          <w:color w:val="212121"/>
          <w:shd w:val="clear" w:color="auto" w:fill="FFFFFF"/>
        </w:rPr>
        <w:t xml:space="preserve"> M, Rocha N, Cimino I, Lockhart SM, </w:t>
      </w:r>
      <w:proofErr w:type="spellStart"/>
      <w:r w:rsidRPr="00FF6019">
        <w:rPr>
          <w:rFonts w:ascii="Helvetica Neue" w:eastAsia="Times New Roman" w:hAnsi="Helvetica Neue" w:cs="Times New Roman"/>
          <w:color w:val="212121"/>
          <w:shd w:val="clear" w:color="auto" w:fill="FFFFFF"/>
        </w:rPr>
        <w:t>Petry</w:t>
      </w:r>
      <w:proofErr w:type="spellEnd"/>
      <w:r w:rsidRPr="00FF6019">
        <w:rPr>
          <w:rFonts w:ascii="Helvetica Neue" w:eastAsia="Times New Roman" w:hAnsi="Helvetica Neue" w:cs="Times New Roman"/>
          <w:color w:val="212121"/>
          <w:shd w:val="clear" w:color="auto" w:fill="FFFFFF"/>
        </w:rPr>
        <w:t xml:space="preserve"> CJ, Kay RG, Burling K, Barker P, George AL, </w:t>
      </w:r>
      <w:proofErr w:type="spellStart"/>
      <w:r w:rsidRPr="00FF6019">
        <w:rPr>
          <w:rFonts w:ascii="Helvetica Neue" w:eastAsia="Times New Roman" w:hAnsi="Helvetica Neue" w:cs="Times New Roman"/>
          <w:color w:val="212121"/>
          <w:shd w:val="clear" w:color="auto" w:fill="FFFFFF"/>
        </w:rPr>
        <w:t>Yasara</w:t>
      </w:r>
      <w:proofErr w:type="spellEnd"/>
      <w:r w:rsidRPr="00FF6019">
        <w:rPr>
          <w:rFonts w:ascii="Helvetica Neue" w:eastAsia="Times New Roman" w:hAnsi="Helvetica Neue" w:cs="Times New Roman"/>
          <w:color w:val="212121"/>
          <w:shd w:val="clear" w:color="auto" w:fill="FFFFFF"/>
        </w:rPr>
        <w:t xml:space="preserve"> N, </w:t>
      </w:r>
      <w:proofErr w:type="spellStart"/>
      <w:r w:rsidRPr="00FF6019">
        <w:rPr>
          <w:rFonts w:ascii="Helvetica Neue" w:eastAsia="Times New Roman" w:hAnsi="Helvetica Neue" w:cs="Times New Roman"/>
          <w:color w:val="212121"/>
          <w:shd w:val="clear" w:color="auto" w:fill="FFFFFF"/>
        </w:rPr>
        <w:t>Premawardhena</w:t>
      </w:r>
      <w:proofErr w:type="spellEnd"/>
      <w:r w:rsidRPr="00FF6019">
        <w:rPr>
          <w:rFonts w:ascii="Helvetica Neue" w:eastAsia="Times New Roman" w:hAnsi="Helvetica Neue" w:cs="Times New Roman"/>
          <w:color w:val="212121"/>
          <w:shd w:val="clear" w:color="auto" w:fill="FFFFFF"/>
        </w:rPr>
        <w:t xml:space="preserve"> A, Gong S, Cook E, </w:t>
      </w:r>
      <w:proofErr w:type="spellStart"/>
      <w:r w:rsidRPr="00FF6019">
        <w:rPr>
          <w:rFonts w:ascii="Helvetica Neue" w:eastAsia="Times New Roman" w:hAnsi="Helvetica Neue" w:cs="Times New Roman"/>
          <w:color w:val="212121"/>
          <w:shd w:val="clear" w:color="auto" w:fill="FFFFFF"/>
        </w:rPr>
        <w:t>Rimmington</w:t>
      </w:r>
      <w:proofErr w:type="spellEnd"/>
      <w:r w:rsidRPr="00FF6019">
        <w:rPr>
          <w:rFonts w:ascii="Helvetica Neue" w:eastAsia="Times New Roman" w:hAnsi="Helvetica Neue" w:cs="Times New Roman"/>
          <w:color w:val="212121"/>
          <w:shd w:val="clear" w:color="auto" w:fill="FFFFFF"/>
        </w:rPr>
        <w:t xml:space="preserve"> D, Rainbow K, Withers DJ, </w:t>
      </w:r>
      <w:proofErr w:type="spellStart"/>
      <w:r w:rsidRPr="00FF6019">
        <w:rPr>
          <w:rFonts w:ascii="Helvetica Neue" w:eastAsia="Times New Roman" w:hAnsi="Helvetica Neue" w:cs="Times New Roman"/>
          <w:color w:val="212121"/>
          <w:shd w:val="clear" w:color="auto" w:fill="FFFFFF"/>
        </w:rPr>
        <w:t>Cortessis</w:t>
      </w:r>
      <w:proofErr w:type="spellEnd"/>
      <w:r w:rsidRPr="00FF6019">
        <w:rPr>
          <w:rFonts w:ascii="Helvetica Neue" w:eastAsia="Times New Roman" w:hAnsi="Helvetica Neue" w:cs="Times New Roman"/>
          <w:color w:val="212121"/>
          <w:shd w:val="clear" w:color="auto" w:fill="FFFFFF"/>
        </w:rPr>
        <w:t xml:space="preserve"> V, Mullin PM, </w:t>
      </w:r>
      <w:proofErr w:type="spellStart"/>
      <w:r w:rsidRPr="00FF6019">
        <w:rPr>
          <w:rFonts w:ascii="Helvetica Neue" w:eastAsia="Times New Roman" w:hAnsi="Helvetica Neue" w:cs="Times New Roman"/>
          <w:color w:val="212121"/>
          <w:shd w:val="clear" w:color="auto" w:fill="FFFFFF"/>
        </w:rPr>
        <w:t>MacGibbon</w:t>
      </w:r>
      <w:proofErr w:type="spellEnd"/>
      <w:r w:rsidRPr="00FF6019">
        <w:rPr>
          <w:rFonts w:ascii="Helvetica Neue" w:eastAsia="Times New Roman" w:hAnsi="Helvetica Neue" w:cs="Times New Roman"/>
          <w:color w:val="212121"/>
          <w:shd w:val="clear" w:color="auto" w:fill="FFFFFF"/>
        </w:rPr>
        <w:t xml:space="preserve"> KW, </w:t>
      </w:r>
      <w:proofErr w:type="spellStart"/>
      <w:r w:rsidRPr="00FF6019">
        <w:rPr>
          <w:rFonts w:ascii="Helvetica Neue" w:eastAsia="Times New Roman" w:hAnsi="Helvetica Neue" w:cs="Times New Roman"/>
          <w:color w:val="212121"/>
          <w:shd w:val="clear" w:color="auto" w:fill="FFFFFF"/>
        </w:rPr>
        <w:t>Jin</w:t>
      </w:r>
      <w:proofErr w:type="spellEnd"/>
      <w:r w:rsidRPr="00FF6019">
        <w:rPr>
          <w:rFonts w:ascii="Helvetica Neue" w:eastAsia="Times New Roman" w:hAnsi="Helvetica Neue" w:cs="Times New Roman"/>
          <w:color w:val="212121"/>
          <w:shd w:val="clear" w:color="auto" w:fill="FFFFFF"/>
        </w:rPr>
        <w:t xml:space="preserve"> E, Kam A, Campbell A, </w:t>
      </w:r>
      <w:proofErr w:type="spellStart"/>
      <w:r w:rsidRPr="00FF6019">
        <w:rPr>
          <w:rFonts w:ascii="Helvetica Neue" w:eastAsia="Times New Roman" w:hAnsi="Helvetica Neue" w:cs="Times New Roman"/>
          <w:color w:val="212121"/>
          <w:shd w:val="clear" w:color="auto" w:fill="FFFFFF"/>
        </w:rPr>
        <w:t>Polasek</w:t>
      </w:r>
      <w:proofErr w:type="spellEnd"/>
      <w:r w:rsidRPr="00FF6019">
        <w:rPr>
          <w:rFonts w:ascii="Helvetica Neue" w:eastAsia="Times New Roman" w:hAnsi="Helvetica Neue" w:cs="Times New Roman"/>
          <w:color w:val="212121"/>
          <w:shd w:val="clear" w:color="auto" w:fill="FFFFFF"/>
        </w:rPr>
        <w:t xml:space="preserve"> O, </w:t>
      </w:r>
      <w:proofErr w:type="spellStart"/>
      <w:r w:rsidRPr="00FF6019">
        <w:rPr>
          <w:rFonts w:ascii="Helvetica Neue" w:eastAsia="Times New Roman" w:hAnsi="Helvetica Neue" w:cs="Times New Roman"/>
          <w:color w:val="212121"/>
          <w:shd w:val="clear" w:color="auto" w:fill="FFFFFF"/>
        </w:rPr>
        <w:t>Tzoneva</w:t>
      </w:r>
      <w:proofErr w:type="spellEnd"/>
      <w:r w:rsidRPr="00FF6019">
        <w:rPr>
          <w:rFonts w:ascii="Helvetica Neue" w:eastAsia="Times New Roman" w:hAnsi="Helvetica Neue" w:cs="Times New Roman"/>
          <w:color w:val="212121"/>
          <w:shd w:val="clear" w:color="auto" w:fill="FFFFFF"/>
        </w:rPr>
        <w:t xml:space="preserve"> G, Gribble FM, Yeo GSH, Lam BYH, </w:t>
      </w:r>
      <w:proofErr w:type="spellStart"/>
      <w:r w:rsidRPr="00FF6019">
        <w:rPr>
          <w:rFonts w:ascii="Helvetica Neue" w:eastAsia="Times New Roman" w:hAnsi="Helvetica Neue" w:cs="Times New Roman"/>
          <w:color w:val="212121"/>
          <w:shd w:val="clear" w:color="auto" w:fill="FFFFFF"/>
        </w:rPr>
        <w:t>Saudek</w:t>
      </w:r>
      <w:proofErr w:type="spellEnd"/>
      <w:r w:rsidRPr="00FF6019">
        <w:rPr>
          <w:rFonts w:ascii="Helvetica Neue" w:eastAsia="Times New Roman" w:hAnsi="Helvetica Neue" w:cs="Times New Roman"/>
          <w:color w:val="212121"/>
          <w:shd w:val="clear" w:color="auto" w:fill="FFFFFF"/>
        </w:rPr>
        <w:t xml:space="preserve"> V, Hughes IA, Ong KK, Perry JRB, Sutton Cole A, </w:t>
      </w:r>
      <w:proofErr w:type="spellStart"/>
      <w:r w:rsidRPr="00FF6019">
        <w:rPr>
          <w:rFonts w:ascii="Helvetica Neue" w:eastAsia="Times New Roman" w:hAnsi="Helvetica Neue" w:cs="Times New Roman"/>
          <w:color w:val="212121"/>
          <w:shd w:val="clear" w:color="auto" w:fill="FFFFFF"/>
        </w:rPr>
        <w:t>Baumgarten</w:t>
      </w:r>
      <w:proofErr w:type="spellEnd"/>
      <w:r w:rsidRPr="00FF6019">
        <w:rPr>
          <w:rFonts w:ascii="Helvetica Neue" w:eastAsia="Times New Roman" w:hAnsi="Helvetica Neue" w:cs="Times New Roman"/>
          <w:color w:val="212121"/>
          <w:shd w:val="clear" w:color="auto" w:fill="FFFFFF"/>
        </w:rPr>
        <w:t xml:space="preserve"> M, Welsh P, Sattar N, Smith GCS, Charnock-Jones DS, Coll AP, Meek CL, </w:t>
      </w:r>
      <w:proofErr w:type="spellStart"/>
      <w:r w:rsidRPr="00FF6019">
        <w:rPr>
          <w:rFonts w:ascii="Helvetica Neue" w:eastAsia="Times New Roman" w:hAnsi="Helvetica Neue" w:cs="Times New Roman"/>
          <w:color w:val="212121"/>
          <w:shd w:val="clear" w:color="auto" w:fill="FFFFFF"/>
        </w:rPr>
        <w:t>Mettananda</w:t>
      </w:r>
      <w:proofErr w:type="spellEnd"/>
      <w:r w:rsidRPr="00FF6019">
        <w:rPr>
          <w:rFonts w:ascii="Helvetica Neue" w:eastAsia="Times New Roman" w:hAnsi="Helvetica Neue" w:cs="Times New Roman"/>
          <w:color w:val="212121"/>
          <w:shd w:val="clear" w:color="auto" w:fill="FFFFFF"/>
        </w:rPr>
        <w:t xml:space="preserve"> S, Hayward C, Mancuso N, </w:t>
      </w:r>
      <w:proofErr w:type="spellStart"/>
      <w:r w:rsidRPr="00FF6019">
        <w:rPr>
          <w:rFonts w:ascii="Helvetica Neue" w:eastAsia="Times New Roman" w:hAnsi="Helvetica Neue" w:cs="Times New Roman"/>
          <w:color w:val="212121"/>
          <w:shd w:val="clear" w:color="auto" w:fill="FFFFFF"/>
        </w:rPr>
        <w:t>O'Rahilly</w:t>
      </w:r>
      <w:proofErr w:type="spellEnd"/>
      <w:r w:rsidRPr="00FF6019">
        <w:rPr>
          <w:rFonts w:ascii="Helvetica Neue" w:eastAsia="Times New Roman" w:hAnsi="Helvetica Neue" w:cs="Times New Roman"/>
          <w:color w:val="212121"/>
          <w:shd w:val="clear" w:color="auto" w:fill="FFFFFF"/>
        </w:rPr>
        <w:t xml:space="preserve"> S. GDF15 linked to maternal risk of nausea and vomiting during pregnancy. Nature. 2023 Dec 13. </w:t>
      </w:r>
      <w:proofErr w:type="spellStart"/>
      <w:r w:rsidRPr="00FF6019">
        <w:rPr>
          <w:rFonts w:ascii="Helvetica Neue" w:eastAsia="Times New Roman" w:hAnsi="Helvetica Neue" w:cs="Times New Roman"/>
          <w:color w:val="212121"/>
          <w:shd w:val="clear" w:color="auto" w:fill="FFFFFF"/>
        </w:rPr>
        <w:t>doi</w:t>
      </w:r>
      <w:proofErr w:type="spellEnd"/>
      <w:r w:rsidRPr="00FF6019">
        <w:rPr>
          <w:rFonts w:ascii="Helvetica Neue" w:eastAsia="Times New Roman" w:hAnsi="Helvetica Neue" w:cs="Times New Roman"/>
          <w:color w:val="212121"/>
          <w:shd w:val="clear" w:color="auto" w:fill="FFFFFF"/>
        </w:rPr>
        <w:t xml:space="preserve">: 10.1038/s41586-023-06921-9. </w:t>
      </w:r>
      <w:proofErr w:type="spellStart"/>
      <w:r w:rsidRPr="00FF6019">
        <w:rPr>
          <w:rFonts w:ascii="Helvetica Neue" w:eastAsia="Times New Roman" w:hAnsi="Helvetica Neue" w:cs="Times New Roman"/>
          <w:color w:val="212121"/>
          <w:shd w:val="clear" w:color="auto" w:fill="FFFFFF"/>
        </w:rPr>
        <w:t>Epub</w:t>
      </w:r>
      <w:proofErr w:type="spellEnd"/>
      <w:r w:rsidRPr="00FF6019">
        <w:rPr>
          <w:rFonts w:ascii="Helvetica Neue" w:eastAsia="Times New Roman" w:hAnsi="Helvetica Neue" w:cs="Times New Roman"/>
          <w:color w:val="212121"/>
          <w:shd w:val="clear" w:color="auto" w:fill="FFFFFF"/>
        </w:rPr>
        <w:t xml:space="preserve"> ahead of print. PMID: 38092039.</w:t>
      </w:r>
    </w:p>
    <w:p w14:paraId="174899E1" w14:textId="154E0EA6" w:rsidR="00FF6019" w:rsidRDefault="00FF6019">
      <w:pPr>
        <w:pStyle w:val="CommentText"/>
      </w:pPr>
    </w:p>
  </w:comment>
  <w:comment w:id="26" w:author="Molly C. Mulcahy" w:date="2024-01-10T16:25:00Z" w:initials="MCM">
    <w:p w14:paraId="68543B49" w14:textId="2B7BDCC5" w:rsidR="004E5E1F" w:rsidRDefault="004E5E1F" w:rsidP="0054674C">
      <w:pPr>
        <w:pStyle w:val="CommentText"/>
      </w:pPr>
      <w:r>
        <w:rPr>
          <w:rStyle w:val="CommentReference"/>
        </w:rPr>
        <w:annotationRef/>
      </w:r>
      <w:r>
        <w:t>This incorrectly said, 0.02 before. I double checked the code and the number. It is 0.20</w:t>
      </w:r>
    </w:p>
  </w:comment>
  <w:comment w:id="27" w:author="Molly C. Mulcahy" w:date="2024-01-12T09:59:00Z" w:initials="MCM">
    <w:p w14:paraId="26F7321A" w14:textId="77777777" w:rsidR="00C61ED9" w:rsidRDefault="003F40A1" w:rsidP="005004C5">
      <w:pPr>
        <w:pStyle w:val="CommentText"/>
      </w:pPr>
      <w:r>
        <w:rPr>
          <w:rStyle w:val="CommentReference"/>
        </w:rPr>
        <w:annotationRef/>
      </w:r>
      <w:r w:rsidR="00C61ED9">
        <w:t xml:space="preserve">Multiple co-authors expressed skepticism about whether or not </w:t>
      </w:r>
      <w:proofErr w:type="spellStart"/>
      <w:r w:rsidR="00C61ED9">
        <w:t>dex</w:t>
      </w:r>
      <w:proofErr w:type="spellEnd"/>
      <w:r w:rsidR="00C61ED9">
        <w:t xml:space="preserve"> should be included and I am on the fence about it. I think it complicated the story and it makes it apparent that we didn’t do a NP/</w:t>
      </w:r>
      <w:proofErr w:type="spellStart"/>
      <w:r w:rsidR="00C61ED9">
        <w:t>Dex</w:t>
      </w:r>
      <w:proofErr w:type="spellEnd"/>
      <w:r w:rsidR="00C61ED9">
        <w:t xml:space="preserve"> control. Thoughts?</w:t>
      </w:r>
    </w:p>
  </w:comment>
  <w:comment w:id="52" w:author="Molly C. Mulcahy" w:date="2024-01-10T16:36:00Z" w:initials="MCM">
    <w:p w14:paraId="4187B96D" w14:textId="77777777" w:rsidR="00882A87" w:rsidRDefault="00882A87" w:rsidP="00882A87">
      <w:pPr>
        <w:pStyle w:val="CommentText"/>
      </w:pPr>
      <w:r>
        <w:rPr>
          <w:rStyle w:val="CommentReference"/>
        </w:rPr>
        <w:annotationRef/>
      </w:r>
      <w:r>
        <w:t xml:space="preserve">This section added after considering Brigid’s comment about differences between human vs rodent Gdf15. </w:t>
      </w:r>
    </w:p>
  </w:comment>
  <w:comment w:id="45" w:author="Dave Bridges" w:date="2024-01-15T13:10:00Z" w:initials="DB">
    <w:p w14:paraId="4E4604F0" w14:textId="7D579316" w:rsidR="00646192" w:rsidRDefault="00646192">
      <w:pPr>
        <w:pStyle w:val="CommentText"/>
      </w:pPr>
      <w:r>
        <w:rPr>
          <w:rStyle w:val="CommentReference"/>
        </w:rPr>
        <w:annotationRef/>
      </w:r>
      <w:r>
        <w:t>Not sure we need this</w:t>
      </w:r>
    </w:p>
  </w:comment>
  <w:comment w:id="44" w:author="Molly C. Mulcahy" w:date="2024-01-12T16:37:00Z" w:initials="MCM">
    <w:p w14:paraId="2BA489A0" w14:textId="77777777" w:rsidR="004174FF" w:rsidRDefault="004174FF" w:rsidP="00086801">
      <w:pPr>
        <w:pStyle w:val="CommentText"/>
      </w:pPr>
      <w:r>
        <w:rPr>
          <w:rStyle w:val="CommentReference"/>
        </w:rPr>
        <w:annotationRef/>
      </w:r>
      <w:r>
        <w:t>Is the flow of this alright?</w:t>
      </w:r>
    </w:p>
  </w:comment>
  <w:comment w:id="53" w:author="Molly C. Mulcahy" w:date="2024-01-09T12:05:00Z" w:initials="MCM">
    <w:p w14:paraId="35977AF2" w14:textId="38E2A761" w:rsidR="00BE6434" w:rsidRDefault="00BE6434" w:rsidP="00A375D6">
      <w:pPr>
        <w:pStyle w:val="CommentText"/>
      </w:pPr>
      <w:r>
        <w:rPr>
          <w:rStyle w:val="CommentReference"/>
        </w:rPr>
        <w:annotationRef/>
      </w:r>
      <w:r>
        <w:t>Add the mouse vs human paper</w:t>
      </w:r>
    </w:p>
  </w:comment>
  <w:comment w:id="54" w:author="Molly C. Mulcahy" w:date="2024-01-10T16:15:00Z" w:initials="MCM">
    <w:p w14:paraId="60BB301D" w14:textId="4BD4D881" w:rsidR="00062E9C" w:rsidRDefault="00062E9C" w:rsidP="0040205A">
      <w:pPr>
        <w:pStyle w:val="CommentText"/>
      </w:pPr>
      <w:r>
        <w:rPr>
          <w:rStyle w:val="CommentReference"/>
        </w:rPr>
        <w:annotationRef/>
      </w:r>
      <w:r>
        <w:t>Brigid brought it to my attention here that is a huge amount of weight for a mouse. I had glossed over it previously. Does saying this open up too many questions as it is now?</w:t>
      </w:r>
    </w:p>
  </w:comment>
  <w:comment w:id="55" w:author="Dave Bridges" w:date="2024-01-15T13:12:00Z" w:initials="DB">
    <w:p w14:paraId="23B2B6B8" w14:textId="529924E3" w:rsidR="00646192" w:rsidRDefault="00646192">
      <w:pPr>
        <w:pStyle w:val="CommentText"/>
      </w:pPr>
      <w:r>
        <w:rPr>
          <w:rStyle w:val="CommentReference"/>
        </w:rPr>
        <w:annotationRef/>
      </w:r>
      <w:r>
        <w:t>It’s a limitation of sample size… do you want to portray it as a percent instead?</w:t>
      </w:r>
    </w:p>
  </w:comment>
  <w:comment w:id="60" w:author="Molly C. Mulcahy" w:date="2024-01-10T16:16:00Z" w:initials="MCM">
    <w:p w14:paraId="08054CD1" w14:textId="77777777" w:rsidR="00062E9C" w:rsidRDefault="00062E9C" w:rsidP="006339F5">
      <w:pPr>
        <w:pStyle w:val="CommentText"/>
      </w:pPr>
      <w:r>
        <w:rPr>
          <w:rStyle w:val="CommentReference"/>
        </w:rPr>
        <w:annotationRef/>
      </w:r>
      <w:r>
        <w:t xml:space="preserve">Brigid suggested that we could do a proteomic screen in the future to assess if there is a compensatory rise of another hormone with GDF15 being gone in KO pregnancies. </w:t>
      </w:r>
    </w:p>
  </w:comment>
  <w:comment w:id="61" w:author="Dave Bridges" w:date="2024-01-15T13:13:00Z" w:initials="DB">
    <w:p w14:paraId="3581D44C" w14:textId="42A6365D" w:rsidR="00FC327E" w:rsidRDefault="00FC327E">
      <w:pPr>
        <w:pStyle w:val="CommentText"/>
      </w:pPr>
      <w:r>
        <w:rPr>
          <w:rStyle w:val="CommentReference"/>
        </w:rPr>
        <w:annotationRef/>
      </w:r>
      <w:r>
        <w:t xml:space="preserve">Mentioned this </w:t>
      </w:r>
      <w:proofErr w:type="spellStart"/>
      <w:proofErr w:type="gramStart"/>
      <w:r>
        <w:t>above.s</w:t>
      </w:r>
      <w:proofErr w:type="spellEnd"/>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2FB61" w15:done="0"/>
  <w15:commentEx w15:paraId="5E3AFF8D" w15:done="0"/>
  <w15:commentEx w15:paraId="174899E1" w15:done="0"/>
  <w15:commentEx w15:paraId="68543B49" w15:done="0"/>
  <w15:commentEx w15:paraId="26F7321A" w15:done="0"/>
  <w15:commentEx w15:paraId="4187B96D" w15:done="0"/>
  <w15:commentEx w15:paraId="4E4604F0" w15:done="0"/>
  <w15:commentEx w15:paraId="2BA489A0" w15:done="0"/>
  <w15:commentEx w15:paraId="35977AF2" w15:done="0"/>
  <w15:commentEx w15:paraId="60BB301D" w15:done="0"/>
  <w15:commentEx w15:paraId="23B2B6B8" w15:paraIdParent="60BB301D" w15:done="0"/>
  <w15:commentEx w15:paraId="08054CD1" w15:done="0"/>
  <w15:commentEx w15:paraId="3581D44C" w15:paraIdParent="08054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89A4FF" w16cex:dateUtc="2024-01-11T17:50:00Z"/>
  <w16cex:commentExtensible w16cex:durableId="6FF418DF" w16cex:dateUtc="2024-01-10T22:25:00Z"/>
  <w16cex:commentExtensible w16cex:durableId="7D05778C" w16cex:dateUtc="2024-01-12T15:59:00Z"/>
  <w16cex:commentExtensible w16cex:durableId="2C82D4F0" w16cex:dateUtc="2024-01-10T22:36:00Z"/>
  <w16cex:commentExtensible w16cex:durableId="2A361EC4" w16cex:dateUtc="2024-01-12T22:37:00Z"/>
  <w16cex:commentExtensible w16cex:durableId="59CDB7B9" w16cex:dateUtc="2024-01-09T18:05:00Z"/>
  <w16cex:commentExtensible w16cex:durableId="6A1FCECF" w16cex:dateUtc="2024-01-10T22:15:00Z"/>
  <w16cex:commentExtensible w16cex:durableId="25207268" w16cex:dateUtc="2024-01-10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2FB61" w16cid:durableId="2744294F"/>
  <w16cid:commentId w16cid:paraId="5E3AFF8D" w16cid:durableId="1A89A4FF"/>
  <w16cid:commentId w16cid:paraId="174899E1" w16cid:durableId="294FAB15"/>
  <w16cid:commentId w16cid:paraId="68543B49" w16cid:durableId="6FF418DF"/>
  <w16cid:commentId w16cid:paraId="26F7321A" w16cid:durableId="7D05778C"/>
  <w16cid:commentId w16cid:paraId="4187B96D" w16cid:durableId="2C82D4F0"/>
  <w16cid:commentId w16cid:paraId="4E4604F0" w16cid:durableId="294FAD5E"/>
  <w16cid:commentId w16cid:paraId="2BA489A0" w16cid:durableId="2A361EC4"/>
  <w16cid:commentId w16cid:paraId="35977AF2" w16cid:durableId="59CDB7B9"/>
  <w16cid:commentId w16cid:paraId="60BB301D" w16cid:durableId="6A1FCECF"/>
  <w16cid:commentId w16cid:paraId="23B2B6B8" w16cid:durableId="294FADA6"/>
  <w16cid:commentId w16cid:paraId="08054CD1" w16cid:durableId="25207268"/>
  <w16cid:commentId w16cid:paraId="3581D44C" w16cid:durableId="294FA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DC4F9" w14:textId="77777777" w:rsidR="00EB7F64" w:rsidRDefault="00EB7F64" w:rsidP="00283B15">
      <w:r>
        <w:separator/>
      </w:r>
    </w:p>
  </w:endnote>
  <w:endnote w:type="continuationSeparator" w:id="0">
    <w:p w14:paraId="7DE0A1BE" w14:textId="77777777" w:rsidR="00EB7F64" w:rsidRDefault="00EB7F64"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58854"/>
      <w:docPartObj>
        <w:docPartGallery w:val="Page Numbers (Bottom of Page)"/>
        <w:docPartUnique/>
      </w:docPartObj>
    </w:sdtPr>
    <w:sdtEndPr>
      <w:rPr>
        <w:rStyle w:val="PageNumber"/>
      </w:rPr>
    </w:sdtEnd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4973376"/>
      <w:docPartObj>
        <w:docPartGallery w:val="Page Numbers (Bottom of Page)"/>
        <w:docPartUnique/>
      </w:docPartObj>
    </w:sdtPr>
    <w:sdtEndPr>
      <w:rPr>
        <w:rStyle w:val="PageNumber"/>
      </w:rPr>
    </w:sdtEnd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2294E" w14:textId="77777777" w:rsidR="00EB7F64" w:rsidRDefault="00EB7F64" w:rsidP="00283B15">
      <w:r>
        <w:separator/>
      </w:r>
    </w:p>
  </w:footnote>
  <w:footnote w:type="continuationSeparator" w:id="0">
    <w:p w14:paraId="38819550" w14:textId="77777777" w:rsidR="00EB7F64" w:rsidRDefault="00EB7F64"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2"/>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 Mulcahy">
    <w15:presenceInfo w15:providerId="AD" w15:userId="S-1-5-21-2814929257-2980101946-2414444989-17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30231"/>
    <w:rsid w:val="00037D8F"/>
    <w:rsid w:val="00040DF6"/>
    <w:rsid w:val="00042302"/>
    <w:rsid w:val="0004399F"/>
    <w:rsid w:val="000444DC"/>
    <w:rsid w:val="00047193"/>
    <w:rsid w:val="000579D9"/>
    <w:rsid w:val="00062E9C"/>
    <w:rsid w:val="00066319"/>
    <w:rsid w:val="00071010"/>
    <w:rsid w:val="00071C6A"/>
    <w:rsid w:val="00075527"/>
    <w:rsid w:val="00077CDF"/>
    <w:rsid w:val="000828A2"/>
    <w:rsid w:val="00083212"/>
    <w:rsid w:val="0008334B"/>
    <w:rsid w:val="000852EF"/>
    <w:rsid w:val="000902B4"/>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17EEC"/>
    <w:rsid w:val="00121EC1"/>
    <w:rsid w:val="00122A75"/>
    <w:rsid w:val="001246C6"/>
    <w:rsid w:val="00127086"/>
    <w:rsid w:val="00131DF5"/>
    <w:rsid w:val="001376F1"/>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C170C"/>
    <w:rsid w:val="001C5F3B"/>
    <w:rsid w:val="001C634C"/>
    <w:rsid w:val="001D246D"/>
    <w:rsid w:val="001D610F"/>
    <w:rsid w:val="001D753F"/>
    <w:rsid w:val="001E0EED"/>
    <w:rsid w:val="001E21E6"/>
    <w:rsid w:val="001E3E15"/>
    <w:rsid w:val="001E501F"/>
    <w:rsid w:val="001E6250"/>
    <w:rsid w:val="001E72ED"/>
    <w:rsid w:val="001F5752"/>
    <w:rsid w:val="0020031B"/>
    <w:rsid w:val="00215AEE"/>
    <w:rsid w:val="002219CC"/>
    <w:rsid w:val="0023338C"/>
    <w:rsid w:val="00233DB5"/>
    <w:rsid w:val="00236D15"/>
    <w:rsid w:val="002375E1"/>
    <w:rsid w:val="00242FC7"/>
    <w:rsid w:val="00243E45"/>
    <w:rsid w:val="00244D7B"/>
    <w:rsid w:val="00247B38"/>
    <w:rsid w:val="00250326"/>
    <w:rsid w:val="002513AE"/>
    <w:rsid w:val="00260665"/>
    <w:rsid w:val="002615AF"/>
    <w:rsid w:val="00262874"/>
    <w:rsid w:val="00264316"/>
    <w:rsid w:val="00270E3F"/>
    <w:rsid w:val="0027193E"/>
    <w:rsid w:val="002736DD"/>
    <w:rsid w:val="00280656"/>
    <w:rsid w:val="00280CAA"/>
    <w:rsid w:val="0028113D"/>
    <w:rsid w:val="00283B15"/>
    <w:rsid w:val="00285DA1"/>
    <w:rsid w:val="0029173D"/>
    <w:rsid w:val="00294424"/>
    <w:rsid w:val="00296419"/>
    <w:rsid w:val="00296635"/>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10CD"/>
    <w:rsid w:val="002E243C"/>
    <w:rsid w:val="002E247C"/>
    <w:rsid w:val="002F17BE"/>
    <w:rsid w:val="002F29DF"/>
    <w:rsid w:val="002F31A4"/>
    <w:rsid w:val="00300334"/>
    <w:rsid w:val="00303552"/>
    <w:rsid w:val="0030401E"/>
    <w:rsid w:val="00310C66"/>
    <w:rsid w:val="00317348"/>
    <w:rsid w:val="00320105"/>
    <w:rsid w:val="00330D79"/>
    <w:rsid w:val="00332B44"/>
    <w:rsid w:val="00332EC8"/>
    <w:rsid w:val="00344006"/>
    <w:rsid w:val="0034537A"/>
    <w:rsid w:val="00347488"/>
    <w:rsid w:val="00351C23"/>
    <w:rsid w:val="00353161"/>
    <w:rsid w:val="00354417"/>
    <w:rsid w:val="00356634"/>
    <w:rsid w:val="00362A0D"/>
    <w:rsid w:val="00367564"/>
    <w:rsid w:val="00373916"/>
    <w:rsid w:val="00374604"/>
    <w:rsid w:val="00374809"/>
    <w:rsid w:val="00374FAE"/>
    <w:rsid w:val="00385ABE"/>
    <w:rsid w:val="00391CE5"/>
    <w:rsid w:val="00391E5E"/>
    <w:rsid w:val="003A0031"/>
    <w:rsid w:val="003A00B4"/>
    <w:rsid w:val="003A2A2E"/>
    <w:rsid w:val="003A3E91"/>
    <w:rsid w:val="003B0707"/>
    <w:rsid w:val="003B1718"/>
    <w:rsid w:val="003C0FFC"/>
    <w:rsid w:val="003C1472"/>
    <w:rsid w:val="003C1E89"/>
    <w:rsid w:val="003C4CE3"/>
    <w:rsid w:val="003D3AA3"/>
    <w:rsid w:val="003D3D25"/>
    <w:rsid w:val="003D45C1"/>
    <w:rsid w:val="003F141D"/>
    <w:rsid w:val="003F1C94"/>
    <w:rsid w:val="003F1FF8"/>
    <w:rsid w:val="003F40A1"/>
    <w:rsid w:val="003F5D98"/>
    <w:rsid w:val="003F5E7F"/>
    <w:rsid w:val="003F62BE"/>
    <w:rsid w:val="00401387"/>
    <w:rsid w:val="00402B82"/>
    <w:rsid w:val="0040475E"/>
    <w:rsid w:val="00404E6F"/>
    <w:rsid w:val="004116F3"/>
    <w:rsid w:val="00411AF3"/>
    <w:rsid w:val="00412470"/>
    <w:rsid w:val="00414844"/>
    <w:rsid w:val="00415C20"/>
    <w:rsid w:val="004174FF"/>
    <w:rsid w:val="00422824"/>
    <w:rsid w:val="0042306F"/>
    <w:rsid w:val="00431CBD"/>
    <w:rsid w:val="00436287"/>
    <w:rsid w:val="00441EC8"/>
    <w:rsid w:val="00444701"/>
    <w:rsid w:val="004450F3"/>
    <w:rsid w:val="004527CA"/>
    <w:rsid w:val="004544A7"/>
    <w:rsid w:val="004657C1"/>
    <w:rsid w:val="00470010"/>
    <w:rsid w:val="00470839"/>
    <w:rsid w:val="0048008A"/>
    <w:rsid w:val="004814CA"/>
    <w:rsid w:val="004838B9"/>
    <w:rsid w:val="00484AEC"/>
    <w:rsid w:val="0048666E"/>
    <w:rsid w:val="00490ABD"/>
    <w:rsid w:val="00491522"/>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52D7"/>
    <w:rsid w:val="004E5E1F"/>
    <w:rsid w:val="004F291A"/>
    <w:rsid w:val="004F47DB"/>
    <w:rsid w:val="004F4D8C"/>
    <w:rsid w:val="00506BE3"/>
    <w:rsid w:val="00507C40"/>
    <w:rsid w:val="00510D6B"/>
    <w:rsid w:val="00511334"/>
    <w:rsid w:val="005135AA"/>
    <w:rsid w:val="00514FE8"/>
    <w:rsid w:val="0051517F"/>
    <w:rsid w:val="005153B8"/>
    <w:rsid w:val="0051553D"/>
    <w:rsid w:val="00517D3C"/>
    <w:rsid w:val="00535EF5"/>
    <w:rsid w:val="00551955"/>
    <w:rsid w:val="00553A8E"/>
    <w:rsid w:val="00557394"/>
    <w:rsid w:val="00561068"/>
    <w:rsid w:val="0056680A"/>
    <w:rsid w:val="00572224"/>
    <w:rsid w:val="00572DD3"/>
    <w:rsid w:val="0057404D"/>
    <w:rsid w:val="00574166"/>
    <w:rsid w:val="00574719"/>
    <w:rsid w:val="00577717"/>
    <w:rsid w:val="0058179C"/>
    <w:rsid w:val="00581906"/>
    <w:rsid w:val="00587EB0"/>
    <w:rsid w:val="00592757"/>
    <w:rsid w:val="00593B63"/>
    <w:rsid w:val="0059574E"/>
    <w:rsid w:val="005A030D"/>
    <w:rsid w:val="005A0E4C"/>
    <w:rsid w:val="005A3CDA"/>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2695D"/>
    <w:rsid w:val="0063061B"/>
    <w:rsid w:val="006311F0"/>
    <w:rsid w:val="00634435"/>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204E5"/>
    <w:rsid w:val="00720EF4"/>
    <w:rsid w:val="00726DE1"/>
    <w:rsid w:val="00737554"/>
    <w:rsid w:val="00741FE3"/>
    <w:rsid w:val="007438D6"/>
    <w:rsid w:val="0075604F"/>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A648A"/>
    <w:rsid w:val="007A6590"/>
    <w:rsid w:val="007B3678"/>
    <w:rsid w:val="007C1DF5"/>
    <w:rsid w:val="007C2DF7"/>
    <w:rsid w:val="007D0C98"/>
    <w:rsid w:val="007D20F5"/>
    <w:rsid w:val="007D62DD"/>
    <w:rsid w:val="007D71A0"/>
    <w:rsid w:val="007D7DF6"/>
    <w:rsid w:val="007E1577"/>
    <w:rsid w:val="007E218D"/>
    <w:rsid w:val="007E7A4E"/>
    <w:rsid w:val="007F3588"/>
    <w:rsid w:val="00801A6F"/>
    <w:rsid w:val="00802EDD"/>
    <w:rsid w:val="008037F1"/>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6099C"/>
    <w:rsid w:val="0086475F"/>
    <w:rsid w:val="00866351"/>
    <w:rsid w:val="0087297B"/>
    <w:rsid w:val="008751B7"/>
    <w:rsid w:val="0087718F"/>
    <w:rsid w:val="00882A87"/>
    <w:rsid w:val="00885BFF"/>
    <w:rsid w:val="00885D18"/>
    <w:rsid w:val="00887B0B"/>
    <w:rsid w:val="00890485"/>
    <w:rsid w:val="0089053B"/>
    <w:rsid w:val="008922A9"/>
    <w:rsid w:val="008941CC"/>
    <w:rsid w:val="008957BF"/>
    <w:rsid w:val="008A61D1"/>
    <w:rsid w:val="008B3976"/>
    <w:rsid w:val="008B3BEA"/>
    <w:rsid w:val="008C27D0"/>
    <w:rsid w:val="008C42AD"/>
    <w:rsid w:val="008C5C93"/>
    <w:rsid w:val="008C6B30"/>
    <w:rsid w:val="008D11D5"/>
    <w:rsid w:val="008D34BD"/>
    <w:rsid w:val="008D6C37"/>
    <w:rsid w:val="008E4DF2"/>
    <w:rsid w:val="008E6EF4"/>
    <w:rsid w:val="008F0528"/>
    <w:rsid w:val="008F3299"/>
    <w:rsid w:val="008F4555"/>
    <w:rsid w:val="008F4CD9"/>
    <w:rsid w:val="008F633B"/>
    <w:rsid w:val="008F750F"/>
    <w:rsid w:val="008F7BED"/>
    <w:rsid w:val="0090203C"/>
    <w:rsid w:val="00903212"/>
    <w:rsid w:val="00907553"/>
    <w:rsid w:val="00910237"/>
    <w:rsid w:val="00913CC8"/>
    <w:rsid w:val="00916768"/>
    <w:rsid w:val="009206C4"/>
    <w:rsid w:val="00920A42"/>
    <w:rsid w:val="009215F3"/>
    <w:rsid w:val="00922AF3"/>
    <w:rsid w:val="00922B56"/>
    <w:rsid w:val="00934157"/>
    <w:rsid w:val="0093576C"/>
    <w:rsid w:val="00935BB2"/>
    <w:rsid w:val="00945280"/>
    <w:rsid w:val="009531B6"/>
    <w:rsid w:val="00956791"/>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9D1"/>
    <w:rsid w:val="00A7489E"/>
    <w:rsid w:val="00A75B5E"/>
    <w:rsid w:val="00A81663"/>
    <w:rsid w:val="00A81CAC"/>
    <w:rsid w:val="00A824EE"/>
    <w:rsid w:val="00A847B9"/>
    <w:rsid w:val="00A850D5"/>
    <w:rsid w:val="00A85CE8"/>
    <w:rsid w:val="00A94D85"/>
    <w:rsid w:val="00AA6169"/>
    <w:rsid w:val="00AB2246"/>
    <w:rsid w:val="00AB498D"/>
    <w:rsid w:val="00AB67D8"/>
    <w:rsid w:val="00AC2FFC"/>
    <w:rsid w:val="00AC4597"/>
    <w:rsid w:val="00AC502D"/>
    <w:rsid w:val="00AC51BD"/>
    <w:rsid w:val="00AC79B3"/>
    <w:rsid w:val="00AD3B22"/>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1305"/>
    <w:rsid w:val="00B41DAE"/>
    <w:rsid w:val="00B41ED0"/>
    <w:rsid w:val="00B42586"/>
    <w:rsid w:val="00B4727D"/>
    <w:rsid w:val="00B526DC"/>
    <w:rsid w:val="00B534E5"/>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6434"/>
    <w:rsid w:val="00BF3CAB"/>
    <w:rsid w:val="00BF5335"/>
    <w:rsid w:val="00BF728A"/>
    <w:rsid w:val="00C060D1"/>
    <w:rsid w:val="00C07C74"/>
    <w:rsid w:val="00C106CC"/>
    <w:rsid w:val="00C11819"/>
    <w:rsid w:val="00C120E2"/>
    <w:rsid w:val="00C12747"/>
    <w:rsid w:val="00C12A29"/>
    <w:rsid w:val="00C13592"/>
    <w:rsid w:val="00C13BFD"/>
    <w:rsid w:val="00C15B62"/>
    <w:rsid w:val="00C15EE4"/>
    <w:rsid w:val="00C200CA"/>
    <w:rsid w:val="00C210D1"/>
    <w:rsid w:val="00C21E23"/>
    <w:rsid w:val="00C26F18"/>
    <w:rsid w:val="00C279A3"/>
    <w:rsid w:val="00C327F7"/>
    <w:rsid w:val="00C33352"/>
    <w:rsid w:val="00C33462"/>
    <w:rsid w:val="00C345B1"/>
    <w:rsid w:val="00C40413"/>
    <w:rsid w:val="00C4175E"/>
    <w:rsid w:val="00C41B17"/>
    <w:rsid w:val="00C456F4"/>
    <w:rsid w:val="00C45A61"/>
    <w:rsid w:val="00C478D2"/>
    <w:rsid w:val="00C545FF"/>
    <w:rsid w:val="00C6116A"/>
    <w:rsid w:val="00C61ED9"/>
    <w:rsid w:val="00C62981"/>
    <w:rsid w:val="00C62A47"/>
    <w:rsid w:val="00C62B2F"/>
    <w:rsid w:val="00C63367"/>
    <w:rsid w:val="00C6518A"/>
    <w:rsid w:val="00C74F5F"/>
    <w:rsid w:val="00C74F84"/>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5A15"/>
    <w:rsid w:val="00D45F51"/>
    <w:rsid w:val="00D46538"/>
    <w:rsid w:val="00D46FB5"/>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E0146F"/>
    <w:rsid w:val="00E03D3A"/>
    <w:rsid w:val="00E0597E"/>
    <w:rsid w:val="00E07742"/>
    <w:rsid w:val="00E14631"/>
    <w:rsid w:val="00E15F79"/>
    <w:rsid w:val="00E24076"/>
    <w:rsid w:val="00E24239"/>
    <w:rsid w:val="00E26319"/>
    <w:rsid w:val="00E31626"/>
    <w:rsid w:val="00E3260B"/>
    <w:rsid w:val="00E34536"/>
    <w:rsid w:val="00E40985"/>
    <w:rsid w:val="00E42C05"/>
    <w:rsid w:val="00E46FDF"/>
    <w:rsid w:val="00E65237"/>
    <w:rsid w:val="00E66F59"/>
    <w:rsid w:val="00E7238A"/>
    <w:rsid w:val="00E76DE4"/>
    <w:rsid w:val="00E803F8"/>
    <w:rsid w:val="00E8044A"/>
    <w:rsid w:val="00E81B08"/>
    <w:rsid w:val="00E92526"/>
    <w:rsid w:val="00E9416D"/>
    <w:rsid w:val="00E973AF"/>
    <w:rsid w:val="00E974EB"/>
    <w:rsid w:val="00E97581"/>
    <w:rsid w:val="00E97D20"/>
    <w:rsid w:val="00EA063D"/>
    <w:rsid w:val="00EA3398"/>
    <w:rsid w:val="00EA4536"/>
    <w:rsid w:val="00EA5CA9"/>
    <w:rsid w:val="00EA5EDA"/>
    <w:rsid w:val="00EB009B"/>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6273"/>
    <w:rsid w:val="00F2698C"/>
    <w:rsid w:val="00F43922"/>
    <w:rsid w:val="00F45A07"/>
    <w:rsid w:val="00F4642D"/>
    <w:rsid w:val="00F4653F"/>
    <w:rsid w:val="00F50237"/>
    <w:rsid w:val="00F51390"/>
    <w:rsid w:val="00F61FBD"/>
    <w:rsid w:val="00F6327A"/>
    <w:rsid w:val="00F70C34"/>
    <w:rsid w:val="00F761BC"/>
    <w:rsid w:val="00F85D93"/>
    <w:rsid w:val="00F876E9"/>
    <w:rsid w:val="00F8783B"/>
    <w:rsid w:val="00F9088E"/>
    <w:rsid w:val="00F913B6"/>
    <w:rsid w:val="00FA1832"/>
    <w:rsid w:val="00FA4F76"/>
    <w:rsid w:val="00FA5D93"/>
    <w:rsid w:val="00FB0F00"/>
    <w:rsid w:val="00FB346B"/>
    <w:rsid w:val="00FC258D"/>
    <w:rsid w:val="00FC327E"/>
    <w:rsid w:val="00FD0AB9"/>
    <w:rsid w:val="00FE0C9F"/>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B4DE7-6163-2141-A474-AC26E58D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14172</TotalTime>
  <Pages>25</Pages>
  <Words>28858</Words>
  <Characters>164495</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86</cp:revision>
  <dcterms:created xsi:type="dcterms:W3CDTF">2023-10-26T14:28:00Z</dcterms:created>
  <dcterms:modified xsi:type="dcterms:W3CDTF">2024-01-15T18:15:00Z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id="U2t0rpK7"/&gt;&lt;style id="http://www.zotero.org/styles/apa" locale="en-US" hasBibliography="1" bibliographyStyleHasBeenSet="1"/&gt;&lt;prefs&gt;&lt;pref name="fieldType" value="Field"/&gt;&lt;/prefs&gt;&lt;/data&gt;</vt:lpwstr>
  </property>
</Properties>
</file>