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lastRenderedPageBreak/>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6DCF7B7F"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61F70696"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45685E65" w:rsidR="00757CFC" w:rsidRDefault="00757CFC" w:rsidP="00757CFC">
      <w:pPr>
        <w:pStyle w:val="Heading2"/>
      </w:pPr>
      <w:r w:rsidRPr="00F8783B">
        <w:rPr>
          <w:highlight w:val="yellow"/>
        </w:rPr>
        <w:lastRenderedPageBreak/>
        <w:t xml:space="preserve">Gdf15-/- dams </w:t>
      </w:r>
      <w:r w:rsidR="003D3AA3" w:rsidRPr="00F8783B">
        <w:rPr>
          <w:highlight w:val="yellow"/>
        </w:rPr>
        <w:t>normal insulin tolerance during pregnancy</w:t>
      </w:r>
    </w:p>
    <w:p w14:paraId="46078BF1" w14:textId="6C759C36"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Gdf15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 counterparts (p=0.74). The initial rate of drop of blood glucose was </w:t>
      </w:r>
      <w:r w:rsidR="00F9088E">
        <w:rPr>
          <w:rFonts w:ascii="Times New Roman" w:hAnsi="Times New Roman" w:cs="Times New Roman"/>
        </w:rPr>
        <w:t>9.34% lower in -/- dams compared to +/+ 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5C97D1B7" w14:textId="77777777" w:rsidR="009B2016" w:rsidRPr="00655C34" w:rsidRDefault="009B2016" w:rsidP="00971C89">
      <w:pPr>
        <w:spacing w:line="360" w:lineRule="auto"/>
        <w:rPr>
          <w:rFonts w:ascii="Times New Roman" w:hAnsi="Times New Roman" w:cs="Times New Roman"/>
        </w:rPr>
      </w:pP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DD0C" w14:textId="77777777" w:rsidR="00636D13" w:rsidRDefault="00636D13" w:rsidP="00283B15">
      <w:r>
        <w:separator/>
      </w:r>
    </w:p>
  </w:endnote>
  <w:endnote w:type="continuationSeparator" w:id="0">
    <w:p w14:paraId="5C4A61EB" w14:textId="77777777" w:rsidR="00636D13" w:rsidRDefault="00636D13"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8E2A" w14:textId="77777777" w:rsidR="00636D13" w:rsidRDefault="00636D13" w:rsidP="00283B15">
      <w:r>
        <w:separator/>
      </w:r>
    </w:p>
  </w:footnote>
  <w:footnote w:type="continuationSeparator" w:id="0">
    <w:p w14:paraId="2E61088D" w14:textId="77777777" w:rsidR="00636D13" w:rsidRDefault="00636D13"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77CDF"/>
    <w:rsid w:val="000B7DE3"/>
    <w:rsid w:val="000C2B86"/>
    <w:rsid w:val="000C3D44"/>
    <w:rsid w:val="000D699C"/>
    <w:rsid w:val="000F2F63"/>
    <w:rsid w:val="000F3B3F"/>
    <w:rsid w:val="000F642D"/>
    <w:rsid w:val="00106075"/>
    <w:rsid w:val="00107C77"/>
    <w:rsid w:val="00113179"/>
    <w:rsid w:val="00122A75"/>
    <w:rsid w:val="00154B9E"/>
    <w:rsid w:val="001557E5"/>
    <w:rsid w:val="00186B53"/>
    <w:rsid w:val="001C170C"/>
    <w:rsid w:val="001C634C"/>
    <w:rsid w:val="001D753F"/>
    <w:rsid w:val="001E6250"/>
    <w:rsid w:val="001E72ED"/>
    <w:rsid w:val="0020031B"/>
    <w:rsid w:val="002375E1"/>
    <w:rsid w:val="00242FC7"/>
    <w:rsid w:val="00247B38"/>
    <w:rsid w:val="002513AE"/>
    <w:rsid w:val="00262874"/>
    <w:rsid w:val="00264316"/>
    <w:rsid w:val="00280CAA"/>
    <w:rsid w:val="00283B15"/>
    <w:rsid w:val="002A4E3E"/>
    <w:rsid w:val="002A5E0B"/>
    <w:rsid w:val="002B64E3"/>
    <w:rsid w:val="002C1F42"/>
    <w:rsid w:val="002C2A53"/>
    <w:rsid w:val="002C53A0"/>
    <w:rsid w:val="002E247C"/>
    <w:rsid w:val="002F29DF"/>
    <w:rsid w:val="00303552"/>
    <w:rsid w:val="0030401E"/>
    <w:rsid w:val="00332B44"/>
    <w:rsid w:val="00344006"/>
    <w:rsid w:val="00367564"/>
    <w:rsid w:val="00373916"/>
    <w:rsid w:val="00374604"/>
    <w:rsid w:val="003D3AA3"/>
    <w:rsid w:val="003D45C1"/>
    <w:rsid w:val="00404E6F"/>
    <w:rsid w:val="00422824"/>
    <w:rsid w:val="0042306F"/>
    <w:rsid w:val="00436287"/>
    <w:rsid w:val="00444701"/>
    <w:rsid w:val="004527CA"/>
    <w:rsid w:val="004814CA"/>
    <w:rsid w:val="004A3BDC"/>
    <w:rsid w:val="004A7ABC"/>
    <w:rsid w:val="004C147B"/>
    <w:rsid w:val="004C1957"/>
    <w:rsid w:val="004D15A6"/>
    <w:rsid w:val="004F4D8C"/>
    <w:rsid w:val="00506BE3"/>
    <w:rsid w:val="00511334"/>
    <w:rsid w:val="005135AA"/>
    <w:rsid w:val="00517D3C"/>
    <w:rsid w:val="00572224"/>
    <w:rsid w:val="00572DD3"/>
    <w:rsid w:val="00574166"/>
    <w:rsid w:val="00581906"/>
    <w:rsid w:val="00587EB0"/>
    <w:rsid w:val="005A3CDA"/>
    <w:rsid w:val="005A57BB"/>
    <w:rsid w:val="005B1295"/>
    <w:rsid w:val="005E3BA8"/>
    <w:rsid w:val="005E6CA5"/>
    <w:rsid w:val="005F2191"/>
    <w:rsid w:val="00603AC9"/>
    <w:rsid w:val="0062695D"/>
    <w:rsid w:val="006311F0"/>
    <w:rsid w:val="00636D13"/>
    <w:rsid w:val="00645CE1"/>
    <w:rsid w:val="00655C34"/>
    <w:rsid w:val="0066761A"/>
    <w:rsid w:val="00667E7E"/>
    <w:rsid w:val="00674C4E"/>
    <w:rsid w:val="00697A26"/>
    <w:rsid w:val="006B0F65"/>
    <w:rsid w:val="006B426E"/>
    <w:rsid w:val="006C7575"/>
    <w:rsid w:val="006D0E50"/>
    <w:rsid w:val="006E4CAA"/>
    <w:rsid w:val="00726DE1"/>
    <w:rsid w:val="00741FE3"/>
    <w:rsid w:val="00757CFC"/>
    <w:rsid w:val="00777A3D"/>
    <w:rsid w:val="007800A0"/>
    <w:rsid w:val="00792F75"/>
    <w:rsid w:val="007C1DF5"/>
    <w:rsid w:val="008037F1"/>
    <w:rsid w:val="00810717"/>
    <w:rsid w:val="0081224E"/>
    <w:rsid w:val="00834B50"/>
    <w:rsid w:val="0086099C"/>
    <w:rsid w:val="008D11D5"/>
    <w:rsid w:val="008E4DF2"/>
    <w:rsid w:val="008E6EF4"/>
    <w:rsid w:val="008F3299"/>
    <w:rsid w:val="008F4555"/>
    <w:rsid w:val="00910237"/>
    <w:rsid w:val="00913CC8"/>
    <w:rsid w:val="00916768"/>
    <w:rsid w:val="00935BB2"/>
    <w:rsid w:val="00967CB8"/>
    <w:rsid w:val="00971C89"/>
    <w:rsid w:val="009778DF"/>
    <w:rsid w:val="009B2016"/>
    <w:rsid w:val="009B3F1D"/>
    <w:rsid w:val="009E0694"/>
    <w:rsid w:val="00A056A4"/>
    <w:rsid w:val="00A172DE"/>
    <w:rsid w:val="00A17703"/>
    <w:rsid w:val="00A22DC3"/>
    <w:rsid w:val="00A2331B"/>
    <w:rsid w:val="00A32ED9"/>
    <w:rsid w:val="00A75B5E"/>
    <w:rsid w:val="00A850D5"/>
    <w:rsid w:val="00AA6169"/>
    <w:rsid w:val="00AB498D"/>
    <w:rsid w:val="00AC2FFC"/>
    <w:rsid w:val="00AC4597"/>
    <w:rsid w:val="00AE2672"/>
    <w:rsid w:val="00AE4DBC"/>
    <w:rsid w:val="00B039A5"/>
    <w:rsid w:val="00B34F9F"/>
    <w:rsid w:val="00B364E2"/>
    <w:rsid w:val="00B41305"/>
    <w:rsid w:val="00B41ED0"/>
    <w:rsid w:val="00B555A6"/>
    <w:rsid w:val="00B57207"/>
    <w:rsid w:val="00B87CB1"/>
    <w:rsid w:val="00BB319E"/>
    <w:rsid w:val="00BD75F3"/>
    <w:rsid w:val="00BF3CAB"/>
    <w:rsid w:val="00BF5335"/>
    <w:rsid w:val="00C12747"/>
    <w:rsid w:val="00C13592"/>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461E"/>
    <w:rsid w:val="00D1756D"/>
    <w:rsid w:val="00D3270D"/>
    <w:rsid w:val="00D45A15"/>
    <w:rsid w:val="00D50EED"/>
    <w:rsid w:val="00D671B1"/>
    <w:rsid w:val="00D86FB4"/>
    <w:rsid w:val="00DD02BD"/>
    <w:rsid w:val="00DD11C9"/>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D0BEA"/>
    <w:rsid w:val="00EF1CFC"/>
    <w:rsid w:val="00EF6E8B"/>
    <w:rsid w:val="00EF6FDD"/>
    <w:rsid w:val="00F0707F"/>
    <w:rsid w:val="00F43922"/>
    <w:rsid w:val="00F85D93"/>
    <w:rsid w:val="00F876E9"/>
    <w:rsid w:val="00F8783B"/>
    <w:rsid w:val="00F9088E"/>
    <w:rsid w:val="00FB0F00"/>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98</cp:revision>
  <dcterms:created xsi:type="dcterms:W3CDTF">2022-05-03T17:41:00Z</dcterms:created>
  <dcterms:modified xsi:type="dcterms:W3CDTF">2022-06-13T15:17:00Z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