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w:t>
      </w:r>
      <w:r w:rsidR="001D753F">
        <w:rPr>
          <w:rFonts w:ascii="Times New Roman" w:hAnsi="Times New Roman" w:cs="Times New Roman"/>
        </w:rPr>
        <w:t xml:space="preserve">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w:t>
      </w:r>
      <w:r w:rsidR="00B555A6">
        <w:rPr>
          <w:rFonts w:ascii="Times New Roman" w:hAnsi="Times New Roman" w:cs="Times New Roman"/>
        </w:rPr>
        <w:t>-9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777A3D">
      <w:pPr>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w:t>
      </w:r>
      <w:r w:rsidR="00777A3D" w:rsidRPr="00777A3D">
        <w:rPr>
          <w:rFonts w:ascii="Times New Roman" w:hAnsi="Times New Roman" w:cs="Times New Roman"/>
          <w:color w:val="252525"/>
          <w:shd w:val="clear" w:color="auto" w:fill="FFFFFF"/>
        </w:rPr>
        <w:t>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w:t>
      </w:r>
      <w:r w:rsidR="00777A3D" w:rsidRPr="00777A3D">
        <w:rPr>
          <w:rFonts w:ascii="Times New Roman" w:hAnsi="Times New Roman" w:cs="Times New Roman"/>
          <w:color w:val="252525"/>
          <w:shd w:val="clear" w:color="auto" w:fill="FFFFFF"/>
        </w:rPr>
        <w:t>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w:t>
      </w:r>
      <w:r w:rsidR="00777A3D" w:rsidRPr="00777A3D">
        <w:rPr>
          <w:rFonts w:ascii="Times New Roman" w:hAnsi="Times New Roman" w:cs="Times New Roman"/>
          <w:color w:val="252525"/>
          <w:shd w:val="clear" w:color="auto" w:fill="FFFFFF"/>
        </w:rPr>
        <w:t>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3812C748"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Gdf15 in to dam serum. Our primary outcome of concern was maternal food intake, the dam </w:t>
      </w:r>
      <w:r w:rsidR="005F2191">
        <w:rPr>
          <w:rFonts w:ascii="Times New Roman" w:hAnsi="Times New Roman" w:cs="Times New Roman"/>
        </w:rPr>
        <w:t xml:space="preserve">serum levels of </w:t>
      </w:r>
      <w:r w:rsidR="005F2191" w:rsidRPr="005135AA">
        <w:rPr>
          <w:rFonts w:ascii="Times New Roman" w:hAnsi="Times New Roman" w:cs="Times New Roman"/>
          <w:i/>
          <w:iCs/>
        </w:rPr>
        <w:t>Gdf1</w:t>
      </w:r>
      <w:r w:rsidR="005F2191">
        <w:rPr>
          <w:rFonts w:ascii="Times New Roman" w:hAnsi="Times New Roman" w:cs="Times New Roman"/>
          <w:i/>
          <w:iCs/>
        </w:rPr>
        <w:t xml:space="preserve">5 </w:t>
      </w:r>
      <w:r w:rsidR="005F2191">
        <w:rPr>
          <w:rFonts w:ascii="Times New Roman" w:hAnsi="Times New Roman" w:cs="Times New Roman"/>
        </w:rPr>
        <w:t xml:space="preserve">required we combine homozygous genotype mating pairs.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t>
      </w:r>
      <w:r w:rsidR="00910237">
        <w:rPr>
          <w:rFonts w:ascii="Times New Roman" w:hAnsi="Times New Roman" w:cs="Times New Roman"/>
        </w:rPr>
        <w:lastRenderedPageBreak/>
        <w:t xml:space="preserve">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w:t>
      </w:r>
      <w:r w:rsidRPr="00303552">
        <w:rPr>
          <w:rFonts w:ascii="Times New Roman" w:hAnsi="Times New Roman" w:cs="Times New Roman"/>
        </w:rPr>
        <w:lastRenderedPageBreak/>
        <w:t xml:space="preserve">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lastRenderedPageBreak/>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0C2E5949" w:rsidR="00667E7E" w:rsidRPr="00303552" w:rsidRDefault="00667E7E" w:rsidP="00C279A3">
      <w:pPr>
        <w:pStyle w:val="Heading1"/>
        <w:rPr>
          <w:rFonts w:cs="Times New Roman"/>
        </w:rPr>
      </w:pPr>
      <w:r w:rsidRPr="00303552">
        <w:rPr>
          <w:rFonts w:cs="Times New Roman"/>
        </w:rPr>
        <w:t>Results</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2B64E3">
        <w:fldChar w:fldCharType="begin"/>
      </w:r>
      <w:r w:rsidRPr="00332B44">
        <w:instrText xml:space="preserve"> ADDIN ZOTERO_BIBL {"uncited":[],"omitted":[],"custom":[]} CSL_BIBLIOGRAPHY </w:instrText>
      </w:r>
      <w:r w:rsidRPr="00332B44">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E7FF" w14:textId="77777777" w:rsidR="00BF3CAB" w:rsidRDefault="00BF3CAB" w:rsidP="00283B15">
      <w:r>
        <w:separator/>
      </w:r>
    </w:p>
  </w:endnote>
  <w:endnote w:type="continuationSeparator" w:id="0">
    <w:p w14:paraId="00146E3E" w14:textId="77777777" w:rsidR="00BF3CAB" w:rsidRDefault="00BF3CAB"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38B7" w14:textId="77777777" w:rsidR="00BF3CAB" w:rsidRDefault="00BF3CAB" w:rsidP="00283B15">
      <w:r>
        <w:separator/>
      </w:r>
    </w:p>
  </w:footnote>
  <w:footnote w:type="continuationSeparator" w:id="0">
    <w:p w14:paraId="54292739" w14:textId="77777777" w:rsidR="00BF3CAB" w:rsidRDefault="00BF3CAB"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C2B86"/>
    <w:rsid w:val="000C3D44"/>
    <w:rsid w:val="000D699C"/>
    <w:rsid w:val="000F3B3F"/>
    <w:rsid w:val="000F642D"/>
    <w:rsid w:val="00106075"/>
    <w:rsid w:val="001557E5"/>
    <w:rsid w:val="00186B53"/>
    <w:rsid w:val="001C170C"/>
    <w:rsid w:val="001C634C"/>
    <w:rsid w:val="001D753F"/>
    <w:rsid w:val="001E6250"/>
    <w:rsid w:val="001E72ED"/>
    <w:rsid w:val="002375E1"/>
    <w:rsid w:val="00247B38"/>
    <w:rsid w:val="002513AE"/>
    <w:rsid w:val="00262874"/>
    <w:rsid w:val="00264316"/>
    <w:rsid w:val="00280CAA"/>
    <w:rsid w:val="00283B15"/>
    <w:rsid w:val="002A4E3E"/>
    <w:rsid w:val="002B64E3"/>
    <w:rsid w:val="002C2A53"/>
    <w:rsid w:val="002C53A0"/>
    <w:rsid w:val="002E247C"/>
    <w:rsid w:val="002F29DF"/>
    <w:rsid w:val="00303552"/>
    <w:rsid w:val="00332B44"/>
    <w:rsid w:val="00367564"/>
    <w:rsid w:val="003D45C1"/>
    <w:rsid w:val="00404E6F"/>
    <w:rsid w:val="00422824"/>
    <w:rsid w:val="0042306F"/>
    <w:rsid w:val="00436287"/>
    <w:rsid w:val="00444701"/>
    <w:rsid w:val="004814CA"/>
    <w:rsid w:val="004A3BDC"/>
    <w:rsid w:val="004C147B"/>
    <w:rsid w:val="004C1957"/>
    <w:rsid w:val="004F4D8C"/>
    <w:rsid w:val="00506BE3"/>
    <w:rsid w:val="00511334"/>
    <w:rsid w:val="005135AA"/>
    <w:rsid w:val="00517D3C"/>
    <w:rsid w:val="00572DD3"/>
    <w:rsid w:val="00574166"/>
    <w:rsid w:val="00587EB0"/>
    <w:rsid w:val="005B1295"/>
    <w:rsid w:val="005E6CA5"/>
    <w:rsid w:val="005F2191"/>
    <w:rsid w:val="00603AC9"/>
    <w:rsid w:val="00667E7E"/>
    <w:rsid w:val="00697A26"/>
    <w:rsid w:val="006B0F65"/>
    <w:rsid w:val="006B426E"/>
    <w:rsid w:val="006D0E50"/>
    <w:rsid w:val="006E4CAA"/>
    <w:rsid w:val="00741FE3"/>
    <w:rsid w:val="00777A3D"/>
    <w:rsid w:val="00792F75"/>
    <w:rsid w:val="007C1DF5"/>
    <w:rsid w:val="008037F1"/>
    <w:rsid w:val="00810717"/>
    <w:rsid w:val="0081224E"/>
    <w:rsid w:val="00834B50"/>
    <w:rsid w:val="0086099C"/>
    <w:rsid w:val="008D11D5"/>
    <w:rsid w:val="008E4DF2"/>
    <w:rsid w:val="008F3299"/>
    <w:rsid w:val="008F4555"/>
    <w:rsid w:val="00910237"/>
    <w:rsid w:val="00913CC8"/>
    <w:rsid w:val="00916768"/>
    <w:rsid w:val="00935BB2"/>
    <w:rsid w:val="009778DF"/>
    <w:rsid w:val="009B3F1D"/>
    <w:rsid w:val="009E0694"/>
    <w:rsid w:val="00A056A4"/>
    <w:rsid w:val="00A172DE"/>
    <w:rsid w:val="00A17703"/>
    <w:rsid w:val="00A22DC3"/>
    <w:rsid w:val="00A2331B"/>
    <w:rsid w:val="00AA6169"/>
    <w:rsid w:val="00AB498D"/>
    <w:rsid w:val="00AC4597"/>
    <w:rsid w:val="00AE4DBC"/>
    <w:rsid w:val="00B34F9F"/>
    <w:rsid w:val="00B41305"/>
    <w:rsid w:val="00B41ED0"/>
    <w:rsid w:val="00B555A6"/>
    <w:rsid w:val="00B87CB1"/>
    <w:rsid w:val="00BD75F3"/>
    <w:rsid w:val="00BF3CAB"/>
    <w:rsid w:val="00BF5335"/>
    <w:rsid w:val="00C26F18"/>
    <w:rsid w:val="00C279A3"/>
    <w:rsid w:val="00C345B1"/>
    <w:rsid w:val="00C545FF"/>
    <w:rsid w:val="00C6518A"/>
    <w:rsid w:val="00C86E71"/>
    <w:rsid w:val="00C95715"/>
    <w:rsid w:val="00CC5373"/>
    <w:rsid w:val="00CD4198"/>
    <w:rsid w:val="00CD654B"/>
    <w:rsid w:val="00D02566"/>
    <w:rsid w:val="00D071B1"/>
    <w:rsid w:val="00D10944"/>
    <w:rsid w:val="00D3270D"/>
    <w:rsid w:val="00D50EED"/>
    <w:rsid w:val="00D671B1"/>
    <w:rsid w:val="00D86FB4"/>
    <w:rsid w:val="00DD02BD"/>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F6E8B"/>
    <w:rsid w:val="00EF6FDD"/>
    <w:rsid w:val="00F43922"/>
    <w:rsid w:val="00F85D93"/>
    <w:rsid w:val="00F876E9"/>
    <w:rsid w:val="00FB0F00"/>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46</cp:revision>
  <dcterms:created xsi:type="dcterms:W3CDTF">2022-05-03T17:41:00Z</dcterms:created>
  <dcterms:modified xsi:type="dcterms:W3CDTF">2022-05-24T19:11:00Z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