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2C2A237"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pregnancy, stress,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w:t>
      </w:r>
      <w:proofErr w:type="spellStart"/>
      <w:r>
        <w:rPr>
          <w:rFonts w:ascii="Times New Roman" w:hAnsi="Times New Roman" w:cs="Times New Roman"/>
        </w:rPr>
        <w:t>MCubed</w:t>
      </w:r>
      <w:proofErr w:type="spellEnd"/>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55079">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w:t>
      </w:r>
      <w:proofErr w:type="gramStart"/>
      <w:r w:rsidR="00835701">
        <w:rPr>
          <w:rFonts w:ascii="Times New Roman" w:hAnsi="Times New Roman" w:cs="Times New Roman"/>
        </w:rPr>
        <w:t>during the course of</w:t>
      </w:r>
      <w:proofErr w:type="gramEnd"/>
      <w:r w:rsidR="00835701">
        <w:rPr>
          <w:rFonts w:ascii="Times New Roman" w:hAnsi="Times New Roman" w:cs="Times New Roman"/>
        </w:rPr>
        <w:t xml:space="preserve">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3E28FC">
      <w:pPr>
        <w:spacing w:line="480" w:lineRule="auto"/>
      </w:pPr>
    </w:p>
    <w:p w14:paraId="45308EB6" w14:textId="3C69F6CE"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4267FB" w:rsidRPr="004267FB">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xml:space="preserve">, </w:t>
      </w:r>
      <w:r w:rsidR="00F95AD0">
        <w:rPr>
          <w:rFonts w:ascii="Times New Roman" w:hAnsi="Times New Roman" w:cs="Times New Roman"/>
        </w:rPr>
        <w:t>toxins and inflammatory cytokines</w:t>
      </w:r>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{"citationID":"GxlX2bfq","properties":{"formattedCitation":"(7)","plainCitation":"(7)","noteIndex":0},"citationItems":[{"id":2332,"uris":["http://zotero.org/users/5073745/items/CTZZDT8P"],"itemData":{"id":2332,"type":"article-journal","abstract":"An acute increase in the circulating concentration of glucocorticoid hormones is essential for the survival of severe somatic stresses. Circulating concentrations of GDF15, a hormone that acts in the brain to reduce food intake, are frequently elevated in stressful states. We now report that GDF15 potently activates the hypothalamic–pituitary–adrenal (HPA) axis in mice and rats. A blocking antibody to the GDNF-family receptor α-like receptor completely prevented the corticosterone response to GDF15 administration. In wild-type mice exposed to a range of stressful stimuli, circulating levels of both corticosterone and GDF15 rose acutely. In the case of Escherichia coli or lipopolysaccharide injections, the vigorous proinflammatory cytokine response elicited was sufficient to produce a near-maximal HPA response, regardless of the presence or absence of GDF15. In contrast, the activation of the HPA axis seen in wild-type mice in response to the administration of genotoxic or endoplasmic reticulum toxins, which do not provoke a marked rise in cytokines, was absent in Gdf15 −/− mice. In conclusion, consistent with its proposed role as a sentinel hormone, endogenous GDF15 is required for the activation of the protective HPA response to toxins that do not induce a substantial cytokine response. In the context of efforts to develop GDF15 as an antiobesity therapeutic, these findings identify a biomarker of target engagement and a previously unrecognized pharmacodynamic effect, which will require monitoring in human studies.","container-title":"Proceedings of the National Academy of Sciences","DOI":"10.1073/pnas.2106868118","issue":"27","note":"publisher: Proceedings of the National Academy of Sciences","page":"e2106868118","source":"www-pnas-org.ezproxy.library.wisc.edu (Atypon)","title":"Activation of the hypothalamic–pituitary–adrenal axis by exogenous and endogenous GDF15","volume":"118","author":[{"family":"Cimino","given":"Irene"},{"family":"Kim","given":"Hanna"},{"family":"Tung","given":"Y. C. Loraine"},{"family":"Pedersen","given":"Kent"},{"family":"Rimmington","given":"Debra"},{"family":"Tadross","given":"John A."},{"family":"Kohnke","given":"Sara N."},{"family":"Neves-Costa","given":"Ana"},{"family":"Barros","given":"André"},{"family":"Joaquim","given":"Stephanie"},{"family":"Bennett","given":"Don"},{"family":"Melvin","given":"Audrey"},{"family":"Lockhart","given":"Samuel M."},{"family":"Rostron","given":"Anthony J."},{"family":"Scott","given":"Jonathan"},{"family":"Liu","given":"Hui"},{"family":"Burling","given":"Keith"},{"family":"Barker","given":"Peter"},{"family":"Clatworthy","given":"Menna R."},{"family":"Lee","given":"E-Chiang"},{"family":"Simpson","given":"A. John"},{"family":"Yeo","given":"Giles S. H."},{"family":"Moita","given":"Luís F."},{"family":"Bence","given":"Kendra K."},{"family":"Jørgensen","given":"Sebastian Beck"},{"family":"Coll","given":"Anthony P."},{"family":"Breen","given":"Danna M."},{"family":"O’Rahilly","given":"Stephen"}],"issued":{"date-parts":[["2021",7,6]]}}}],"schema":"https://github.com/citation-style-language/schema/raw/master/csl-citation.json"}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(7)</w:t>
      </w:r>
      <w:r w:rsidR="00F95AD0">
        <w:rPr>
          <w:rFonts w:ascii="Times New Roman" w:hAnsi="Times New Roman" w:cs="Times New Roman"/>
        </w:rPr>
        <w:fldChar w:fldCharType="end"/>
      </w:r>
      <w:r w:rsidR="00F95AD0">
        <w:rPr>
          <w:rFonts w:ascii="Times New Roman" w:hAnsi="Times New Roman" w:cs="Times New Roman"/>
        </w:rPr>
        <w:t>,</w:t>
      </w:r>
      <w:r w:rsidR="00215D96">
        <w:rPr>
          <w:rFonts w:ascii="Times New Roman" w:hAnsi="Times New Roman" w:cs="Times New Roman"/>
        </w:rPr>
        <w:t xml:space="preserve"> </w:t>
      </w:r>
      <w:r w:rsidR="00D80DAC" w:rsidRPr="003F141D">
        <w:rPr>
          <w:rFonts w:ascii="Times New Roman" w:hAnsi="Times New Roman" w:cs="Times New Roman"/>
        </w:rPr>
        <w:t>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JugbC65","properties":{"formattedCitation":"(2,8\\uc0\\u8211{}11)","plainCitation":"(2,8–11)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(2,8–11)</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6DF61C2C"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r w:rsidR="00D80DAC">
        <w:rPr>
          <w:rFonts w:ascii="Times New Roman" w:hAnsi="Times New Roman" w:cs="Times New Roman"/>
        </w:rPr>
        <w:t xml:space="preserve">highlight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{"citationID":"LQpghmEy","properties":{"formattedCitation":"(12)","plainCitation":"(12)","noteIndex":0},"citationItems":[{"id":230,"uris":["http://zotero.org/users/5073745/items/E4JB9GBK"],"itemData":{"id":230,"type":"article-journal","abstract":"Under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(12)</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{"citationID":"wBWT04r7","properties":{"formattedCitation":"(13)","plainCitation":"(13)","noteIndex":0},"citationItems":[{"id":466,"uris":["http://zotero.org/users/5073745/items/FA9CTGNI"],"itemData":{"id":466,"type":"article-journal","abstract":"Elevated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4267FB" w:rsidRPr="004267FB">
        <w:rPr>
          <w:rFonts w:ascii="Times New Roman" w:hAnsi="Times New Roman" w:cs="Times New Roman"/>
        </w:rPr>
        <w:t>(13)</w:t>
      </w:r>
      <w:r w:rsidR="00C62A47">
        <w:rPr>
          <w:rFonts w:ascii="Times New Roman" w:hAnsi="Times New Roman" w:cs="Times New Roman"/>
        </w:rPr>
        <w:fldChar w:fldCharType="end"/>
      </w:r>
      <w:r w:rsidR="00D80DAC">
        <w:rPr>
          <w:rFonts w:ascii="Times New Roman" w:hAnsi="Times New Roman" w:cs="Times New Roman"/>
        </w:rPr>
        <w:t>, emesis</w:t>
      </w:r>
      <w:r w:rsidR="00215AEE">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{"citationID":"6aMuzimC","properties":{"formattedCitation":"(14)","plainCitation":"(14)","noteIndex":0},"citationItems":[{"id":467,"uris":["http://zotero.org/users/5073745/items/WDS35T9T"],"itemData":{"id":467,"type":"article-journal","abstract":"Growth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(14)</w:t>
      </w:r>
      <w:r w:rsidR="00D80DAC">
        <w:rPr>
          <w:rFonts w:ascii="Times New Roman" w:hAnsi="Times New Roman" w:cs="Times New Roman"/>
        </w:rPr>
        <w:fldChar w:fldCharType="end"/>
      </w:r>
      <w:r w:rsidR="00F95AD0">
        <w:rPr>
          <w:rFonts w:ascii="Times New Roman" w:hAnsi="Times New Roman" w:cs="Times New Roman"/>
        </w:rPr>
        <w:t>, and insulin sensitivity</w:t>
      </w:r>
      <w:r w:rsidR="00215D96">
        <w:rPr>
          <w:rFonts w:ascii="Times New Roman" w:hAnsi="Times New Roman" w:cs="Times New Roman"/>
        </w:rPr>
        <w:t xml:space="preserve"> </w:t>
      </w:r>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7Xdj9Fa","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r w:rsidR="0015746A">
        <w:rPr>
          <w:rFonts w:ascii="Times New Roman" w:hAnsi="Times New Roman" w:cs="Times New Roman"/>
        </w:rPr>
        <w:t xml:space="preserve">. </w:t>
      </w:r>
      <w:r w:rsidR="0008334B" w:rsidRPr="00097CF0">
        <w:rPr>
          <w:rFonts w:ascii="Times New Roman" w:hAnsi="Times New Roman" w:cs="Times New Roman"/>
        </w:rPr>
        <w:t>In rodents,</w:t>
      </w:r>
      <w:r w:rsidR="00215D96" w:rsidRPr="007A11AD">
        <w:rPr>
          <w:rFonts w:ascii="Times New Roman" w:hAnsi="Times New Roman" w:cs="Times New Roman"/>
        </w:rPr>
        <w:t xml:space="preserve"> GDF15 signal interruption impacts </w:t>
      </w:r>
      <w:r w:rsidR="0008334B">
        <w:rPr>
          <w:rFonts w:ascii="Times New Roman" w:hAnsi="Times New Roman" w:cs="Times New Roman"/>
        </w:rPr>
        <w:t xml:space="preserve"> food intake </w:t>
      </w:r>
      <w:r w:rsidR="00215D96">
        <w:rPr>
          <w:rFonts w:ascii="Times New Roman" w:hAnsi="Times New Roman" w:cs="Times New Roman"/>
        </w:rPr>
        <w:t>in a diet-dependent manner</w:t>
      </w:r>
      <w:r w:rsidR="0008334B">
        <w:rPr>
          <w:rFonts w:ascii="Times New Roman" w:hAnsi="Times New Roman" w:cs="Times New Roman"/>
        </w:rPr>
        <w: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{"citationID":"uREomVip","properties":{"formattedCitation":"(13,16)","plainCitation":"(13,16)","noteIndex":0},"citationItems":[{"id":601,"uris":["http://zotero.org/users/5073745/items/DBNXSE52"],"itemData":{"id":601,"type":"article-journal","abstract":"Pharmacological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(13,16)</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w:t>
      </w:r>
      <w:r w:rsidR="00881C05">
        <w:rPr>
          <w:rFonts w:ascii="Times New Roman" w:hAnsi="Times New Roman" w:cs="Times New Roman"/>
        </w:rPr>
        <w:t xml:space="preserve">and body weights </w:t>
      </w:r>
      <w:r w:rsidR="0008334B">
        <w:rPr>
          <w:rFonts w:ascii="Times New Roman" w:hAnsi="Times New Roman" w:cs="Times New Roman"/>
        </w:rPr>
        <w:t>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{"citationID":"KLJmDdOP","properties":{"formattedCitation":"(16)","plainCitation":"(16)","noteIndex":0},"citationItems":[{"id":601,"uris":["http://zotero.org/users/5073745/items/DBNXSE52"],"itemData":{"id":601,"type":"article-journal","abstract":"Pharmacological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(16)</w:t>
      </w:r>
      <w:r w:rsidR="0008334B">
        <w:rPr>
          <w:rFonts w:ascii="Times New Roman" w:hAnsi="Times New Roman" w:cs="Times New Roman"/>
        </w:rPr>
        <w:fldChar w:fldCharType="end"/>
      </w:r>
      <w:r w:rsidR="0008334B">
        <w:rPr>
          <w:rFonts w:ascii="Times New Roman" w:hAnsi="Times New Roman" w:cs="Times New Roman"/>
        </w:rPr>
        <w:t>.</w:t>
      </w:r>
      <w:r w:rsidR="0015746A">
        <w:rPr>
          <w:rFonts w:ascii="Times New Roman" w:hAnsi="Times New Roman" w:cs="Times New Roman"/>
        </w:rPr>
        <w:t xml:space="preserve">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w:t>
      </w:r>
      <w:r w:rsidR="00881C05">
        <w:rPr>
          <w:rFonts w:ascii="Times New Roman" w:hAnsi="Times New Roman" w:cs="Times New Roman"/>
        </w:rPr>
        <w:t xml:space="preserve">, where it plays a crucial role in </w:t>
      </w:r>
      <w:r w:rsidR="005C68E9">
        <w:rPr>
          <w:rFonts w:ascii="Times New Roman" w:hAnsi="Times New Roman" w:cs="Times New Roman"/>
        </w:rPr>
        <w:t xml:space="preserve"> body weight and food </w:t>
      </w:r>
      <w:r w:rsidR="00881C05">
        <w:rPr>
          <w:rFonts w:ascii="Times New Roman" w:hAnsi="Times New Roman" w:cs="Times New Roman"/>
        </w:rPr>
        <w:t>intake regulation. P</w:t>
      </w:r>
      <w:r w:rsidR="005C68E9">
        <w:rPr>
          <w:rFonts w:ascii="Times New Roman" w:hAnsi="Times New Roman" w:cs="Times New Roman"/>
        </w:rPr>
        <w:t xml:space="preserve">ositive association between </w:t>
      </w:r>
      <w:r w:rsidR="00881C05">
        <w:rPr>
          <w:rFonts w:ascii="Times New Roman" w:hAnsi="Times New Roman" w:cs="Times New Roman"/>
        </w:rPr>
        <w:t xml:space="preserve">quantities of </w:t>
      </w:r>
      <w:r w:rsidR="005C68E9">
        <w:rPr>
          <w:rFonts w:ascii="Times New Roman" w:hAnsi="Times New Roman" w:cs="Times New Roman"/>
        </w:rPr>
        <w:t xml:space="preserve">GFRAL positive neurons and fat mass/body weight gain </w:t>
      </w:r>
      <w:r w:rsidR="00881C05">
        <w:rPr>
          <w:rFonts w:ascii="Times New Roman" w:hAnsi="Times New Roman" w:cs="Times New Roman"/>
        </w:rPr>
        <w:t>reinforce its role in weight regulation</w:t>
      </w:r>
      <w:r w:rsidR="005C68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{"citationID":"v3rcAsUI","properties":{"formattedCitation":"(13)","plainCitation":"(13)","noteIndex":0},"citationItems":[{"id":466,"uris":["http://zotero.org/users/5073745/items/FA9CTGNI"],"itemData":{"id":466,"type":"article-journal","abstract":"Elevated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4267FB" w:rsidRPr="004267FB">
        <w:rPr>
          <w:rFonts w:ascii="Times New Roman" w:hAnsi="Times New Roman" w:cs="Times New Roman"/>
        </w:rPr>
        <w:t>(13)</w:t>
      </w:r>
      <w:r w:rsidR="005C68E9">
        <w:rPr>
          <w:rFonts w:ascii="Times New Roman" w:hAnsi="Times New Roman" w:cs="Times New Roman"/>
        </w:rPr>
        <w:fldChar w:fldCharType="end"/>
      </w:r>
      <w:r w:rsidR="005C68E9">
        <w:rPr>
          <w:rFonts w:ascii="Times New Roman" w:hAnsi="Times New Roman" w:cs="Times New Roman"/>
        </w:rPr>
        <w:t xml:space="preserve">. </w:t>
      </w:r>
      <w:r w:rsidR="00881C05">
        <w:rPr>
          <w:rFonts w:ascii="Times New Roman" w:hAnsi="Times New Roman" w:cs="Times New Roman"/>
        </w:rPr>
        <w:t>The role of</w:t>
      </w:r>
      <w:r w:rsidR="005C68E9">
        <w:rPr>
          <w:rFonts w:ascii="Times New Roman" w:hAnsi="Times New Roman" w:cs="Times New Roman"/>
        </w:rPr>
        <w:t xml:space="preserve"> GFRAL in </w:t>
      </w:r>
      <w:r w:rsidR="00881C05">
        <w:rPr>
          <w:rFonts w:ascii="Times New Roman" w:hAnsi="Times New Roman" w:cs="Times New Roman"/>
        </w:rPr>
        <w:t>weight and feeding behavior is not clear. Ablating</w:t>
      </w:r>
      <w:r w:rsidR="000444DC" w:rsidRPr="002736DD">
        <w:rPr>
          <w:rFonts w:ascii="Times New Roman" w:hAnsi="Times New Roman" w:cs="Times New Roman"/>
        </w:rPr>
        <w:t xml:space="preserve"> GFRAL </w:t>
      </w:r>
      <w:r w:rsidR="00881C05">
        <w:rPr>
          <w:rFonts w:ascii="Times New Roman" w:hAnsi="Times New Roman" w:cs="Times New Roman"/>
        </w:rPr>
        <w:t>has resulted in small mice that are susceptible to overnutrition</w:t>
      </w:r>
      <w:r w:rsidR="00881C05">
        <w:rPr>
          <w:rFonts w:ascii="Times New Roman" w:hAnsi="Times New Roman" w:cs="Times New Roman"/>
        </w:rPr>
        <w:fldChar w:fldCharType="begin"/>
      </w:r>
      <w:r w:rsidR="00881C05">
        <w:rPr>
          <w:rFonts w:ascii="Times New Roman" w:hAnsi="Times New Roman" w:cs="Times New Roman"/>
        </w:rPr>
        <w:instrText xml:space="preserve"> ADDIN ZOTERO_ITEM CSL_CITATION {"citationID":"rHQTM4nG","properties":{"formattedCitation":"(17)","plainCitation":"(17)","noteIndex":0},"citationItems":[{"id":461,"uris":["http://zotero.org/users/5073745/items/4SK3Y76E"],"itemData":{"id":461,"type":"article-journal","container-title":"Nature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881C05">
        <w:rPr>
          <w:rFonts w:ascii="Times New Roman" w:hAnsi="Times New Roman" w:cs="Times New Roman"/>
        </w:rPr>
        <w:fldChar w:fldCharType="separate"/>
      </w:r>
      <w:r w:rsidR="00881C05" w:rsidRPr="00881C05">
        <w:rPr>
          <w:rFonts w:ascii="Times New Roman" w:hAnsi="Times New Roman" w:cs="Times New Roman"/>
        </w:rPr>
        <w:t>(17)</w:t>
      </w:r>
      <w:r w:rsidR="00881C05">
        <w:rPr>
          <w:rFonts w:ascii="Times New Roman" w:hAnsi="Times New Roman" w:cs="Times New Roman"/>
        </w:rPr>
        <w:fldChar w:fldCharType="end"/>
      </w:r>
      <w:r w:rsidR="00881C05">
        <w:rPr>
          <w:rFonts w:ascii="Times New Roman" w:hAnsi="Times New Roman" w:cs="Times New Roman"/>
        </w:rPr>
        <w:t xml:space="preserve"> and mice with no notable </w:t>
      </w:r>
      <w:r w:rsidR="005C68E9">
        <w:rPr>
          <w:rFonts w:ascii="Times New Roman" w:hAnsi="Times New Roman" w:cs="Times New Roman"/>
        </w:rPr>
        <w:t xml:space="preserve">differences in food intake, weight accretion, or </w:t>
      </w:r>
      <w:r w:rsidR="00881C05">
        <w:rPr>
          <w:rFonts w:ascii="Times New Roman" w:hAnsi="Times New Roman" w:cs="Times New Roman"/>
        </w:rPr>
        <w:t xml:space="preserve">body </w:t>
      </w:r>
      <w:r w:rsidR="005C68E9">
        <w:rPr>
          <w:rFonts w:ascii="Times New Roman" w:hAnsi="Times New Roman" w:cs="Times New Roman"/>
        </w:rPr>
        <w:t xml:space="preserve">size </w:t>
      </w:r>
      <w:r w:rsidR="000444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{"citationID":"9UMfCx5f","properties":{"formattedCitation":"(18)","plainCitation":"(18)","noteIndex":0},"citationItems":[{"id":599,"uris":["http://zotero.org/users/5073745/items/MG8ERW2R"],"itemData":{"id":599,"type":"article-journal","abstract":"GDF15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4267FB" w:rsidRPr="004267FB">
        <w:rPr>
          <w:rFonts w:ascii="Times New Roman" w:hAnsi="Times New Roman" w:cs="Times New Roman"/>
        </w:rPr>
        <w:t>(18)</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5CD0D003"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lastRenderedPageBreak/>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{"citationID":"HaqSzkBn","properties":{"formattedCitation":"(12,17,18)","plainCitation":"(12,17,18)","noteIndex":0},"citationItems":[{"id":230,"uris":["http://zotero.org/users/5073745/items/E4JB9GBK"],"itemData":{"id":230,"type":"article-journal","abstract":"Under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(12,17,18)</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{"citationID":"mlgiDbMw","properties":{"formattedCitation":"(14)","plainCitation":"(14)","noteIndex":0},"citationItems":[{"id":467,"uris":["http://zotero.org/users/5073745/items/WDS35T9T"],"itemData":{"id":467,"type":"article-journal","abstract":"Growth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(14)</w:t>
      </w:r>
      <w:r w:rsidR="00071C6A">
        <w:rPr>
          <w:rFonts w:ascii="Times New Roman" w:hAnsi="Times New Roman" w:cs="Times New Roman"/>
        </w:rPr>
        <w:fldChar w:fldCharType="end"/>
      </w:r>
      <w:r w:rsidR="00D32DBE">
        <w:rPr>
          <w:rFonts w:ascii="Times New Roman" w:hAnsi="Times New Roman" w:cs="Times New Roman"/>
        </w:rPr>
        <w:t xml:space="preserve">, </w:t>
      </w:r>
      <w:r w:rsidR="004059BD">
        <w:rPr>
          <w:rFonts w:ascii="Times New Roman" w:hAnsi="Times New Roman" w:cs="Times New Roman"/>
        </w:rPr>
        <w:t>loss of</w:t>
      </w:r>
      <w:r w:rsidR="00101816">
        <w:rPr>
          <w:rFonts w:ascii="Times New Roman" w:hAnsi="Times New Roman" w:cs="Times New Roman"/>
        </w:rPr>
        <w:t xml:space="preserve"> </w:t>
      </w:r>
      <w:r w:rsidR="004059BD">
        <w:rPr>
          <w:rFonts w:ascii="Times New Roman" w:hAnsi="Times New Roman" w:cs="Times New Roman"/>
        </w:rPr>
        <w:t xml:space="preserve">fat taste preference </w:t>
      </w:r>
      <w:r w:rsidR="00D32DBE">
        <w:rPr>
          <w:rFonts w:ascii="Times New Roman" w:hAnsi="Times New Roman" w:cs="Times New Roman"/>
        </w:rPr>
        <w:fldChar w:fldCharType="begin"/>
      </w:r>
      <w:r w:rsidR="0009414E">
        <w:rPr>
          <w:rFonts w:ascii="Times New Roman" w:hAnsi="Times New Roman" w:cs="Times New Roman"/>
        </w:rPr>
        <w:instrText xml:space="preserve"> ADDIN ZOTERO_ITEM CSL_CITATION {"citationID":"XufwZ0zC","properties":{"formattedCitation":"(19)","plainCitation":"(19)","noteIndex":0},"citationItems":[{"id":487,"uris":["http://zotero.org/users/5073745/items/5MMFNCAZ"],"itemData":{"id":487,"type":"article-journal","abstract":"OBJECTIVE: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09414E" w:rsidRPr="0009414E">
        <w:rPr>
          <w:rFonts w:ascii="Times New Roman" w:hAnsi="Times New Roman" w:cs="Times New Roman"/>
        </w:rPr>
        <w:t>(19)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{"citationID":"VG13M1MS","properties":{"formattedCitation":"(20)","plainCitation":"(20)","noteIndex":0},"citationItems":[{"id":600,"uris":["http://zotero.org/users/5073745/items/EKAXV8ZH"],"itemData":{"id":600,"type":"article-journal","abstract":"GDF15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4267FB" w:rsidRPr="004267FB">
        <w:rPr>
          <w:rFonts w:ascii="Times New Roman" w:hAnsi="Times New Roman" w:cs="Times New Roman"/>
        </w:rPr>
        <w:t>(20)</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r w:rsidR="00F95AD0">
        <w:rPr>
          <w:rFonts w:ascii="Times New Roman" w:hAnsi="Times New Roman" w:cs="Times New Roman"/>
        </w:rPr>
        <w:t xml:space="preserve">Exogenous GDF15 can improve </w:t>
      </w:r>
      <w:r w:rsidR="00101816">
        <w:rPr>
          <w:rFonts w:ascii="Times New Roman" w:hAnsi="Times New Roman" w:cs="Times New Roman"/>
        </w:rPr>
        <w:t>glycemia</w:t>
      </w:r>
      <w:r w:rsidR="00F95AD0">
        <w:rPr>
          <w:rFonts w:ascii="Times New Roman" w:hAnsi="Times New Roman" w:cs="Times New Roman"/>
        </w:rPr>
        <w:t xml:space="preserve"> </w:t>
      </w:r>
      <w:r w:rsidR="00101816">
        <w:rPr>
          <w:rFonts w:ascii="Times New Roman" w:hAnsi="Times New Roman" w:cs="Times New Roman"/>
        </w:rPr>
        <w:t>by reducing</w:t>
      </w:r>
      <w:r w:rsidR="00F95AD0">
        <w:rPr>
          <w:rFonts w:ascii="Times New Roman" w:hAnsi="Times New Roman" w:cs="Times New Roman"/>
        </w:rPr>
        <w:t xml:space="preserve"> endogenous glucose production and improv</w:t>
      </w:r>
      <w:r w:rsidR="00101816">
        <w:rPr>
          <w:rFonts w:ascii="Times New Roman" w:hAnsi="Times New Roman" w:cs="Times New Roman"/>
        </w:rPr>
        <w:t>ing</w:t>
      </w:r>
      <w:r w:rsidR="00F95AD0">
        <w:rPr>
          <w:rFonts w:ascii="Times New Roman" w:hAnsi="Times New Roman" w:cs="Times New Roman"/>
        </w:rPr>
        <w:t xml:space="preserve"> peripheral insulin </w:t>
      </w:r>
      <w:r w:rsidR="00101816">
        <w:rPr>
          <w:rFonts w:ascii="Times New Roman" w:hAnsi="Times New Roman" w:cs="Times New Roman"/>
        </w:rPr>
        <w:t>resistance</w:t>
      </w:r>
      <w:r w:rsidR="00F95AD0">
        <w:rPr>
          <w:rFonts w:ascii="Times New Roman" w:hAnsi="Times New Roman" w:cs="Times New Roman"/>
        </w:rPr>
        <w:t>, which is abrogated in knockout animals</w:t>
      </w:r>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hNrUcu5","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r w:rsidR="00F95AD0">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1BBF04E2" w:rsidR="004D25F0" w:rsidRPr="003F141D" w:rsidRDefault="00FF336B" w:rsidP="003E28FC">
      <w:pPr>
        <w:spacing w:line="480" w:lineRule="auto"/>
        <w:ind w:firstLine="720"/>
        <w:rPr>
          <w:rFonts w:ascii="Times New Roman" w:hAnsi="Times New Roman" w:cs="Times New Roman"/>
        </w:rPr>
        <w:sectPr w:rsidR="004D25F0" w:rsidRPr="003F141D" w:rsidSect="00055079">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r w:rsidR="00101816">
        <w:rPr>
          <w:rFonts w:ascii="Times New Roman" w:hAnsi="Times New Roman" w:cs="Times New Roman"/>
        </w:rPr>
        <w:t>peaks</w:t>
      </w:r>
      <w:r w:rsidR="005C50AA" w:rsidRPr="00F0189F">
        <w:rPr>
          <w:rFonts w:ascii="Times New Roman" w:hAnsi="Times New Roman" w:cs="Times New Roman"/>
        </w:rPr>
        <w:t xml:space="preserve">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{"citationID":"QEVGHvog","properties":{"formattedCitation":"(8,9,11,21)","plainCitation":"(8,9,11,21)","noteIndex":0},"citationItems":[{"id":436,"uris":["http://zotero.org/users/5073745/items/D7NVPGRH"],"itemData":{"id":436,"type":"article-journal","abstract":"Objective/Aim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4267FB" w:rsidRPr="004267FB">
        <w:rPr>
          <w:rFonts w:ascii="Times New Roman" w:hAnsi="Times New Roman" w:cs="Times New Roman"/>
        </w:rPr>
        <w:t>(8,9,11,21)</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r w:rsidR="00101816">
        <w:rPr>
          <w:rFonts w:ascii="Times New Roman" w:hAnsi="Times New Roman" w:cs="Times New Roman"/>
        </w:rPr>
        <w:t xml:space="preserve">gestational </w:t>
      </w:r>
      <w:r w:rsidR="00991A2D">
        <w:rPr>
          <w:rFonts w:ascii="Times New Roman" w:hAnsi="Times New Roman" w:cs="Times New Roman"/>
        </w:rPr>
        <w:t>parent</w:t>
      </w:r>
      <w:r w:rsidR="002D578E" w:rsidRPr="003F141D">
        <w:rPr>
          <w:rFonts w:ascii="Times New Roman" w:hAnsi="Times New Roman" w:cs="Times New Roman"/>
        </w:rPr>
        <w:t xml:space="preserve">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{"citationID":"kUjf6dXh","properties":{"formattedCitation":"(21)","plainCitation":"(21)","noteIndex":0},"citationItems":[{"id":476,"uris":["http://zotero.org/users/5073745/items/DGJGZZR7"],"itemData":{"id":476,"type":"article-journal","abstract":"Macrophage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4267FB" w:rsidRPr="004267FB">
        <w:rPr>
          <w:rFonts w:ascii="Times New Roman" w:hAnsi="Times New Roman" w:cs="Times New Roman"/>
        </w:rPr>
        <w:t>(21)</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 is derived from the fetus </w:t>
      </w:r>
      <w:r w:rsidR="0086327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{"citationID":"rDSd5wj3","properties":{"formattedCitation":"(22)","plainCitation":"(22)","noteIndex":0},"citationItems":[{"id":1959,"uris":["http://zotero.org/users/5073745/items/MF8PKC9R"],"itemData":{"id":1959,"type":"article-journal","abstract":"GDF15,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4267FB" w:rsidRPr="004267FB">
        <w:rPr>
          <w:rFonts w:ascii="Times New Roman" w:hAnsi="Times New Roman" w:cs="Times New Roman"/>
        </w:rPr>
        <w:t>(22)</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{"citationID":"IdpR7dfm","properties":{"formattedCitation":"(23)","plainCitation":"(23)","noteIndex":0},"citationItems":[{"id":465,"uris":["http://zotero.org/users/5073745/items/S8YA3E3X"],"itemData":{"id":465,"type":"article-journal","abstract":"Macrophage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4267FB" w:rsidRPr="004267FB">
        <w:rPr>
          <w:rFonts w:ascii="Times New Roman" w:hAnsi="Times New Roman" w:cs="Times New Roman"/>
        </w:rPr>
        <w:t>(23)</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w:t>
      </w:r>
      <w:r w:rsidR="00101816">
        <w:rPr>
          <w:rFonts w:ascii="Times New Roman" w:hAnsi="Times New Roman" w:cs="Times New Roman"/>
        </w:rPr>
        <w:t>elevations are</w:t>
      </w:r>
      <w:r w:rsidR="00AB2246">
        <w:rPr>
          <w:rFonts w:ascii="Times New Roman" w:hAnsi="Times New Roman" w:cs="Times New Roman"/>
        </w:rPr>
        <w:t xml:space="preserve"> </w:t>
      </w:r>
      <w:r w:rsidR="00101816">
        <w:rPr>
          <w:rFonts w:ascii="Times New Roman" w:hAnsi="Times New Roman" w:cs="Times New Roman"/>
        </w:rPr>
        <w:t xml:space="preserve">inversely </w:t>
      </w:r>
      <w:r w:rsidR="00AB2246">
        <w:rPr>
          <w:rFonts w:ascii="Times New Roman" w:hAnsi="Times New Roman" w:cs="Times New Roman"/>
        </w:rPr>
        <w:t xml:space="preserve">associated with gestational weight gain </w:t>
      </w:r>
      <w:r w:rsidR="00101816">
        <w:rPr>
          <w:rFonts w:ascii="Times New Roman" w:hAnsi="Times New Roman" w:cs="Times New Roman"/>
        </w:rPr>
        <w:t xml:space="preserve">and </w:t>
      </w:r>
      <w:r w:rsidR="00592757">
        <w:rPr>
          <w:rFonts w:ascii="Times New Roman" w:hAnsi="Times New Roman" w:cs="Times New Roman"/>
        </w:rPr>
        <w:t xml:space="preserve">pre-pregnancy BMI </w:t>
      </w:r>
      <w:r w:rsidR="00592757">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{"citationID":"8WHaG287","properties":{"formattedCitation":"(24)","plainCitation":"(24)","noteIndex":0},"citationItems":[{"id":464,"uris":["http://zotero.org/users/5073745/items/4M9LNJ5A"],"itemData":{"id":464,"type":"article-journal","abstract":"Background: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0C680E" w:rsidRPr="000C680E">
        <w:rPr>
          <w:rFonts w:ascii="Times New Roman" w:hAnsi="Times New Roman" w:cs="Times New Roman"/>
        </w:rPr>
        <w:t>(24)</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r w:rsidR="00097CF0">
        <w:rPr>
          <w:rFonts w:ascii="Times New Roman" w:hAnsi="Times New Roman" w:cs="Times New Roman"/>
        </w:rPr>
        <w:t>E</w:t>
      </w:r>
      <w:r w:rsidR="007F3588">
        <w:rPr>
          <w:rFonts w:ascii="Times New Roman" w:hAnsi="Times New Roman" w:cs="Times New Roman"/>
        </w:rPr>
        <w:t xml:space="preserve">pidemiological data </w:t>
      </w:r>
      <w:r w:rsidR="00097CF0">
        <w:rPr>
          <w:rFonts w:ascii="Times New Roman" w:hAnsi="Times New Roman" w:cs="Times New Roman"/>
        </w:rPr>
        <w:t>about the role of GDF15 in complications of pregnancy are conflicting</w:t>
      </w:r>
      <w:r w:rsidR="007F3588">
        <w:rPr>
          <w:rFonts w:ascii="Times New Roman" w:hAnsi="Times New Roman" w:cs="Times New Roman"/>
        </w:rPr>
        <w:t xml:space="preserve">.  </w:t>
      </w:r>
      <w:r w:rsidR="00097CF0">
        <w:rPr>
          <w:rFonts w:ascii="Times New Roman" w:hAnsi="Times New Roman" w:cs="Times New Roman"/>
        </w:rPr>
        <w:t>Pre</w:t>
      </w:r>
      <w:r w:rsidR="00F913B6">
        <w:rPr>
          <w:rFonts w:ascii="Times New Roman" w:hAnsi="Times New Roman" w:cs="Times New Roman"/>
        </w:rPr>
        <w:t>-eclampsia</w:t>
      </w:r>
      <w:r w:rsidR="00097CF0">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{"citationID":"asCyigVk","properties":{"formattedCitation":"(9)","plainCitation":"(9)","noteIndex":0},"citationItems":[{"id":472,"uris":["http://zotero.org/users/5073745/items/ZAWNVL9J"],"itemData":{"id":472,"type":"article-journal","abstract":"Background: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267FB" w:rsidRPr="004267FB">
        <w:rPr>
          <w:rFonts w:ascii="Times New Roman" w:hAnsi="Times New Roman" w:cs="Times New Roman"/>
        </w:rPr>
        <w:t>(9)</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XGa2dAjN","properties":{"formattedCitation":"(11,25)","plainCitation":"(11,25)","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0C680E" w:rsidRPr="000C680E">
        <w:rPr>
          <w:rFonts w:ascii="Times New Roman" w:hAnsi="Times New Roman" w:cs="Times New Roman"/>
        </w:rPr>
        <w:t>(11,25)</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Cye46Ql","properties":{"formattedCitation":"(10)","plainCitation":"(10)","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267FB" w:rsidRPr="004267FB">
        <w:rPr>
          <w:rFonts w:ascii="Times New Roman" w:hAnsi="Times New Roman" w:cs="Times New Roman"/>
        </w:rPr>
        <w:t>(10)</w:t>
      </w:r>
      <w:r w:rsidR="004D25F0">
        <w:rPr>
          <w:rFonts w:ascii="Times New Roman" w:hAnsi="Times New Roman" w:cs="Times New Roman"/>
        </w:rPr>
        <w:fldChar w:fldCharType="end"/>
      </w:r>
      <w:r w:rsidR="004D25F0">
        <w:rPr>
          <w:rFonts w:ascii="Times New Roman" w:hAnsi="Times New Roman" w:cs="Times New Roman"/>
        </w:rPr>
        <w:t xml:space="preserve"> in</w:t>
      </w:r>
      <w:r w:rsidR="00097CF0">
        <w:rPr>
          <w:rFonts w:ascii="Times New Roman" w:hAnsi="Times New Roman" w:cs="Times New Roman"/>
        </w:rPr>
        <w:t xml:space="preserve"> serum</w:t>
      </w:r>
      <w:r w:rsidR="00F913B6">
        <w:rPr>
          <w:rFonts w:ascii="Times New Roman" w:hAnsi="Times New Roman" w:cs="Times New Roman"/>
        </w:rPr>
        <w:t xml:space="preserve"> </w:t>
      </w:r>
      <w:r w:rsidR="007F3588">
        <w:rPr>
          <w:rFonts w:ascii="Times New Roman" w:hAnsi="Times New Roman" w:cs="Times New Roman"/>
        </w:rPr>
        <w:t>GDF15</w:t>
      </w:r>
      <w:r w:rsidR="00F913B6">
        <w:rPr>
          <w:rFonts w:ascii="Times New Roman" w:hAnsi="Times New Roman" w:cs="Times New Roman"/>
        </w:rPr>
        <w:t xml:space="preserve"> compared to non-pre</w:t>
      </w:r>
      <w:r w:rsidR="00097CF0">
        <w:rPr>
          <w:rFonts w:ascii="Times New Roman" w:hAnsi="Times New Roman" w:cs="Times New Roman"/>
        </w:rPr>
        <w:t>-</w:t>
      </w:r>
      <w:r w:rsidR="00F913B6">
        <w:rPr>
          <w:rFonts w:ascii="Times New Roman" w:hAnsi="Times New Roman" w:cs="Times New Roman"/>
        </w:rPr>
        <w:t>eclamptic</w:t>
      </w:r>
      <w:r w:rsidR="00097CF0">
        <w:rPr>
          <w:rFonts w:ascii="Times New Roman" w:hAnsi="Times New Roman" w:cs="Times New Roman"/>
        </w:rPr>
        <w:t xml:space="preserve"> gestational</w:t>
      </w:r>
      <w:r w:rsidR="00F913B6">
        <w:rPr>
          <w:rFonts w:ascii="Times New Roman" w:hAnsi="Times New Roman" w:cs="Times New Roman"/>
        </w:rPr>
        <w:t xml:space="preser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{"citationID":"ljedIe4J","properties":{"formattedCitation":"(26)","plainCitation":"(26)","noteIndex":0},"citationItems":[{"id":480,"uris":["http://zotero.org/users/5073745/items/DITELI98"],"itemData":{"id":480,"type":"article-journal","abstract":"Objective\nGrowth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0C680E" w:rsidRPr="000C680E">
        <w:rPr>
          <w:rFonts w:ascii="Times New Roman" w:hAnsi="Times New Roman" w:cs="Times New Roman"/>
        </w:rPr>
        <w:t>(26)</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t4jWlLmQ","properties":{"formattedCitation":"(11)","plainCitation":"(11)","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4267FB" w:rsidRPr="004267FB">
        <w:rPr>
          <w:rFonts w:ascii="Times New Roman" w:hAnsi="Times New Roman" w:cs="Times New Roman"/>
        </w:rPr>
        <w:t>(11)</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{"citationID":"Syd3pgzo","properties":{"formattedCitation":"(27)","plainCitation":"(27)","noteIndex":0},"citationItems":[{"id":478,"uris":["http://zotero.org/users/5073745/items/CHLIH6VP"],"itemData":{"id":478,"type":"article-journal","abstract":"Cardiovascular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0C680E" w:rsidRPr="000C680E">
        <w:rPr>
          <w:rFonts w:ascii="Times New Roman" w:hAnsi="Times New Roman" w:cs="Times New Roman"/>
        </w:rPr>
        <w:t>(27)</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{"citationID":"BOsiCtMt","properties":{"formattedCitation":"(28,29)","plainCitation":"(28,29)","noteIndex":0},"citationItems":[{"id":23,"uris":["http://zotero.org/users/5073745/items/NQPGPKKE"],"itemData":{"id":23,"type":"article-journal","abstract":"Hyperemesis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0C680E" w:rsidRPr="000C680E">
        <w:rPr>
          <w:rFonts w:ascii="Times New Roman" w:hAnsi="Times New Roman" w:cs="Times New Roman"/>
        </w:rPr>
        <w:t>(28,29)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lastRenderedPageBreak/>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{"citationID":"zxyQPUJ9","properties":{"formattedCitation":"(22)","plainCitation":"(22)","noteIndex":0},"citationItems":[{"id":1959,"uris":["http://zotero.org/users/5073745/items/MF8PKC9R"],"itemData":{"id":1959,"type":"article-journal","abstract":"GDF15,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4267FB" w:rsidRPr="004267FB">
        <w:rPr>
          <w:rFonts w:ascii="Times New Roman" w:hAnsi="Times New Roman" w:cs="Times New Roman"/>
        </w:rPr>
        <w:t>(22)</w:t>
      </w:r>
      <w:r w:rsidR="001F6D4E">
        <w:rPr>
          <w:rFonts w:ascii="Times New Roman" w:hAnsi="Times New Roman" w:cs="Times New Roman"/>
        </w:rPr>
        <w:fldChar w:fldCharType="end"/>
      </w:r>
      <w:r w:rsidR="001F6D4E">
        <w:rPr>
          <w:rFonts w:ascii="Times New Roman" w:hAnsi="Times New Roman" w:cs="Times New Roman"/>
        </w:rPr>
        <w:t xml:space="preserve">. </w:t>
      </w:r>
      <w:r w:rsidR="00F95AD0">
        <w:rPr>
          <w:rFonts w:ascii="Times New Roman" w:hAnsi="Times New Roman" w:cs="Times New Roman"/>
        </w:rPr>
        <w:t xml:space="preserve">GDF15 elevations in circulation are thought to be </w:t>
      </w:r>
      <w:r w:rsidR="007C3B39">
        <w:rPr>
          <w:rFonts w:ascii="Times New Roman" w:hAnsi="Times New Roman" w:cs="Times New Roman"/>
        </w:rPr>
        <w:t>sentinels</w:t>
      </w:r>
      <w:r w:rsidR="00F95AD0">
        <w:rPr>
          <w:rFonts w:ascii="Times New Roman" w:hAnsi="Times New Roman" w:cs="Times New Roman"/>
        </w:rPr>
        <w:t xml:space="preserve"> of stressors present in the body. </w:t>
      </w:r>
      <w:r w:rsidR="007C3B39">
        <w:rPr>
          <w:rFonts w:ascii="Times New Roman" w:hAnsi="Times New Roman" w:cs="Times New Roman"/>
        </w:rPr>
        <w:t>Comparisons between non-pregnant and p</w:t>
      </w:r>
      <w:r w:rsidR="00F95AD0">
        <w:rPr>
          <w:rFonts w:ascii="Times New Roman" w:hAnsi="Times New Roman" w:cs="Times New Roman"/>
        </w:rPr>
        <w:t>regna</w:t>
      </w:r>
      <w:r w:rsidR="007C3B39">
        <w:rPr>
          <w:rFonts w:ascii="Times New Roman" w:hAnsi="Times New Roman" w:cs="Times New Roman"/>
        </w:rPr>
        <w:t xml:space="preserve">nt individuals and between healthy versus chronic </w:t>
      </w:r>
      <w:r w:rsidR="00F95AD0">
        <w:rPr>
          <w:rFonts w:ascii="Times New Roman" w:hAnsi="Times New Roman" w:cs="Times New Roman"/>
        </w:rPr>
        <w:t>stress during pregnancy</w:t>
      </w:r>
      <w:r w:rsidR="007C3B39">
        <w:rPr>
          <w:rFonts w:ascii="Times New Roman" w:hAnsi="Times New Roman" w:cs="Times New Roman"/>
        </w:rPr>
        <w:t xml:space="preserve"> (like dexamethasone administration) are understudied in murine models </w:t>
      </w:r>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w:t>
      </w:r>
      <w:r w:rsidR="007C3B39">
        <w:rPr>
          <w:rFonts w:ascii="Times New Roman" w:hAnsi="Times New Roman" w:cs="Times New Roman"/>
        </w:rPr>
        <w:t xml:space="preserve"> and lack of evaluation of physiological state and chronic stress compounding physiological state</w:t>
      </w:r>
      <w:r w:rsidR="00D21874">
        <w:rPr>
          <w:rFonts w:ascii="Times New Roman" w:hAnsi="Times New Roman" w:cs="Times New Roman"/>
        </w:rPr>
        <w:t xml:space="preserve">, </w:t>
      </w:r>
      <w:r w:rsidR="00D93E43">
        <w:rPr>
          <w:rFonts w:ascii="Times New Roman" w:hAnsi="Times New Roman" w:cs="Times New Roman"/>
        </w:rPr>
        <w:t xml:space="preserve">we sought to </w:t>
      </w:r>
      <w:r w:rsidR="007C3B39">
        <w:rPr>
          <w:rFonts w:ascii="Times New Roman" w:hAnsi="Times New Roman" w:cs="Times New Roman"/>
        </w:rPr>
        <w:t xml:space="preserve">characterize GDF15 in circulation comparing pregnant, non-pregnant, and stressed pregnant females while assessing glycemic health. We also sought to </w:t>
      </w:r>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proofErr w:type="gramStart"/>
      <w:r w:rsidR="005B366D">
        <w:rPr>
          <w:rFonts w:ascii="Times New Roman" w:hAnsi="Times New Roman" w:cs="Times New Roman"/>
        </w:rPr>
        <w:t>during the course of</w:t>
      </w:r>
      <w:proofErr w:type="gramEnd"/>
      <w:r w:rsidR="005B366D">
        <w:rPr>
          <w:rFonts w:ascii="Times New Roman" w:hAnsi="Times New Roman" w:cs="Times New Roman"/>
        </w:rPr>
        <w:t xml:space="preserve"> </w:t>
      </w:r>
      <w:r w:rsidR="007C3B39">
        <w:rPr>
          <w:rFonts w:ascii="Times New Roman" w:hAnsi="Times New Roman" w:cs="Times New Roman"/>
        </w:rPr>
        <w:t xml:space="preserve">healthy </w:t>
      </w:r>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3E28FC">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7AD3F78F"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hyperlink r:id="rId11" w:history="1">
        <w:r w:rsidR="0089053B" w:rsidRPr="00076A5D">
          <w:rPr>
            <w:rStyle w:val="Hyperlink"/>
            <w:rFonts w:ascii="Times New Roman" w:hAnsi="Times New Roman" w:cs="Times New Roman"/>
          </w:rPr>
          <w:t>IMSR_JAX:000664</w:t>
        </w:r>
      </w:hyperlink>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22932E1A"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{"citationID":"xUy8dm8Y","properties":{"formattedCitation":"(19)","plainCitation":"(19)","noteIndex":0},"citationItems":[{"id":487,"uris":["http://zotero.org/users/5073745/items/5MMFNCAZ"],"itemData":{"id":487,"type":"article-journal","abstract":"OBJECTIVE: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4267FB" w:rsidRPr="004267FB">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w:t>
      </w:r>
      <w:proofErr w:type="spellStart"/>
      <w:r w:rsidR="009C63CC">
        <w:rPr>
          <w:rFonts w:ascii="Times New Roman" w:hAnsi="Times New Roman" w:cs="Times New Roman"/>
        </w:rPr>
        <w:t>fet</w:t>
      </w:r>
      <w:r w:rsidR="00962938">
        <w:rPr>
          <w:rFonts w:ascii="Times New Roman" w:hAnsi="Times New Roman" w:cs="Times New Roman"/>
        </w:rPr>
        <w:t>o</w:t>
      </w:r>
      <w:proofErr w:type="spellEnd"/>
      <w:r w:rsidR="00962938">
        <w:rPr>
          <w:rFonts w:ascii="Times New Roman" w:hAnsi="Times New Roman" w:cs="Times New Roman"/>
        </w:rPr>
        <w:t>-placental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7A54215D"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w:t>
      </w:r>
      <w:proofErr w:type="spellStart"/>
      <w:r w:rsidR="005B1698" w:rsidRPr="00777A3D">
        <w:rPr>
          <w:rFonts w:ascii="Times New Roman" w:hAnsi="Times New Roman" w:cs="Times New Roman"/>
        </w:rPr>
        <w:t>ThermoFisher</w:t>
      </w:r>
      <w:proofErr w:type="spellEnd"/>
      <w:r w:rsidR="005B1698" w:rsidRPr="00777A3D">
        <w:rPr>
          <w:rFonts w:ascii="Times New Roman" w:hAnsi="Times New Roman" w:cs="Times New Roman"/>
        </w:rPr>
        <w:t xml:space="preserve">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57106DC4"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{"citationID":"u5ukMVdn","properties":{"formattedCitation":"(30)","plainCitation":"(30)","noteIndex":0},"citationItems":[{"id":486,"uris":["http://zotero.org/users/5073745/items/GWKFWWRY"],"itemData":{"id":486,"type":"webpage","abstract":"Insulin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0C680E" w:rsidRPr="000C680E">
        <w:rPr>
          <w:rFonts w:ascii="Times New Roman" w:hAnsi="Times New Roman" w:cs="Times New Roman"/>
        </w:rPr>
        <w:t>(30)</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proofErr w:type="gramStart"/>
      <w:r>
        <w:rPr>
          <w:rFonts w:ascii="Times New Roman" w:eastAsia="Times New Roman" w:hAnsi="Times New Roman" w:cs="Times New Roman"/>
        </w:rPr>
        <w:t>fasted</w:t>
      </w:r>
      <w:proofErr w:type="gramEnd"/>
      <w:r>
        <w:rPr>
          <w:rFonts w:ascii="Times New Roman" w:eastAsia="Times New Roman" w:hAnsi="Times New Roman" w:cs="Times New Roman"/>
        </w:rPr>
        <w:t xml:space="preserve">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245D4EBA"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{"citationID":"Oql9rU5C","properties":{"formattedCitation":"(31)","plainCitation":"(31)","noteIndex":0},"citationItems":[{"id":417,"uris":["http://zotero.org/users/5073745/items/X6KF8W8Y"],"itemData":{"id":417,"type":"article-journal","abstract":"Lactose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0C680E" w:rsidRPr="000C680E">
        <w:rPr>
          <w:rFonts w:ascii="Times New Roman" w:hAnsi="Times New Roman" w:cs="Times New Roman"/>
        </w:rPr>
        <w:t>(31)</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xml:space="preserve">)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w:t>
      </w:r>
      <w:proofErr w:type="gramStart"/>
      <w:r w:rsidRPr="00303552">
        <w:rPr>
          <w:rFonts w:ascii="Times New Roman" w:hAnsi="Times New Roman" w:cs="Times New Roman"/>
        </w:rPr>
        <w:t>o-</w:t>
      </w:r>
      <w:proofErr w:type="gramEnd"/>
      <w:r w:rsidRPr="00303552">
        <w:rPr>
          <w:rFonts w:ascii="Times New Roman" w:hAnsi="Times New Roman" w:cs="Times New Roman"/>
        </w:rPr>
        <w:t>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w:t>
      </w:r>
      <w:proofErr w:type="gramStart"/>
      <w:r w:rsidRPr="00303552">
        <w:rPr>
          <w:rFonts w:ascii="Times New Roman" w:hAnsi="Times New Roman" w:cs="Times New Roman"/>
        </w:rPr>
        <w:t>Percentage</w:t>
      </w:r>
      <w:proofErr w:type="gramEnd"/>
      <w:r w:rsidRPr="00303552">
        <w:rPr>
          <w:rFonts w:ascii="Times New Roman" w:hAnsi="Times New Roman" w:cs="Times New Roman"/>
        </w:rPr>
        <w:t xml:space="preserv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lastRenderedPageBreak/>
        <w:t>Statistical Analyses</w:t>
      </w:r>
    </w:p>
    <w:p w14:paraId="56B82A5E" w14:textId="25D48C20"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0C680E">
        <w:rPr>
          <w:rFonts w:ascii="Times New Roman" w:eastAsia="Times New Roman" w:hAnsi="Times New Roman" w:cs="Times New Roman"/>
        </w:rPr>
        <w:instrText xml:space="preserve"> ADDIN ZOTERO_ITEM CSL_CITATION {"citationID":"3uiNB6ty","properties":{"formattedCitation":"(32)","plainCitation":"(32)","noteIndex":0},"citationItems":[{"id":88,"uris":["http://zotero.org/users/5073745/items/2FPE9EQN"],"itemData":{"id":88,"type":"document","publisher":"R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0C680E" w:rsidRPr="000C680E">
        <w:rPr>
          <w:rFonts w:ascii="Times New Roman" w:hAnsi="Times New Roman" w:cs="Times New Roman"/>
        </w:rPr>
        <w:t>(32)</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0C680E">
        <w:rPr>
          <w:rFonts w:ascii="Times New Roman" w:eastAsia="Times New Roman" w:hAnsi="Times New Roman" w:cs="Times New Roman"/>
        </w:rPr>
        <w:instrText xml:space="preserve"> ADDIN ZOTERO_ITEM CSL_CITATION {"citationID":"U5X7zhr3","properties":{"formattedCitation":"(33)","plainCitation":"(33)","noteIndex":0},"citationItems":[{"id":53,"uris":["http://zotero.org/users/5073745/items/GUUE2ZQS"],"itemData":{"id":53,"type":"article-journal","abstract":"Maximum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0C680E" w:rsidRPr="000C680E">
        <w:rPr>
          <w:rFonts w:ascii="Times New Roman" w:hAnsi="Times New Roman" w:cs="Times New Roman"/>
        </w:rPr>
        <w:t>(33)</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w:t>
      </w:r>
      <w:proofErr w:type="gramStart"/>
      <w:r w:rsidR="002513AE">
        <w:rPr>
          <w:rFonts w:ascii="Times New Roman" w:eastAsia="Times New Roman" w:hAnsi="Times New Roman" w:cs="Times New Roman"/>
        </w:rPr>
        <w:t>Mann</w:t>
      </w:r>
      <w:proofErr w:type="gramEnd"/>
      <w:r w:rsidR="002513AE">
        <w:rPr>
          <w:rFonts w:ascii="Times New Roman" w:eastAsia="Times New Roman" w:hAnsi="Times New Roman" w:cs="Times New Roman"/>
        </w:rPr>
        <w:t xml:space="preserve">-Whitney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rsidP="003E28FC">
      <w:pPr>
        <w:spacing w:line="48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49BD17AE"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{"citationID":"138NTu4T","properties":{"formattedCitation":"(34,35)","plainCitation":"(34,35)","noteIndex":0},"citationItems":[{"id":254,"uris":["http://zotero.org/users/5073745/items/3EYRTHI4"],"itemData":{"id":254,"type":"article-journal","abstract":"Pregnancy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0C680E" w:rsidRPr="000C680E">
        <w:rPr>
          <w:rFonts w:ascii="Times New Roman" w:hAnsi="Times New Roman" w:cs="Times New Roman"/>
        </w:rPr>
        <w:t>(34,35)</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 xml:space="preserve">e sought to understand if GDF15 levels related to either pregnancy or a model of </w:t>
      </w:r>
      <w:r w:rsidR="00E31712">
        <w:rPr>
          <w:rFonts w:ascii="Times New Roman" w:hAnsi="Times New Roman" w:cs="Times New Roman"/>
        </w:rPr>
        <w:t xml:space="preserve">chronic stress-related </w:t>
      </w:r>
      <w:r w:rsidR="009F0AD1">
        <w:rPr>
          <w:rFonts w:ascii="Times New Roman" w:hAnsi="Times New Roman" w:cs="Times New Roman"/>
        </w:rPr>
        <w:t>excess</w:t>
      </w:r>
      <w:r w:rsidR="00E31712">
        <w:rPr>
          <w:rFonts w:ascii="Times New Roman" w:hAnsi="Times New Roman" w:cs="Times New Roman"/>
        </w:rPr>
        <w:t>ive</w:t>
      </w:r>
      <w:r w:rsidR="009F0AD1">
        <w:rPr>
          <w:rFonts w:ascii="Times New Roman" w:hAnsi="Times New Roman" w:cs="Times New Roman"/>
        </w:rPr>
        <w:t xml:space="preserve">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w:t>
      </w:r>
      <w:r w:rsidR="00867980">
        <w:rPr>
          <w:rFonts w:ascii="Times New Roman" w:hAnsi="Times New Roman" w:cs="Times New Roman"/>
        </w:rPr>
        <w:t xml:space="preserve"> Consistent with other murine models of pregnancy</w:t>
      </w:r>
      <w:r w:rsidR="006C5A65">
        <w:rPr>
          <w:rFonts w:ascii="Times New Roman" w:hAnsi="Times New Roman" w:cs="Times New Roman"/>
        </w:rPr>
        <w:t>,</w:t>
      </w:r>
      <w:r w:rsidR="00846921">
        <w:rPr>
          <w:rFonts w:ascii="Times New Roman" w:hAnsi="Times New Roman" w:cs="Times New Roman"/>
        </w:rPr>
        <w:t xml:space="preserve"> fasting blood glucose</w:t>
      </w:r>
      <w:r w:rsidR="00867980">
        <w:rPr>
          <w:rFonts w:ascii="Times New Roman" w:hAnsi="Times New Roman" w:cs="Times New Roman"/>
        </w:rPr>
        <w:t xml:space="preserve"> in pregnant dams tended to be lower than non-pregnant females</w:t>
      </w:r>
      <w:r w:rsidR="00846921">
        <w:rPr>
          <w:rFonts w:ascii="Times New Roman" w:hAnsi="Times New Roman" w:cs="Times New Roman"/>
        </w:rPr>
        <w:t xml:space="preserv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6798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{"citationID":"saidAmCB","properties":{"formattedCitation":"(36,37)","plainCitation":"(36,37)","noteIndex":0},"citationItems":[{"id":525,"uris":["http://zotero.org/users/5073745/items/XDVXWQWM"],"itemData":{"id":525,"type":"article-journal","abstract":"Intensive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867980">
        <w:rPr>
          <w:rFonts w:ascii="Times New Roman" w:hAnsi="Times New Roman" w:cs="Times New Roman"/>
        </w:rPr>
        <w:fldChar w:fldCharType="separate"/>
      </w:r>
      <w:r w:rsidR="000C680E" w:rsidRPr="000C680E">
        <w:rPr>
          <w:rFonts w:ascii="Times New Roman" w:hAnsi="Times New Roman" w:cs="Times New Roman"/>
        </w:rPr>
        <w:t>(36,37)</w:t>
      </w:r>
      <w:r w:rsidR="00867980">
        <w:rPr>
          <w:rFonts w:ascii="Times New Roman" w:hAnsi="Times New Roman" w:cs="Times New Roman"/>
        </w:rPr>
        <w:fldChar w:fldCharType="end"/>
      </w:r>
      <w:r w:rsidR="00846921">
        <w:rPr>
          <w:rFonts w:ascii="Times New Roman" w:hAnsi="Times New Roman" w:cs="Times New Roman"/>
        </w:rPr>
        <w:t>.</w:t>
      </w:r>
      <w:r w:rsidR="00801A6F">
        <w:rPr>
          <w:rFonts w:ascii="Times New Roman" w:hAnsi="Times New Roman" w:cs="Times New Roman"/>
        </w:rPr>
        <w:t xml:space="preserve"> </w:t>
      </w:r>
      <w:bookmarkStart w:id="0" w:name="_Hlk172037173"/>
      <w:r w:rsidR="00801A6F">
        <w:rPr>
          <w:rFonts w:ascii="Times New Roman" w:hAnsi="Times New Roman" w:cs="Times New Roman"/>
        </w:rPr>
        <w:t xml:space="preserve">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 xml:space="preserve">/dL) elevated in pregnant animals </w:t>
      </w:r>
      <w:r w:rsidR="00801A6F">
        <w:rPr>
          <w:rFonts w:ascii="Times New Roman" w:hAnsi="Times New Roman" w:cs="Times New Roman"/>
        </w:rPr>
        <w:lastRenderedPageBreak/>
        <w:t>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E97F4E">
        <w:rPr>
          <w:rFonts w:ascii="Times New Roman" w:hAnsi="Times New Roman" w:cs="Times New Roman"/>
        </w:rPr>
        <w:t>, via two-way ANOVA</w:t>
      </w:r>
      <w:r w:rsidR="00801A6F">
        <w:rPr>
          <w:rFonts w:ascii="Times New Roman" w:hAnsi="Times New Roman" w:cs="Times New Roman"/>
        </w:rPr>
        <w:t>)</w:t>
      </w:r>
      <w:r w:rsidR="00E26479">
        <w:rPr>
          <w:rFonts w:ascii="Times New Roman" w:hAnsi="Times New Roman" w:cs="Times New Roman"/>
        </w:rPr>
        <w:t>, but does not differ based on collection time (p=0.98)</w:t>
      </w:r>
      <w:r w:rsidR="00801A6F">
        <w:rPr>
          <w:rFonts w:ascii="Times New Roman" w:hAnsi="Times New Roman" w:cs="Times New Roman"/>
        </w:rPr>
        <w:t>.</w:t>
      </w:r>
      <w:bookmarkEnd w:id="0"/>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5EACF557"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w:t>
      </w:r>
      <w:proofErr w:type="spellStart"/>
      <w:r w:rsidR="00F4642D">
        <w:rPr>
          <w:rFonts w:ascii="Times New Roman" w:hAnsi="Times New Roman" w:cs="Times New Roman"/>
        </w:rPr>
        <w:t>dex</w:t>
      </w:r>
      <w:proofErr w:type="spellEnd"/>
      <w:r w:rsidR="00F4642D">
        <w:rPr>
          <w:rFonts w:ascii="Times New Roman" w:hAnsi="Times New Roman" w:cs="Times New Roman"/>
        </w:rPr>
        <w:t>)</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{"citationID":"P1ffJs0f","properties":{"formattedCitation":"(38,39)","plainCitation":"(38,39)","noteIndex":0},"citationItems":[{"id":411,"uris":["http://zotero.org/users/5073745/items/ANYLTPI6"],"itemData":{"id":411,"type":"article-journal","abstract":"Glucocorticoids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0C680E" w:rsidRPr="000C680E">
        <w:rPr>
          <w:rFonts w:ascii="Times New Roman" w:hAnsi="Times New Roman" w:cs="Times New Roman"/>
        </w:rPr>
        <w:t>(38,39)</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p=0.11</w:t>
      </w:r>
      <w:r w:rsidR="00E97F4E">
        <w:rPr>
          <w:rFonts w:ascii="Times New Roman" w:hAnsi="Times New Roman" w:cs="Times New Roman"/>
        </w:rPr>
        <w:t>, via two-way ANOVA testing for the effects of time and treatment</w:t>
      </w:r>
      <w:r w:rsidR="00E15F79">
        <w:rPr>
          <w:rFonts w:ascii="Times New Roman" w:hAnsi="Times New Roman" w:cs="Times New Roman"/>
        </w:rPr>
        <w:t xml:space="preserve">).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w:t>
      </w:r>
      <w:proofErr w:type="spellStart"/>
      <w:r w:rsidR="00D14CBF">
        <w:rPr>
          <w:rFonts w:ascii="Times New Roman" w:hAnsi="Times New Roman" w:cs="Times New Roman"/>
        </w:rPr>
        <w:t>dex</w:t>
      </w:r>
      <w:proofErr w:type="spellEnd"/>
      <w:r w:rsidR="00D14CBF">
        <w:rPr>
          <w:rFonts w:ascii="Times New Roman" w:hAnsi="Times New Roman" w:cs="Times New Roman"/>
        </w:rPr>
        <w:t xml:space="preserve">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6334CB64" w:rsidR="00660D0E" w:rsidRPr="00660D0E" w:rsidRDefault="002A5E0B" w:rsidP="003E28FC">
      <w:pPr>
        <w:spacing w:line="480" w:lineRule="auto"/>
        <w:rPr>
          <w:rFonts w:ascii="Times New Roman" w:hAnsi="Times New Roman" w:cs="Times New Roman"/>
        </w:rPr>
      </w:pPr>
      <w:r>
        <w:rPr>
          <w:rFonts w:ascii="Times New Roman" w:hAnsi="Times New Roman" w:cs="Times New Roman"/>
        </w:rPr>
        <w:lastRenderedPageBreak/>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w:t>
      </w:r>
      <w:proofErr w:type="gramStart"/>
      <w:r w:rsidR="00250326">
        <w:rPr>
          <w:rFonts w:ascii="Times New Roman" w:hAnsi="Times New Roman" w:cs="Times New Roman"/>
        </w:rPr>
        <w:t>during the course of</w:t>
      </w:r>
      <w:proofErr w:type="gramEnd"/>
      <w:r w:rsidR="00250326">
        <w:rPr>
          <w:rFonts w:ascii="Times New Roman" w:hAnsi="Times New Roman" w:cs="Times New Roman"/>
        </w:rPr>
        <w:t xml:space="preserve">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bookmarkStart w:id="1" w:name="_Hlk172556722"/>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r w:rsidR="009F0AD1">
        <w:rPr>
          <w:rFonts w:ascii="Times New Roman" w:hAnsi="Times New Roman" w:cs="Times New Roman"/>
        </w:rPr>
        <w:t xml:space="preserve">.  </w:t>
      </w:r>
      <w:bookmarkEnd w:id="1"/>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p=0.94</w:t>
      </w:r>
      <w:bookmarkStart w:id="2" w:name="_Hlk172127450"/>
      <w:r w:rsidR="005E27E2">
        <w:rPr>
          <w:rFonts w:ascii="Times New Roman" w:hAnsi="Times New Roman" w:cs="Times New Roman"/>
        </w:rPr>
        <w:t xml:space="preserve">).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w:t>
      </w:r>
      <w:r w:rsidR="0024657C">
        <w:rPr>
          <w:rFonts w:ascii="Times New Roman" w:hAnsi="Times New Roman" w:cs="Times New Roman"/>
        </w:rPr>
        <w:t>1</w:t>
      </w:r>
      <w:r w:rsidR="005E27E2">
        <w:rPr>
          <w:rFonts w:ascii="Times New Roman" w:hAnsi="Times New Roman" w:cs="Times New Roman"/>
        </w:rPr>
        <w:t>% lower</w:t>
      </w:r>
      <w:r w:rsidR="0024657C">
        <w:rPr>
          <w:rFonts w:ascii="Times New Roman" w:hAnsi="Times New Roman" w:cs="Times New Roman"/>
        </w:rPr>
        <w:t xml:space="preserve"> percent</w:t>
      </w:r>
      <w:r w:rsidR="005E27E2">
        <w:rPr>
          <w:rFonts w:ascii="Times New Roman" w:hAnsi="Times New Roman" w:cs="Times New Roman"/>
        </w:rPr>
        <w:t xml:space="preserve">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w:t>
      </w:r>
      <w:r w:rsidR="0024657C">
        <w:rPr>
          <w:rFonts w:ascii="Times New Roman" w:hAnsi="Times New Roman" w:cs="Times New Roman"/>
        </w:rPr>
        <w:t>14</w:t>
      </w:r>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bookmarkEnd w:id="2"/>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06C7AE96"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w:t>
      </w:r>
      <w:r w:rsidR="00E97F4E">
        <w:rPr>
          <w:rFonts w:ascii="Times New Roman" w:hAnsi="Times New Roman" w:cs="Times New Roman"/>
        </w:rPr>
        <w:t>2</w:t>
      </w:r>
      <w:r w:rsidR="00AC2FFC">
        <w:rPr>
          <w:rFonts w:ascii="Times New Roman" w:hAnsi="Times New Roman" w:cs="Times New Roman"/>
        </w:rPr>
        <w:t>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lastRenderedPageBreak/>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C2CB52E"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t>Gdf15</w:t>
      </w:r>
      <w:r w:rsidRPr="008F4CD9">
        <w:rPr>
          <w:vertAlign w:val="superscript"/>
        </w:rPr>
        <w:t xml:space="preserve">-/- </w:t>
      </w:r>
      <w:r w:rsidRPr="005D2740">
        <w:t xml:space="preserve">dams </w:t>
      </w:r>
      <w:r>
        <w:t>have no differences in milk production or milkfat percentage</w:t>
      </w:r>
    </w:p>
    <w:p w14:paraId="65519D1D" w14:textId="74D51F9B"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{"citationID":"yzNBMu2L","properties":{"formattedCitation":"(31)","plainCitation":"(31)","noteIndex":0},"citationItems":[{"id":417,"uris":["http://zotero.org/users/5073745/items/X6KF8W8Y"],"itemData":{"id":417,"type":"article-journal","abstract":"Lactose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0C680E" w:rsidRPr="000C680E">
        <w:rPr>
          <w:rFonts w:ascii="Times New Roman" w:hAnsi="Times New Roman" w:cs="Times New Roman"/>
        </w:rPr>
        <w:t>(31)</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w:t>
      </w:r>
      <w:r w:rsidR="008F4CD9">
        <w:rPr>
          <w:rFonts w:ascii="Times New Roman" w:hAnsi="Times New Roman" w:cs="Times New Roman"/>
        </w:rPr>
        <w:lastRenderedPageBreak/>
        <w:t xml:space="preserve">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t>Discussion</w:t>
      </w:r>
    </w:p>
    <w:p w14:paraId="32580CFF" w14:textId="77777777" w:rsidR="00C93A4D" w:rsidRDefault="00C93A4D" w:rsidP="003E28FC">
      <w:pPr>
        <w:spacing w:line="480" w:lineRule="auto"/>
        <w:rPr>
          <w:rFonts w:ascii="Times New Roman" w:hAnsi="Times New Roman" w:cs="Times New Roman"/>
        </w:rPr>
      </w:pPr>
    </w:p>
    <w:p w14:paraId="1D23D766" w14:textId="63EFED7F"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r w:rsidR="000D19B6">
        <w:rPr>
          <w:rFonts w:ascii="Times New Roman" w:hAnsi="Times New Roman" w:cs="Times New Roman"/>
        </w:rPr>
        <w:t>is</w:t>
      </w:r>
      <w:r w:rsidR="00D144CA">
        <w:rPr>
          <w:rFonts w:ascii="Times New Roman" w:hAnsi="Times New Roman" w:cs="Times New Roman"/>
        </w:rPr>
        <w:t xml:space="preserve">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associated </w:t>
      </w:r>
      <w:r w:rsidR="005C11D2">
        <w:rPr>
          <w:rFonts w:ascii="Times New Roman" w:hAnsi="Times New Roman" w:cs="Times New Roman"/>
        </w:rPr>
        <w:lastRenderedPageBreak/>
        <w:t>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w:t>
      </w:r>
      <w:r w:rsidR="00B2310E">
        <w:rPr>
          <w:rFonts w:ascii="Times New Roman" w:hAnsi="Times New Roman" w:cs="Times New Roman"/>
        </w:rPr>
        <w:t xml:space="preserve">gestational </w:t>
      </w:r>
      <w:r w:rsidR="005C11D2">
        <w:rPr>
          <w:rFonts w:ascii="Times New Roman" w:hAnsi="Times New Roman" w:cs="Times New Roman"/>
        </w:rPr>
        <w:t xml:space="preserve">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{"citationID":"e9t3jF16","properties":{"formattedCitation":"(8)","plainCitation":"(8)","noteIndex":0},"citationItems":[{"id":436,"uris":["http://zotero.org/users/5073745/items/D7NVPGRH"],"itemData":{"id":436,"type":"article-journal","abstract":"Objective/Aim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4267FB" w:rsidRPr="004267FB">
        <w:rPr>
          <w:rFonts w:ascii="Times New Roman" w:hAnsi="Times New Roman" w:cs="Times New Roman"/>
        </w:rPr>
        <w:t>(8)</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{"citationID":"J1mzk2Bq","properties":{"formattedCitation":"(40)","plainCitation":"(40)","noteIndex":0},"citationItems":[{"id":441,"uris":["http://zotero.org/users/5073745/items/9VI47QZ9"],"itemData":{"id":441,"type":"article-journal","abstract":"Objectives\nBased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0C680E" w:rsidRPr="000C680E">
        <w:rPr>
          <w:rFonts w:ascii="Times New Roman" w:hAnsi="Times New Roman" w:cs="Times New Roman"/>
        </w:rPr>
        <w:t>(40)</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 xml:space="preserve">Because of these associations in human pregnancy studies with lower body weights and gestational weight gain, we anticipated unrestrained food intake and weight gain in our </w:t>
      </w:r>
      <w:r w:rsidR="00A53101">
        <w:rPr>
          <w:rFonts w:ascii="Times New Roman" w:hAnsi="Times New Roman" w:cs="Times New Roman"/>
        </w:rPr>
        <w:t xml:space="preserve">knockout </w:t>
      </w:r>
      <w:r w:rsidR="005C11D2">
        <w:rPr>
          <w:rFonts w:ascii="Times New Roman" w:hAnsi="Times New Roman" w:cs="Times New Roman"/>
        </w:rPr>
        <w:t>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 xml:space="preserve">gestational </w:t>
      </w:r>
      <w:proofErr w:type="gramStart"/>
      <w:r w:rsidR="0034537A">
        <w:rPr>
          <w:rFonts w:ascii="Times New Roman" w:hAnsi="Times New Roman" w:cs="Times New Roman"/>
        </w:rPr>
        <w:t>outcome</w:t>
      </w:r>
      <w:r w:rsidR="003F62BE">
        <w:rPr>
          <w:rFonts w:ascii="Times New Roman" w:hAnsi="Times New Roman" w:cs="Times New Roman"/>
        </w:rPr>
        <w:t>s</w:t>
      </w:r>
      <w:r w:rsidR="0034537A">
        <w:rPr>
          <w:rFonts w:ascii="Times New Roman" w:hAnsi="Times New Roman" w:cs="Times New Roman"/>
        </w:rPr>
        <w:t>,</w:t>
      </w:r>
      <w:proofErr w:type="gramEnd"/>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w:t>
      </w:r>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 xml:space="preserve">pregnancy or gestational outcomes during breeding or maintenance, but only describe differences as adults.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{"citationID":"abwxrZw9","properties":{"formattedCitation":"(41)","plainCitation":"(41)","noteIndex":0},"citationItems":[{"id":456,"uris":["http://zotero.org/users/5073745/items/MW9GMYQZ"],"itemData":{"id":456,"type":"article-journal","abstract":"Transgenic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4267FB" w:rsidRPr="004267FB">
        <w:rPr>
          <w:rFonts w:ascii="Times New Roman" w:hAnsi="Times New Roman" w:cs="Times New Roman"/>
        </w:rPr>
        <w:t>(41)</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{"citationID":"ZazM2VaR","properties":{"formattedCitation":"(42)","plainCitation":"(42)","noteIndex":0},"citationItems":[{"id":1945,"uris":["http://zotero.org/users/5073745/items/J7TYZZGI"],"itemData":{"id":1945,"type":"article-journal","abstract":"We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4267FB" w:rsidRPr="004267FB">
        <w:rPr>
          <w:rFonts w:ascii="Times New Roman" w:hAnsi="Times New Roman" w:cs="Times New Roman"/>
        </w:rPr>
        <w:t>(42)</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{"citationID":"1g14njlO","properties":{"formattedCitation":"(41)","plainCitation":"(41)","noteIndex":0},"citationItems":[{"id":456,"uris":["http://zotero.org/users/5073745/items/MW9GMYQZ"],"itemData":{"id":456,"type":"article-journal","abstract":"Transgenic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4267FB" w:rsidRPr="004267FB">
        <w:rPr>
          <w:rFonts w:ascii="Times New Roman" w:hAnsi="Times New Roman" w:cs="Times New Roman"/>
        </w:rPr>
        <w:t>(41)</w:t>
      </w:r>
      <w:r w:rsidR="00882A87">
        <w:rPr>
          <w:rFonts w:ascii="Times New Roman" w:hAnsi="Times New Roman" w:cs="Times New Roman"/>
        </w:rPr>
        <w:fldChar w:fldCharType="end"/>
      </w:r>
      <w:r w:rsidR="00882A87">
        <w:rPr>
          <w:rFonts w:ascii="Times New Roman" w:hAnsi="Times New Roman" w:cs="Times New Roman"/>
        </w:rPr>
        <w:t xml:space="preserve">. </w:t>
      </w:r>
      <w:r w:rsidR="00A53101">
        <w:rPr>
          <w:rFonts w:ascii="Times New Roman" w:hAnsi="Times New Roman" w:cs="Times New Roman"/>
        </w:rPr>
        <w:t>E</w:t>
      </w:r>
      <w:r w:rsidR="003F62BE" w:rsidRPr="00E42C05">
        <w:rPr>
          <w:rFonts w:ascii="Times New Roman" w:hAnsi="Times New Roman" w:cs="Times New Roman"/>
        </w:rPr>
        <w:t xml:space="preserv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{"citationID":"6spSNMao","properties":{"formattedCitation":"(17,43)","plainCitation":"(17,43)","noteIndex":0},"citationItems":[{"id":461,"uris":["http://zotero.org/users/5073745/items/4SK3Y76E"],"itemData":{"id":461,"type":"article-journal","container-title":"Nature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4267FB" w:rsidRPr="004267FB">
        <w:rPr>
          <w:rFonts w:ascii="Times New Roman" w:hAnsi="Times New Roman" w:cs="Times New Roman"/>
        </w:rPr>
        <w:t>(17,43)</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 xml:space="preserve">period </w:t>
      </w:r>
      <w:r w:rsidR="00921940">
        <w:rPr>
          <w:rFonts w:ascii="Times New Roman" w:hAnsi="Times New Roman" w:cs="Times New Roman"/>
        </w:rPr>
        <w:t xml:space="preserve">in dams and insignificant </w:t>
      </w:r>
      <w:r w:rsidR="001A1D01">
        <w:rPr>
          <w:rFonts w:ascii="Times New Roman" w:hAnsi="Times New Roman" w:cs="Times New Roman"/>
        </w:rPr>
        <w:t>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 xml:space="preserve">is </w:t>
      </w:r>
      <w:r w:rsidR="00921940">
        <w:rPr>
          <w:rFonts w:ascii="Times New Roman" w:hAnsi="Times New Roman" w:cs="Times New Roman"/>
        </w:rPr>
        <w:t>induced</w:t>
      </w:r>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w:t>
      </w:r>
      <w:r w:rsidR="00921940">
        <w:rPr>
          <w:rFonts w:ascii="Times New Roman" w:hAnsi="Times New Roman" w:cs="Times New Roman"/>
        </w:rPr>
        <w:t>The</w:t>
      </w:r>
      <w:r w:rsidR="00CF07BD">
        <w:rPr>
          <w:rFonts w:ascii="Times New Roman" w:hAnsi="Times New Roman" w:cs="Times New Roman"/>
        </w:rPr>
        <w:t xml:space="preserve"> deletion of GDF15 </w:t>
      </w:r>
      <w:r w:rsidR="00CF07BD">
        <w:rPr>
          <w:rFonts w:ascii="Times New Roman" w:hAnsi="Times New Roman" w:cs="Times New Roman"/>
        </w:rPr>
        <w:lastRenderedPageBreak/>
        <w:t>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{"citationID":"Gj5u3jBl","properties":{"formattedCitation":"(44)","plainCitation":"(44)","noteIndex":0},"citationItems":[{"id":1943,"uris":["http://zotero.org/users/5073745/items/EP7ZQSR9"],"itemData":{"id":1943,"type":"article-journal","abstract":"Download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4267FB" w:rsidRPr="004267FB">
        <w:rPr>
          <w:rFonts w:ascii="Times New Roman" w:hAnsi="Times New Roman" w:cs="Times New Roman"/>
        </w:rPr>
        <w:t>(44)</w:t>
      </w:r>
      <w:r w:rsidR="00CF07BD">
        <w:rPr>
          <w:rFonts w:ascii="Times New Roman" w:hAnsi="Times New Roman" w:cs="Times New Roman"/>
        </w:rPr>
        <w:fldChar w:fldCharType="end"/>
      </w:r>
      <w:r w:rsidR="00CF07BD">
        <w:rPr>
          <w:rFonts w:ascii="Times New Roman" w:hAnsi="Times New Roman" w:cs="Times New Roman"/>
        </w:rPr>
        <w:t>.</w:t>
      </w:r>
    </w:p>
    <w:p w14:paraId="1B1CE7DD" w14:textId="047955A7"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w:t>
      </w:r>
      <w:r w:rsidR="00921940">
        <w:rPr>
          <w:rFonts w:ascii="Times New Roman" w:hAnsi="Times New Roman" w:cs="Times New Roman"/>
        </w:rPr>
        <w:t>perinatal</w:t>
      </w:r>
      <w:r w:rsidRPr="00441EC8">
        <w:rPr>
          <w:rFonts w:ascii="Times New Roman" w:hAnsi="Times New Roman" w:cs="Times New Roman"/>
        </w:rPr>
        <w:t xml:space="preserve"> and lactation </w:t>
      </w:r>
      <w:r w:rsidR="00921940">
        <w:rPr>
          <w:rFonts w:ascii="Times New Roman" w:hAnsi="Times New Roman" w:cs="Times New Roman"/>
        </w:rPr>
        <w:t xml:space="preserve">outcomes </w:t>
      </w:r>
      <w:r w:rsidRPr="00441EC8">
        <w:rPr>
          <w:rFonts w:ascii="Times New Roman" w:hAnsi="Times New Roman" w:cs="Times New Roman"/>
        </w:rPr>
        <w:t xml:space="preserve">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r w:rsidR="00921940">
        <w:rPr>
          <w:rFonts w:ascii="Times New Roman" w:hAnsi="Times New Roman" w:cs="Times New Roman"/>
        </w:rPr>
        <w:t>Overexpression</w:t>
      </w:r>
      <w:r w:rsidR="00BB44DA" w:rsidRPr="00441EC8">
        <w:rPr>
          <w:rFonts w:ascii="Times New Roman" w:hAnsi="Times New Roman" w:cs="Times New Roman"/>
        </w:rPr>
        <w:t>, exogenous</w:t>
      </w:r>
      <w:r w:rsidR="00921940">
        <w:rPr>
          <w:rFonts w:ascii="Times New Roman" w:hAnsi="Times New Roman" w:cs="Times New Roman"/>
        </w:rPr>
        <w:t xml:space="preserve"> administration</w:t>
      </w:r>
      <w:r w:rsidR="00BB44DA" w:rsidRPr="00441EC8">
        <w:rPr>
          <w:rFonts w:ascii="Times New Roman" w:hAnsi="Times New Roman" w:cs="Times New Roman"/>
        </w:rPr>
        <w:t xml:space="preserve">, or </w:t>
      </w:r>
      <w:proofErr w:type="gramStart"/>
      <w:r w:rsidR="00BB44DA" w:rsidRPr="00441EC8">
        <w:rPr>
          <w:rFonts w:ascii="Times New Roman" w:hAnsi="Times New Roman" w:cs="Times New Roman"/>
        </w:rPr>
        <w:t>induce</w:t>
      </w:r>
      <w:proofErr w:type="gramEnd"/>
      <w:r w:rsidR="00BB44DA" w:rsidRPr="00441EC8">
        <w:rPr>
          <w:rFonts w:ascii="Times New Roman" w:hAnsi="Times New Roman" w:cs="Times New Roman"/>
        </w:rPr>
        <w:t xml:space="preserve"> long-term highly disruptive stressors </w:t>
      </w:r>
      <w:r w:rsidR="00921940">
        <w:rPr>
          <w:rFonts w:ascii="Times New Roman" w:hAnsi="Times New Roman" w:cs="Times New Roman"/>
        </w:rPr>
        <w:t>report</w:t>
      </w:r>
      <w:r w:rsidR="000E3ADD" w:rsidRPr="00441EC8">
        <w:rPr>
          <w:rFonts w:ascii="Times New Roman" w:hAnsi="Times New Roman" w:cs="Times New Roman"/>
        </w:rPr>
        <w:t xml:space="preserve">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r w:rsidR="00921940">
        <w:rPr>
          <w:rFonts w:ascii="Times New Roman" w:hAnsi="Times New Roman" w:cs="Times New Roman"/>
        </w:rPr>
        <w:t>may be</w:t>
      </w:r>
      <w:r w:rsidR="00921940" w:rsidRPr="00441EC8">
        <w:rPr>
          <w:rFonts w:ascii="Times New Roman" w:hAnsi="Times New Roman" w:cs="Times New Roman"/>
        </w:rPr>
        <w:t xml:space="preserve"> </w:t>
      </w:r>
      <w:r w:rsidR="003F62BE" w:rsidRPr="00441EC8">
        <w:rPr>
          <w:rFonts w:ascii="Times New Roman" w:hAnsi="Times New Roman" w:cs="Times New Roman"/>
        </w:rPr>
        <w:t xml:space="preserve">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act as a less acute stressor 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w:t>
      </w:r>
      <w:proofErr w:type="spellStart"/>
      <w:r w:rsidR="006E7949" w:rsidRPr="00441EC8">
        <w:rPr>
          <w:rFonts w:ascii="Times New Roman" w:hAnsi="Times New Roman" w:cs="Times New Roman"/>
        </w:rPr>
        <w:t>feto</w:t>
      </w:r>
      <w:proofErr w:type="spellEnd"/>
      <w:r w:rsidR="006E7949" w:rsidRPr="00441EC8">
        <w:rPr>
          <w:rFonts w:ascii="Times New Roman" w:hAnsi="Times New Roman" w:cs="Times New Roman"/>
        </w:rPr>
        <w:t xml:space="preserve">-placental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7330A17D" w:rsidR="00AB67D8" w:rsidRDefault="00921940" w:rsidP="003E28FC">
      <w:pPr>
        <w:spacing w:line="480" w:lineRule="auto"/>
        <w:ind w:firstLine="720"/>
        <w:rPr>
          <w:rFonts w:ascii="Times New Roman" w:hAnsi="Times New Roman" w:cs="Times New Roman"/>
        </w:rPr>
      </w:pPr>
      <w:r>
        <w:rPr>
          <w:rFonts w:ascii="Times New Roman" w:hAnsi="Times New Roman" w:cs="Times New Roman"/>
        </w:rPr>
        <w:t>This study has a few key constraints</w:t>
      </w:r>
      <w:r w:rsidR="000B007B" w:rsidRPr="00CB2486">
        <w:rPr>
          <w:rFonts w:ascii="Times New Roman" w:hAnsi="Times New Roman" w:cs="Times New Roman"/>
        </w:rPr>
        <w:t xml:space="preserve">. </w:t>
      </w:r>
      <w:r w:rsidR="00F2698C" w:rsidRPr="00CB2486">
        <w:rPr>
          <w:rFonts w:ascii="Times New Roman" w:hAnsi="Times New Roman" w:cs="Times New Roman"/>
        </w:rPr>
        <w:t xml:space="preserve">Murine pregnancy is not entirely comparable to human pregnancy. </w:t>
      </w:r>
      <w:r>
        <w:rPr>
          <w:rFonts w:ascii="Times New Roman" w:hAnsi="Times New Roman" w:cs="Times New Roman"/>
        </w:rPr>
        <w:t>Most</w:t>
      </w:r>
      <w:r w:rsidR="00FE6E8E" w:rsidRPr="00CB2486">
        <w:rPr>
          <w:rFonts w:ascii="Times New Roman" w:hAnsi="Times New Roman" w:cs="Times New Roman"/>
        </w:rPr>
        <w:t xml:space="preserve"> human pregnancies are singleton </w:t>
      </w:r>
      <w:r>
        <w:rPr>
          <w:rFonts w:ascii="Times New Roman" w:hAnsi="Times New Roman" w:cs="Times New Roman"/>
        </w:rPr>
        <w:t>whereas</w:t>
      </w:r>
      <w:r w:rsidRPr="00CB2486">
        <w:rPr>
          <w:rFonts w:ascii="Times New Roman" w:hAnsi="Times New Roman" w:cs="Times New Roman"/>
        </w:rPr>
        <w:t xml:space="preserve"> </w:t>
      </w:r>
      <w:r w:rsidR="00FE6E8E" w:rsidRPr="00CB2486">
        <w:rPr>
          <w:rFonts w:ascii="Times New Roman" w:hAnsi="Times New Roman" w:cs="Times New Roman"/>
        </w:rPr>
        <w:t xml:space="preserve">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{"citationID":"Uq8azzWo","properties":{"formattedCitation":"(45)","plainCitation":"(45)","noteIndex":0},"citationItems":[{"id":602,"uris":["http://zotero.org/users/5073745/items/L4RSGINP"],"itemData":{"id":602,"type":"article-journal","container-title":"Journal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4267FB" w:rsidRPr="004267FB">
        <w:rPr>
          <w:rFonts w:ascii="Times New Roman" w:hAnsi="Times New Roman" w:cs="Times New Roman"/>
        </w:rPr>
        <w:t>(45)</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w:t>
      </w:r>
      <w:proofErr w:type="spellStart"/>
      <w:r w:rsidR="000B007B" w:rsidRPr="00CB2486">
        <w:rPr>
          <w:rFonts w:ascii="Times New Roman" w:hAnsi="Times New Roman" w:cs="Times New Roman"/>
        </w:rPr>
        <w:t>feto</w:t>
      </w:r>
      <w:proofErr w:type="spellEnd"/>
      <w:r w:rsidR="000B007B" w:rsidRPr="00CB2486">
        <w:rPr>
          <w:rFonts w:ascii="Times New Roman" w:hAnsi="Times New Roman" w:cs="Times New Roman"/>
        </w:rPr>
        <w:t xml:space="preserve">-placental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 xml:space="preserve">to </w:t>
      </w:r>
      <w:r>
        <w:rPr>
          <w:rFonts w:ascii="Times New Roman" w:hAnsi="Times New Roman" w:cs="Times New Roman"/>
        </w:rPr>
        <w:t>dam</w:t>
      </w:r>
      <w:r w:rsidRPr="00CB2486">
        <w:rPr>
          <w:rFonts w:ascii="Times New Roman" w:hAnsi="Times New Roman" w:cs="Times New Roman"/>
        </w:rPr>
        <w:t xml:space="preserve"> </w:t>
      </w:r>
      <w:r w:rsidR="000B007B" w:rsidRPr="00CB2486">
        <w:rPr>
          <w:rFonts w:ascii="Times New Roman" w:hAnsi="Times New Roman" w:cs="Times New Roman"/>
        </w:rPr>
        <w:t>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sidR="003F62BE">
        <w:rPr>
          <w:rFonts w:ascii="Times New Roman" w:hAnsi="Times New Roman" w:cs="Times New Roman"/>
        </w:rPr>
        <w:t xml:space="preserve"> pairs</w:t>
      </w:r>
      <w:r w:rsidR="00CD052D" w:rsidRPr="00CB2486">
        <w:rPr>
          <w:rFonts w:ascii="Times New Roman" w:hAnsi="Times New Roman" w:cs="Times New Roman"/>
        </w:rPr>
        <w:t xml:space="preserve">. </w:t>
      </w:r>
      <w:r>
        <w:rPr>
          <w:rFonts w:ascii="Times New Roman" w:hAnsi="Times New Roman" w:cs="Times New Roman"/>
        </w:rPr>
        <w:t>In the resultant</w:t>
      </w:r>
      <w:r w:rsidR="00F50237">
        <w:rPr>
          <w:rFonts w:ascii="Times New Roman" w:hAnsi="Times New Roman" w:cs="Times New Roman"/>
        </w:rPr>
        <w:t xml:space="preserve"> offspring </w:t>
      </w:r>
      <w:r w:rsidR="00F2698C" w:rsidRPr="00CB2486">
        <w:rPr>
          <w:rFonts w:ascii="Times New Roman" w:hAnsi="Times New Roman" w:cs="Times New Roman"/>
        </w:rPr>
        <w:t xml:space="preserve">we did not detect any differences in growth. </w:t>
      </w:r>
      <w:r>
        <w:rPr>
          <w:rFonts w:ascii="Times New Roman" w:hAnsi="Times New Roman" w:cs="Times New Roman"/>
        </w:rPr>
        <w:t>However, a</w:t>
      </w:r>
      <w:r w:rsidR="0059574E" w:rsidRPr="00CB2486">
        <w:rPr>
          <w:rFonts w:ascii="Times New Roman" w:hAnsi="Times New Roman" w:cs="Times New Roman"/>
        </w:rPr>
        <w:t xml:space="preserve"> larger sample size </w:t>
      </w:r>
      <w:r>
        <w:rPr>
          <w:rFonts w:ascii="Times New Roman" w:hAnsi="Times New Roman" w:cs="Times New Roman"/>
        </w:rPr>
        <w:t>would provide more power for the examined</w:t>
      </w:r>
      <w:r w:rsidR="008F750F" w:rsidRPr="00CB2486">
        <w:rPr>
          <w:rFonts w:ascii="Times New Roman" w:hAnsi="Times New Roman" w:cs="Times New Roman"/>
        </w:rPr>
        <w:t xml:space="preserve"> outcomes</w:t>
      </w:r>
      <w:r w:rsidR="00E97581" w:rsidRPr="00CB2486">
        <w:rPr>
          <w:rFonts w:ascii="Times New Roman" w:hAnsi="Times New Roman" w:cs="Times New Roman"/>
        </w:rPr>
        <w:t xml:space="preserve">. </w:t>
      </w:r>
      <w:r>
        <w:rPr>
          <w:rFonts w:ascii="Times New Roman" w:hAnsi="Times New Roman" w:cs="Times New Roman"/>
        </w:rPr>
        <w:t>C</w:t>
      </w:r>
      <w:r w:rsidR="00FC327E">
        <w:rPr>
          <w:rFonts w:ascii="Times New Roman" w:hAnsi="Times New Roman" w:cs="Times New Roman"/>
        </w:rPr>
        <w:t>ompensatory adaptations, such as other feeding hormones</w:t>
      </w:r>
      <w:r>
        <w:rPr>
          <w:rFonts w:ascii="Times New Roman" w:hAnsi="Times New Roman" w:cs="Times New Roman"/>
        </w:rPr>
        <w:t>, may also</w:t>
      </w:r>
      <w:r w:rsidR="00FC327E">
        <w:rPr>
          <w:rFonts w:ascii="Times New Roman" w:hAnsi="Times New Roman" w:cs="Times New Roman"/>
        </w:rPr>
        <w:t xml:space="preserve"> </w:t>
      </w:r>
      <w:r>
        <w:rPr>
          <w:rFonts w:ascii="Times New Roman" w:hAnsi="Times New Roman" w:cs="Times New Roman"/>
        </w:rPr>
        <w:t>co-</w:t>
      </w:r>
      <w:r w:rsidR="00FC327E">
        <w:rPr>
          <w:rFonts w:ascii="Times New Roman" w:hAnsi="Times New Roman" w:cs="Times New Roman"/>
        </w:rPr>
        <w:t xml:space="preserve">occur with life-long loss of GDF15. </w:t>
      </w:r>
      <w:r>
        <w:rPr>
          <w:rFonts w:ascii="Times New Roman" w:hAnsi="Times New Roman" w:cs="Times New Roman"/>
        </w:rPr>
        <w:t xml:space="preserve">The follow up period for </w:t>
      </w:r>
      <w:proofErr w:type="spellStart"/>
      <w:r>
        <w:rPr>
          <w:rFonts w:ascii="Times New Roman" w:hAnsi="Times New Roman" w:cs="Times New Roman"/>
        </w:rPr>
        <w:t>offsprubg</w:t>
      </w:r>
      <w:proofErr w:type="spellEnd"/>
      <w:r>
        <w:rPr>
          <w:rFonts w:ascii="Times New Roman" w:hAnsi="Times New Roman" w:cs="Times New Roman"/>
        </w:rPr>
        <w:t xml:space="preserve"> was</w:t>
      </w:r>
      <w:r w:rsidR="00962AD9" w:rsidRPr="00CB2486">
        <w:rPr>
          <w:rFonts w:ascii="Times New Roman" w:hAnsi="Times New Roman" w:cs="Times New Roman"/>
        </w:rPr>
        <w:t xml:space="preserve"> relatively short</w:t>
      </w:r>
      <w:r>
        <w:rPr>
          <w:rFonts w:ascii="Times New Roman" w:hAnsi="Times New Roman" w:cs="Times New Roman"/>
        </w:rPr>
        <w:t>, which could mean changed later in life occurred unobserved</w:t>
      </w:r>
      <w:r w:rsidR="00962AD9" w:rsidRPr="00CB2486">
        <w:rPr>
          <w:rFonts w:ascii="Times New Roman" w:hAnsi="Times New Roman" w:cs="Times New Roman"/>
        </w:rPr>
        <w:t xml:space="preserve">. </w:t>
      </w:r>
      <w:r w:rsidR="003F62BE">
        <w:rPr>
          <w:rFonts w:ascii="Times New Roman" w:hAnsi="Times New Roman" w:cs="Times New Roman"/>
        </w:rPr>
        <w:t>Finally, we did not evaluate</w:t>
      </w:r>
      <w:r w:rsidR="00720EF4">
        <w:rPr>
          <w:rFonts w:ascii="Times New Roman" w:hAnsi="Times New Roman" w:cs="Times New Roman"/>
        </w:rPr>
        <w:t xml:space="preserve"> two </w:t>
      </w:r>
      <w:r w:rsidR="00720EF4">
        <w:rPr>
          <w:rFonts w:ascii="Times New Roman" w:hAnsi="Times New Roman" w:cs="Times New Roman"/>
        </w:rPr>
        <w:lastRenderedPageBreak/>
        <w:t>other GDF15-associated complications,</w:t>
      </w:r>
      <w:r>
        <w:rPr>
          <w:rFonts w:ascii="Times New Roman" w:hAnsi="Times New Roman" w:cs="Times New Roman"/>
        </w:rPr>
        <w:t xml:space="preserve"> like</w:t>
      </w:r>
      <w:r w:rsidR="003F62BE">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5DB71EC5" w:rsidR="00C6116A" w:rsidRDefault="00921940" w:rsidP="003E28FC">
      <w:pPr>
        <w:spacing w:line="480" w:lineRule="auto"/>
        <w:ind w:firstLine="720"/>
        <w:rPr>
          <w:rFonts w:ascii="Times New Roman" w:hAnsi="Times New Roman" w:cs="Times New Roman"/>
        </w:rPr>
      </w:pPr>
      <w:r>
        <w:rPr>
          <w:rFonts w:ascii="Times New Roman" w:hAnsi="Times New Roman" w:cs="Times New Roman"/>
        </w:rPr>
        <w:t>The present</w:t>
      </w:r>
      <w:r w:rsidR="008F750F">
        <w:rPr>
          <w:rFonts w:ascii="Times New Roman" w:hAnsi="Times New Roman" w:cs="Times New Roman"/>
        </w:rPr>
        <w:t xml:space="preserve"> study </w:t>
      </w:r>
      <w:r>
        <w:rPr>
          <w:rFonts w:ascii="Times New Roman" w:hAnsi="Times New Roman" w:cs="Times New Roman"/>
        </w:rPr>
        <w:t>has advantages,</w:t>
      </w:r>
      <w:r w:rsidR="00356634">
        <w:rPr>
          <w:rFonts w:ascii="Times New Roman" w:hAnsi="Times New Roman" w:cs="Times New Roman"/>
        </w:rPr>
        <w:t xml:space="preserve"> including strong environmental, genetic</w:t>
      </w:r>
      <w:r w:rsidR="00882A87">
        <w:rPr>
          <w:rFonts w:ascii="Times New Roman" w:hAnsi="Times New Roman" w:cs="Times New Roman"/>
        </w:rPr>
        <w:t>,</w:t>
      </w:r>
      <w:r w:rsidR="00356634">
        <w:rPr>
          <w:rFonts w:ascii="Times New Roman" w:hAnsi="Times New Roman" w:cs="Times New Roman"/>
        </w:rPr>
        <w:t xml:space="preserve"> and experimental consistency. </w:t>
      </w:r>
      <w:r w:rsidR="006C49A8">
        <w:rPr>
          <w:rFonts w:ascii="Times New Roman" w:hAnsi="Times New Roman" w:cs="Times New Roman"/>
        </w:rPr>
        <w:t>D</w:t>
      </w:r>
      <w:r w:rsidR="00356634">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In contrast to human observational studies demonstrating connections to pregnancy complications, we do not observe</w:t>
      </w:r>
      <w:r w:rsidR="00E33193">
        <w:rPr>
          <w:rFonts w:ascii="Times New Roman" w:hAnsi="Times New Roman" w:cs="Times New Roman"/>
        </w:rPr>
        <w:t xml:space="preserve"> </w:t>
      </w:r>
      <w:r w:rsidR="006C49A8">
        <w:rPr>
          <w:rFonts w:ascii="Times New Roman" w:hAnsi="Times New Roman" w:cs="Times New Roman"/>
        </w:rPr>
        <w:t xml:space="preserve">detect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sidR="00356634">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sidR="00356634">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sidR="00356634">
        <w:rPr>
          <w:rFonts w:ascii="Times New Roman" w:hAnsi="Times New Roman" w:cs="Times New Roman"/>
        </w:rPr>
        <w:t xml:space="preserve"> body weight</w:t>
      </w:r>
      <w:r w:rsidR="00645688">
        <w:rPr>
          <w:rFonts w:ascii="Times New Roman" w:hAnsi="Times New Roman" w:cs="Times New Roman"/>
        </w:rPr>
        <w:t xml:space="preserve"> gain</w:t>
      </w:r>
      <w:r w:rsidR="00356634">
        <w:rPr>
          <w:rFonts w:ascii="Times New Roman" w:hAnsi="Times New Roman" w:cs="Times New Roman"/>
        </w:rPr>
        <w:t xml:space="preserve">, </w:t>
      </w:r>
      <w:r w:rsidR="00645688">
        <w:rPr>
          <w:rFonts w:ascii="Times New Roman" w:hAnsi="Times New Roman" w:cs="Times New Roman"/>
        </w:rPr>
        <w:t xml:space="preserve">increases in </w:t>
      </w:r>
      <w:r w:rsidR="00356634">
        <w:rPr>
          <w:rFonts w:ascii="Times New Roman" w:hAnsi="Times New Roman" w:cs="Times New Roman"/>
        </w:rPr>
        <w:t>food intake, or</w:t>
      </w:r>
      <w:r w:rsidR="00645688">
        <w:rPr>
          <w:rFonts w:ascii="Times New Roman" w:hAnsi="Times New Roman" w:cs="Times New Roman"/>
        </w:rPr>
        <w:t xml:space="preserve"> early postnatal</w:t>
      </w:r>
      <w:r w:rsidR="00356634">
        <w:rPr>
          <w:rFonts w:ascii="Times New Roman" w:hAnsi="Times New Roman" w:cs="Times New Roman"/>
        </w:rPr>
        <w:t xml:space="preserve"> offspring </w:t>
      </w:r>
      <w:r w:rsidR="00645688">
        <w:rPr>
          <w:rFonts w:ascii="Times New Roman" w:hAnsi="Times New Roman" w:cs="Times New Roman"/>
        </w:rPr>
        <w:t>health</w:t>
      </w:r>
      <w:r w:rsidR="00356634">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t>Conclusion</w:t>
      </w:r>
    </w:p>
    <w:p w14:paraId="58460B7A" w14:textId="29F2C9CE"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w:t>
      </w:r>
      <w:r w:rsidR="00921940">
        <w:rPr>
          <w:rFonts w:ascii="Times New Roman" w:hAnsi="Times New Roman" w:cs="Times New Roman"/>
        </w:rPr>
        <w:t>elevations</w:t>
      </w:r>
      <w:r>
        <w:rPr>
          <w:rFonts w:ascii="Times New Roman" w:hAnsi="Times New Roman" w:cs="Times New Roman"/>
        </w:rPr>
        <w:t xml:space="preserv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3E28FC">
      <w:pPr>
        <w:spacing w:line="480" w:lineRule="auto"/>
        <w:ind w:firstLine="720"/>
        <w:rPr>
          <w:rFonts w:ascii="Times New Roman" w:hAnsi="Times New Roman" w:cs="Times New Roman"/>
        </w:rPr>
      </w:pPr>
    </w:p>
    <w:p w14:paraId="7ECE1FD6" w14:textId="1956DA2E" w:rsidR="00BA3558" w:rsidRDefault="00BA3558" w:rsidP="00BA3558">
      <w:pPr>
        <w:pStyle w:val="Heading1"/>
      </w:pPr>
      <w:r>
        <w:t>Acknowledgements</w:t>
      </w:r>
    </w:p>
    <w:p w14:paraId="7311C4A9" w14:textId="77777777" w:rsidR="00BA3558" w:rsidRDefault="00BA3558" w:rsidP="003E28FC">
      <w:pPr>
        <w:spacing w:line="480" w:lineRule="auto"/>
        <w:ind w:firstLine="720"/>
        <w:rPr>
          <w:rFonts w:ascii="Times New Roman" w:hAnsi="Times New Roman" w:cs="Times New Roman"/>
        </w:rPr>
      </w:pPr>
    </w:p>
    <w:p w14:paraId="4CDFCFBD" w14:textId="066004F5" w:rsidR="00BA3558" w:rsidRDefault="00BA3558" w:rsidP="003E28FC">
      <w:pPr>
        <w:spacing w:line="480" w:lineRule="auto"/>
        <w:ind w:firstLine="720"/>
        <w:rPr>
          <w:rFonts w:ascii="Times New Roman" w:hAnsi="Times New Roman" w:cs="Times New Roman"/>
        </w:rPr>
      </w:pPr>
      <w:r>
        <w:rPr>
          <w:rFonts w:ascii="Times New Roman" w:hAnsi="Times New Roman" w:cs="Times New Roman"/>
        </w:rPr>
        <w:lastRenderedPageBreak/>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3E28FC">
      <w:pPr>
        <w:spacing w:line="480" w:lineRule="auto"/>
        <w:ind w:firstLine="720"/>
        <w:rPr>
          <w:rFonts w:ascii="Times New Roman" w:hAnsi="Times New Roman" w:cs="Times New Roman"/>
        </w:rPr>
      </w:pPr>
    </w:p>
    <w:p w14:paraId="225B78D7" w14:textId="42ACB7D4" w:rsidR="00267D48" w:rsidRDefault="00267D48" w:rsidP="00267D48">
      <w:pPr>
        <w:pStyle w:val="Heading1"/>
      </w:pPr>
      <w:r>
        <w:t>Data Availability</w:t>
      </w:r>
    </w:p>
    <w:p w14:paraId="5DDF41F6" w14:textId="77777777" w:rsidR="00267D48" w:rsidRPr="00267D48" w:rsidRDefault="00267D48" w:rsidP="00267D48"/>
    <w:p w14:paraId="58F969B4" w14:textId="4774AC32" w:rsidR="00267D48" w:rsidRPr="00BA3558" w:rsidRDefault="00267D48" w:rsidP="003E28FC">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2" w:history="1">
        <w:r w:rsidR="001F101D" w:rsidRPr="001F101D">
          <w:rPr>
            <w:rStyle w:val="Hyperlink"/>
            <w:rFonts w:ascii="Times New Roman" w:hAnsi="Times New Roman" w:cs="Times New Roman"/>
          </w:rPr>
          <w:t>https://github.com/BridgesLab/Developmental-Obesity</w:t>
        </w:r>
      </w:hyperlink>
      <w:r w:rsidR="001F101D">
        <w:rPr>
          <w:rFonts w:ascii="Times New Roman" w:hAnsi="Times New Roman" w:cs="Times New Roman"/>
        </w:rPr>
        <w:t>.</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55079">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48AC7DDD" w14:textId="77777777" w:rsidR="000C680E" w:rsidRPr="000C680E" w:rsidRDefault="006D0E50" w:rsidP="000C680E">
      <w:pPr>
        <w:pStyle w:val="Bibliography"/>
        <w:rPr>
          <w:rFonts w:ascii="Calibri" w:hAnsi="Calibri" w:cs="Calibri"/>
        </w:rPr>
      </w:pPr>
      <w:r w:rsidRPr="00F145A3">
        <w:fldChar w:fldCharType="begin"/>
      </w:r>
      <w:r w:rsidR="000C680E">
        <w:instrText xml:space="preserve"> ADDIN ZOTERO_BIBL {"uncited":[],"omitted":[],"custom":[]} CSL_BIBLIOGRAPHY </w:instrText>
      </w:r>
      <w:r w:rsidRPr="00F145A3">
        <w:fldChar w:fldCharType="separate"/>
      </w:r>
      <w:r w:rsidR="000C680E" w:rsidRPr="000C680E">
        <w:rPr>
          <w:rFonts w:ascii="Calibri" w:hAnsi="Calibri" w:cs="Calibri"/>
        </w:rPr>
        <w:t xml:space="preserve">1. </w:t>
      </w:r>
      <w:r w:rsidR="000C680E" w:rsidRPr="000C680E">
        <w:rPr>
          <w:rFonts w:ascii="Calibri" w:hAnsi="Calibri" w:cs="Calibri"/>
        </w:rPr>
        <w:tab/>
        <w:t xml:space="preserve">Bootcov MR, Bauskin AR, Valenzuela SM, Moore AG, Bansal M, He XY, Zhang HP, Donnellan M, Mahler S, Pryor K, Walsh BJ, Nicholson RC, Fairlie WD, Por SB, Robbins JM, Breit SN. MIC-1, a novel macrophage inhibitory cytokine, is a divergent member of the TGF-β superfamily. </w:t>
      </w:r>
      <w:r w:rsidR="000C680E" w:rsidRPr="000C680E">
        <w:rPr>
          <w:rFonts w:ascii="Calibri" w:hAnsi="Calibri" w:cs="Calibri"/>
          <w:i/>
          <w:iCs/>
        </w:rPr>
        <w:t>Proceedings of the National Academy of Sciences</w:t>
      </w:r>
      <w:r w:rsidR="000C680E" w:rsidRPr="000C680E">
        <w:rPr>
          <w:rFonts w:ascii="Calibri" w:hAnsi="Calibri" w:cs="Calibri"/>
        </w:rPr>
        <w:t xml:space="preserve"> 1997;94(21):11514–11519.</w:t>
      </w:r>
    </w:p>
    <w:p w14:paraId="1C655CC8" w14:textId="77777777" w:rsidR="000C680E" w:rsidRPr="000C680E" w:rsidRDefault="000C680E" w:rsidP="000C680E">
      <w:pPr>
        <w:pStyle w:val="Bibliography"/>
        <w:rPr>
          <w:rFonts w:ascii="Calibri" w:hAnsi="Calibri" w:cs="Calibri"/>
        </w:rPr>
      </w:pPr>
      <w:r w:rsidRPr="000C680E">
        <w:rPr>
          <w:rFonts w:ascii="Calibri" w:hAnsi="Calibri" w:cs="Calibri"/>
        </w:rPr>
        <w:t xml:space="preserve">2. </w:t>
      </w:r>
      <w:r w:rsidRPr="000C680E">
        <w:rPr>
          <w:rFonts w:ascii="Calibri" w:hAnsi="Calibri" w:cs="Calibri"/>
        </w:rPr>
        <w:tab/>
        <w:t xml:space="preserve">Welsh P, Kimenai DM, Marioni RE, Hayward C, Campbell A, Porteous D, Mills NL, O’Rahilly S, Sattar N. Reference ranges for GDF-15, and risk factors associated with GDF-15, in a large general population cohort. </w:t>
      </w:r>
      <w:r w:rsidRPr="000C680E">
        <w:rPr>
          <w:rFonts w:ascii="Calibri" w:hAnsi="Calibri" w:cs="Calibri"/>
          <w:i/>
          <w:iCs/>
        </w:rPr>
        <w:t>Clinical Chemistry and Laboratory Medicine (CCLM)</w:t>
      </w:r>
      <w:r w:rsidRPr="000C680E">
        <w:rPr>
          <w:rFonts w:ascii="Calibri" w:hAnsi="Calibri" w:cs="Calibri"/>
        </w:rPr>
        <w:t xml:space="preserve"> 2022. doi:10.1515/cclm-2022-0135.</w:t>
      </w:r>
    </w:p>
    <w:p w14:paraId="77A521CB" w14:textId="77777777" w:rsidR="000C680E" w:rsidRPr="000C680E" w:rsidRDefault="000C680E" w:rsidP="000C680E">
      <w:pPr>
        <w:pStyle w:val="Bibliography"/>
        <w:rPr>
          <w:rFonts w:ascii="Calibri" w:hAnsi="Calibri" w:cs="Calibri"/>
        </w:rPr>
      </w:pPr>
      <w:r w:rsidRPr="000C680E">
        <w:rPr>
          <w:rFonts w:ascii="Calibri" w:hAnsi="Calibri" w:cs="Calibri"/>
        </w:rPr>
        <w:t xml:space="preserve">3. </w:t>
      </w:r>
      <w:r w:rsidRPr="000C680E">
        <w:rPr>
          <w:rFonts w:ascii="Calibri" w:hAnsi="Calibri" w:cs="Calibri"/>
        </w:rPr>
        <w:tab/>
        <w:t xml:space="preserve">Kempf T, Eden M, Strelau J, Naguib M, Willenbockel C, Tongers J, Heineke J, Kotlarz D, Xu J, Molkentin JD, Niessen HW, Drexler H, Wollert KC. The transforming growth factor-beta superfamily member growth-differentiation factor-15 protects the heart from ischemia/reperfusion injury. </w:t>
      </w:r>
      <w:r w:rsidRPr="000C680E">
        <w:rPr>
          <w:rFonts w:ascii="Calibri" w:hAnsi="Calibri" w:cs="Calibri"/>
          <w:i/>
          <w:iCs/>
        </w:rPr>
        <w:t>Circ Res</w:t>
      </w:r>
      <w:r w:rsidRPr="000C680E">
        <w:rPr>
          <w:rFonts w:ascii="Calibri" w:hAnsi="Calibri" w:cs="Calibri"/>
        </w:rPr>
        <w:t xml:space="preserve"> 2006;98(3):351–360.</w:t>
      </w:r>
    </w:p>
    <w:p w14:paraId="150E7158" w14:textId="77777777" w:rsidR="000C680E" w:rsidRPr="000C680E" w:rsidRDefault="000C680E" w:rsidP="000C680E">
      <w:pPr>
        <w:pStyle w:val="Bibliography"/>
        <w:rPr>
          <w:rFonts w:ascii="Calibri" w:hAnsi="Calibri" w:cs="Calibri"/>
        </w:rPr>
      </w:pPr>
      <w:r w:rsidRPr="000C680E">
        <w:rPr>
          <w:rFonts w:ascii="Calibri" w:hAnsi="Calibri" w:cs="Calibri"/>
        </w:rPr>
        <w:t xml:space="preserve">4. </w:t>
      </w:r>
      <w:r w:rsidRPr="000C680E">
        <w:rPr>
          <w:rFonts w:ascii="Calibri" w:hAnsi="Calibri" w:cs="Calibri"/>
        </w:rPr>
        <w:tab/>
        <w:t xml:space="preserve">Suriben R, Chen M, Higbee J, Oeffinger J, Ventura R, Li B, Mondal K, Gao Z, Ayupova D, Taskar P, Li D, Starck SR, Chen H-IH, McEntee M, Katewa SD, Phung V, Wang M, Kekatpure A, Lakshminarasimhan D, White A, Olland A, Haldankar R, Solloway MJ, Hsu J-Y, Wang Y, Tang J, Lindhout DA, Allan BB. Antibody-mediated inhibition of GDF15-GFRAL activity reverses cancer cachexia in mice. </w:t>
      </w:r>
      <w:r w:rsidRPr="000C680E">
        <w:rPr>
          <w:rFonts w:ascii="Calibri" w:hAnsi="Calibri" w:cs="Calibri"/>
          <w:i/>
          <w:iCs/>
        </w:rPr>
        <w:t>Nat Med</w:t>
      </w:r>
      <w:r w:rsidRPr="000C680E">
        <w:rPr>
          <w:rFonts w:ascii="Calibri" w:hAnsi="Calibri" w:cs="Calibri"/>
        </w:rPr>
        <w:t xml:space="preserve"> 2020;26(8):1264–1270.</w:t>
      </w:r>
    </w:p>
    <w:p w14:paraId="661EF58A" w14:textId="77777777" w:rsidR="000C680E" w:rsidRPr="000C680E" w:rsidRDefault="000C680E" w:rsidP="000C680E">
      <w:pPr>
        <w:pStyle w:val="Bibliography"/>
        <w:rPr>
          <w:rFonts w:ascii="Calibri" w:hAnsi="Calibri" w:cs="Calibri"/>
        </w:rPr>
      </w:pPr>
      <w:r w:rsidRPr="000C680E">
        <w:rPr>
          <w:rFonts w:ascii="Calibri" w:hAnsi="Calibri" w:cs="Calibri"/>
        </w:rPr>
        <w:t xml:space="preserve">5. </w:t>
      </w:r>
      <w:r w:rsidRPr="000C680E">
        <w:rPr>
          <w:rFonts w:ascii="Calibri" w:hAnsi="Calibri" w:cs="Calibri"/>
        </w:rPr>
        <w:tab/>
        <w:t xml:space="preserve">Ost M, Igual Gil C, Coleman V, Keipert S, Efstathiou S, Vidic V, Weyers M, Klaus S. Muscle-derived GDF15 drives diurnal anorexia and systemic metabolic remodeling during mitochondrial stress. </w:t>
      </w:r>
      <w:r w:rsidRPr="000C680E">
        <w:rPr>
          <w:rFonts w:ascii="Calibri" w:hAnsi="Calibri" w:cs="Calibri"/>
          <w:i/>
          <w:iCs/>
        </w:rPr>
        <w:t>EMBO reports</w:t>
      </w:r>
      <w:r w:rsidRPr="000C680E">
        <w:rPr>
          <w:rFonts w:ascii="Calibri" w:hAnsi="Calibri" w:cs="Calibri"/>
        </w:rPr>
        <w:t xml:space="preserve"> 2020;21(3):e48804.</w:t>
      </w:r>
    </w:p>
    <w:p w14:paraId="4CBE8E4B" w14:textId="77777777" w:rsidR="000C680E" w:rsidRPr="000C680E" w:rsidRDefault="000C680E" w:rsidP="000C680E">
      <w:pPr>
        <w:pStyle w:val="Bibliography"/>
        <w:rPr>
          <w:rFonts w:ascii="Calibri" w:hAnsi="Calibri" w:cs="Calibri"/>
        </w:rPr>
      </w:pPr>
      <w:r w:rsidRPr="000C680E">
        <w:rPr>
          <w:rFonts w:ascii="Calibri" w:hAnsi="Calibri" w:cs="Calibri"/>
        </w:rPr>
        <w:t xml:space="preserve">6. </w:t>
      </w:r>
      <w:r w:rsidRPr="000C680E">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0C680E">
        <w:rPr>
          <w:rFonts w:ascii="Calibri" w:hAnsi="Calibri" w:cs="Calibri"/>
          <w:i/>
          <w:iCs/>
        </w:rPr>
        <w:t>Nat Commun</w:t>
      </w:r>
      <w:r w:rsidRPr="000C680E">
        <w:rPr>
          <w:rFonts w:ascii="Calibri" w:hAnsi="Calibri" w:cs="Calibri"/>
        </w:rPr>
        <w:t xml:space="preserve"> 2021;12:1041.</w:t>
      </w:r>
    </w:p>
    <w:p w14:paraId="4565A0F2" w14:textId="77777777" w:rsidR="000C680E" w:rsidRPr="000C680E" w:rsidRDefault="000C680E" w:rsidP="000C680E">
      <w:pPr>
        <w:pStyle w:val="Bibliography"/>
        <w:rPr>
          <w:rFonts w:ascii="Calibri" w:hAnsi="Calibri" w:cs="Calibri"/>
        </w:rPr>
      </w:pPr>
      <w:r w:rsidRPr="000C680E">
        <w:rPr>
          <w:rFonts w:ascii="Calibri" w:hAnsi="Calibri" w:cs="Calibri"/>
        </w:rPr>
        <w:t xml:space="preserve">7. </w:t>
      </w:r>
      <w:r w:rsidRPr="000C680E">
        <w:rPr>
          <w:rFonts w:ascii="Calibri" w:hAnsi="Calibri" w:cs="Calibri"/>
        </w:rPr>
        <w:tab/>
        <w:t xml:space="preserve">Cimino I, Kim H, Tung YCL, Pedersen K, Rimmington D, Tadross JA, Kohnke SN, Neves-Costa A, Barros A, Joaquim S, Bennett D, Melvin A, Lockhart SM, Rostron AJ, Scott J, Liu H, Burling K, Barker P, Clatworthy MR, Lee E-C, Simpson AJ, Yeo GSH, Moita LF, Bence KK, Jørgensen SB, Coll AP, Breen DM, O’Rahilly S. Activation of the hypothalamic–pituitary–adrenal axis by exogenous and endogenous GDF15. </w:t>
      </w:r>
      <w:r w:rsidRPr="000C680E">
        <w:rPr>
          <w:rFonts w:ascii="Calibri" w:hAnsi="Calibri" w:cs="Calibri"/>
          <w:i/>
          <w:iCs/>
        </w:rPr>
        <w:t>Proceedings of the National Academy of Sciences</w:t>
      </w:r>
      <w:r w:rsidRPr="000C680E">
        <w:rPr>
          <w:rFonts w:ascii="Calibri" w:hAnsi="Calibri" w:cs="Calibri"/>
        </w:rPr>
        <w:t xml:space="preserve"> 2021;118(27):e2106868118.</w:t>
      </w:r>
    </w:p>
    <w:p w14:paraId="66DC4B9D" w14:textId="77777777" w:rsidR="000C680E" w:rsidRPr="000C680E" w:rsidRDefault="000C680E" w:rsidP="000C680E">
      <w:pPr>
        <w:pStyle w:val="Bibliography"/>
        <w:rPr>
          <w:rFonts w:ascii="Calibri" w:hAnsi="Calibri" w:cs="Calibri"/>
        </w:rPr>
      </w:pPr>
      <w:r w:rsidRPr="000C680E">
        <w:rPr>
          <w:rFonts w:ascii="Calibri" w:hAnsi="Calibri" w:cs="Calibri"/>
        </w:rPr>
        <w:t xml:space="preserve">8. </w:t>
      </w:r>
      <w:r w:rsidRPr="000C680E">
        <w:rPr>
          <w:rFonts w:ascii="Calibri" w:hAnsi="Calibri" w:cs="Calibri"/>
        </w:rPr>
        <w:tab/>
        <w:t xml:space="preserve">Andersson-Hall U, Joelsson L, Svedin P, Mallard C, Holmäng A. Growth-differentiation-factor 15 levels in obese and healthy pregnancies: Relation to insulin resistance and insulin secretory function. </w:t>
      </w:r>
      <w:r w:rsidRPr="000C680E">
        <w:rPr>
          <w:rFonts w:ascii="Calibri" w:hAnsi="Calibri" w:cs="Calibri"/>
          <w:i/>
          <w:iCs/>
        </w:rPr>
        <w:t>Clinical Endocrinology</w:t>
      </w:r>
      <w:r w:rsidRPr="000C680E">
        <w:rPr>
          <w:rFonts w:ascii="Calibri" w:hAnsi="Calibri" w:cs="Calibri"/>
        </w:rPr>
        <w:t xml:space="preserve"> 2021;95(1):92–100.</w:t>
      </w:r>
    </w:p>
    <w:p w14:paraId="2C4DAEDD" w14:textId="77777777" w:rsidR="000C680E" w:rsidRPr="000C680E" w:rsidRDefault="000C680E" w:rsidP="000C680E">
      <w:pPr>
        <w:pStyle w:val="Bibliography"/>
        <w:rPr>
          <w:rFonts w:ascii="Calibri" w:hAnsi="Calibri" w:cs="Calibri"/>
        </w:rPr>
      </w:pPr>
      <w:r w:rsidRPr="000C680E">
        <w:rPr>
          <w:rFonts w:ascii="Calibri" w:hAnsi="Calibri" w:cs="Calibri"/>
        </w:rPr>
        <w:lastRenderedPageBreak/>
        <w:t xml:space="preserve">9. </w:t>
      </w:r>
      <w:r w:rsidRPr="000C680E">
        <w:rPr>
          <w:rFonts w:ascii="Calibri" w:hAnsi="Calibri" w:cs="Calibri"/>
        </w:rPr>
        <w:tab/>
        <w:t xml:space="preserve">Chen Q, Wang Y, Zhao M, Hyett J, da Silva Costa F, Nie G. Serum levels of GDF15 are reduced in preeclampsia and the reduction is more profound in late-onset than early-onset cases. </w:t>
      </w:r>
      <w:r w:rsidRPr="000C680E">
        <w:rPr>
          <w:rFonts w:ascii="Calibri" w:hAnsi="Calibri" w:cs="Calibri"/>
          <w:i/>
          <w:iCs/>
        </w:rPr>
        <w:t>Cytokine</w:t>
      </w:r>
      <w:r w:rsidRPr="000C680E">
        <w:rPr>
          <w:rFonts w:ascii="Calibri" w:hAnsi="Calibri" w:cs="Calibri"/>
        </w:rPr>
        <w:t xml:space="preserve"> 2016;83:226–230.</w:t>
      </w:r>
    </w:p>
    <w:p w14:paraId="3B3A0C2F" w14:textId="77777777" w:rsidR="000C680E" w:rsidRPr="000C680E" w:rsidRDefault="000C680E" w:rsidP="000C680E">
      <w:pPr>
        <w:pStyle w:val="Bibliography"/>
        <w:rPr>
          <w:rFonts w:ascii="Calibri" w:hAnsi="Calibri" w:cs="Calibri"/>
        </w:rPr>
      </w:pPr>
      <w:r w:rsidRPr="000C680E">
        <w:rPr>
          <w:rFonts w:ascii="Calibri" w:hAnsi="Calibri" w:cs="Calibri"/>
        </w:rPr>
        <w:t xml:space="preserve">10. </w:t>
      </w:r>
      <w:r w:rsidRPr="000C680E">
        <w:rPr>
          <w:rFonts w:ascii="Calibri" w:hAnsi="Calibri" w:cs="Calibri"/>
        </w:rPr>
        <w:tab/>
        <w:t xml:space="preserve">Marjono AB, Brown DA, Horton KE, Wallace EM, Breit SN, Manuelpillai U. Macrophage Inhibitory Cytokine-1 in Gestational Tissues and Maternal Serum in Normal and Pre-eclamptic Pregnancy. </w:t>
      </w:r>
      <w:r w:rsidRPr="000C680E">
        <w:rPr>
          <w:rFonts w:ascii="Calibri" w:hAnsi="Calibri" w:cs="Calibri"/>
          <w:i/>
          <w:iCs/>
        </w:rPr>
        <w:t>Placenta</w:t>
      </w:r>
      <w:r w:rsidRPr="000C680E">
        <w:rPr>
          <w:rFonts w:ascii="Calibri" w:hAnsi="Calibri" w:cs="Calibri"/>
        </w:rPr>
        <w:t xml:space="preserve"> 2003;24(1):100–106.</w:t>
      </w:r>
    </w:p>
    <w:p w14:paraId="3CF22DE2" w14:textId="77777777" w:rsidR="000C680E" w:rsidRPr="000C680E" w:rsidRDefault="000C680E" w:rsidP="000C680E">
      <w:pPr>
        <w:pStyle w:val="Bibliography"/>
        <w:rPr>
          <w:rFonts w:ascii="Calibri" w:hAnsi="Calibri" w:cs="Calibri"/>
        </w:rPr>
      </w:pPr>
      <w:r w:rsidRPr="000C680E">
        <w:rPr>
          <w:rFonts w:ascii="Calibri" w:hAnsi="Calibri" w:cs="Calibri"/>
        </w:rPr>
        <w:t xml:space="preserve">11. </w:t>
      </w:r>
      <w:r w:rsidRPr="000C680E">
        <w:rPr>
          <w:rFonts w:ascii="Calibri" w:hAnsi="Calibri" w:cs="Calibri"/>
        </w:rPr>
        <w:tab/>
        <w:t xml:space="preserve">Sugulle M, Dechend R, Herse F, Weedon-Fekjaer MS, Johnsen GM, Brosnihan KB, Anton L, Luft FC, Wollert KC, Kempf T, Staff AC. Circulating and Placental Growth-Differentiation Factor 15 in Preeclampsia and in Pregnancy Complicated by Diabetes Mellitus. </w:t>
      </w:r>
      <w:r w:rsidRPr="000C680E">
        <w:rPr>
          <w:rFonts w:ascii="Calibri" w:hAnsi="Calibri" w:cs="Calibri"/>
          <w:i/>
          <w:iCs/>
        </w:rPr>
        <w:t>Hypertension</w:t>
      </w:r>
      <w:r w:rsidRPr="000C680E">
        <w:rPr>
          <w:rFonts w:ascii="Calibri" w:hAnsi="Calibri" w:cs="Calibri"/>
        </w:rPr>
        <w:t xml:space="preserve"> 2009;54(1):106–112.</w:t>
      </w:r>
    </w:p>
    <w:p w14:paraId="31D70388" w14:textId="77777777" w:rsidR="000C680E" w:rsidRPr="000C680E" w:rsidRDefault="000C680E" w:rsidP="000C680E">
      <w:pPr>
        <w:pStyle w:val="Bibliography"/>
        <w:rPr>
          <w:rFonts w:ascii="Calibri" w:hAnsi="Calibri" w:cs="Calibri"/>
        </w:rPr>
      </w:pPr>
      <w:r w:rsidRPr="000C680E">
        <w:rPr>
          <w:rFonts w:ascii="Calibri" w:hAnsi="Calibri" w:cs="Calibri"/>
        </w:rPr>
        <w:t xml:space="preserve">12. </w:t>
      </w:r>
      <w:r w:rsidRPr="000C680E">
        <w:rPr>
          <w:rFonts w:ascii="Calibri" w:hAnsi="Calibri" w:cs="Calibri"/>
        </w:rPr>
        <w:tab/>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Alice Chen Y, Tian H, Allan BB. Non-homeostatic body weight regulation through a brainstem-restricted receptor for GDF15. </w:t>
      </w:r>
      <w:r w:rsidRPr="000C680E">
        <w:rPr>
          <w:rFonts w:ascii="Calibri" w:hAnsi="Calibri" w:cs="Calibri"/>
          <w:i/>
          <w:iCs/>
        </w:rPr>
        <w:t>Nature</w:t>
      </w:r>
      <w:r w:rsidRPr="000C680E">
        <w:rPr>
          <w:rFonts w:ascii="Calibri" w:hAnsi="Calibri" w:cs="Calibri"/>
        </w:rPr>
        <w:t xml:space="preserve"> 2017;550(7675):255–259.</w:t>
      </w:r>
    </w:p>
    <w:p w14:paraId="20AF3660" w14:textId="77777777" w:rsidR="000C680E" w:rsidRPr="000C680E" w:rsidRDefault="000C680E" w:rsidP="000C680E">
      <w:pPr>
        <w:pStyle w:val="Bibliography"/>
        <w:rPr>
          <w:rFonts w:ascii="Calibri" w:hAnsi="Calibri" w:cs="Calibri"/>
        </w:rPr>
      </w:pPr>
      <w:r w:rsidRPr="000C680E">
        <w:rPr>
          <w:rFonts w:ascii="Calibri" w:hAnsi="Calibri" w:cs="Calibri"/>
        </w:rPr>
        <w:t xml:space="preserve">13. </w:t>
      </w:r>
      <w:r w:rsidRPr="000C680E">
        <w:rPr>
          <w:rFonts w:ascii="Calibri" w:hAnsi="Calibri" w:cs="Calibri"/>
        </w:rPr>
        <w:tab/>
        <w:t xml:space="preserve">Tsai VW-W, Zhang HP, Manandhar R, Schofield P, Christ D, Lee-Ng KKM, Lebhar H, Marquis CP, Husaini Y, Brown DA, Breit SN. GDF15 mediates adiposity resistance through actions on GFRAL neurons in the hindbrain AP/NTS. </w:t>
      </w:r>
      <w:r w:rsidRPr="000C680E">
        <w:rPr>
          <w:rFonts w:ascii="Calibri" w:hAnsi="Calibri" w:cs="Calibri"/>
          <w:i/>
          <w:iCs/>
        </w:rPr>
        <w:t>Int J Obes</w:t>
      </w:r>
      <w:r w:rsidRPr="000C680E">
        <w:rPr>
          <w:rFonts w:ascii="Calibri" w:hAnsi="Calibri" w:cs="Calibri"/>
        </w:rPr>
        <w:t xml:space="preserve"> 2019;43(12):2370–2380.</w:t>
      </w:r>
    </w:p>
    <w:p w14:paraId="7CC5BCAA" w14:textId="77777777" w:rsidR="000C680E" w:rsidRPr="000C680E" w:rsidRDefault="000C680E" w:rsidP="000C680E">
      <w:pPr>
        <w:pStyle w:val="Bibliography"/>
        <w:rPr>
          <w:rFonts w:ascii="Calibri" w:hAnsi="Calibri" w:cs="Calibri"/>
        </w:rPr>
      </w:pPr>
      <w:r w:rsidRPr="000C680E">
        <w:rPr>
          <w:rFonts w:ascii="Calibri" w:hAnsi="Calibri" w:cs="Calibri"/>
        </w:rPr>
        <w:t xml:space="preserve">14. </w:t>
      </w:r>
      <w:r w:rsidRPr="000C680E">
        <w:rPr>
          <w:rFonts w:ascii="Calibri" w:hAnsi="Calibri" w:cs="Calibri"/>
        </w:rPr>
        <w:tab/>
        <w:t xml:space="preserve">Borner T, Shaulson ED, Ghidewon MY, Barnett AB, Horn CC, Doyle RP, Grill HJ, Hayes MR, De Jonghe BC. GDF15 Induces Anorexia through Nausea and Emesis. </w:t>
      </w:r>
      <w:r w:rsidRPr="000C680E">
        <w:rPr>
          <w:rFonts w:ascii="Calibri" w:hAnsi="Calibri" w:cs="Calibri"/>
          <w:i/>
          <w:iCs/>
        </w:rPr>
        <w:t>Cell Metab</w:t>
      </w:r>
      <w:r w:rsidRPr="000C680E">
        <w:rPr>
          <w:rFonts w:ascii="Calibri" w:hAnsi="Calibri" w:cs="Calibri"/>
        </w:rPr>
        <w:t xml:space="preserve"> 2020;31(2):351-362.e5.</w:t>
      </w:r>
    </w:p>
    <w:p w14:paraId="48E3C403" w14:textId="77777777" w:rsidR="000C680E" w:rsidRPr="000C680E" w:rsidRDefault="000C680E" w:rsidP="000C680E">
      <w:pPr>
        <w:pStyle w:val="Bibliography"/>
        <w:rPr>
          <w:rFonts w:ascii="Calibri" w:hAnsi="Calibri" w:cs="Calibri"/>
        </w:rPr>
      </w:pPr>
      <w:r w:rsidRPr="000C680E">
        <w:rPr>
          <w:rFonts w:ascii="Calibri" w:hAnsi="Calibri" w:cs="Calibri"/>
        </w:rPr>
        <w:t xml:space="preserve">15. </w:t>
      </w:r>
      <w:r w:rsidRPr="000C680E">
        <w:rPr>
          <w:rFonts w:ascii="Calibri" w:hAnsi="Calibri" w:cs="Calibri"/>
        </w:rPr>
        <w:tab/>
        <w:t xml:space="preserve">Sjøberg KA, Sigvardsen CM, Alvarado-Diaz A, Andersen NR, Larance M, Seeley RJ, Schjerling P, Knudsen JG, Katzilieris-Petras G, Clemmensen C, Jørgensen SB, Bock KD, Richter EA. GDF15 increases insulin action in the liver and adipose tissue via a β-adrenergic receptor-mediated mechanism. </w:t>
      </w:r>
      <w:r w:rsidRPr="000C680E">
        <w:rPr>
          <w:rFonts w:ascii="Calibri" w:hAnsi="Calibri" w:cs="Calibri"/>
          <w:i/>
          <w:iCs/>
        </w:rPr>
        <w:t>Cell Metabolism</w:t>
      </w:r>
      <w:r w:rsidRPr="000C680E">
        <w:rPr>
          <w:rFonts w:ascii="Calibri" w:hAnsi="Calibri" w:cs="Calibri"/>
        </w:rPr>
        <w:t xml:space="preserve"> 2023;35(8):1327-1340.e5.</w:t>
      </w:r>
    </w:p>
    <w:p w14:paraId="64E38379" w14:textId="77777777" w:rsidR="000C680E" w:rsidRPr="000C680E" w:rsidRDefault="000C680E" w:rsidP="000C680E">
      <w:pPr>
        <w:pStyle w:val="Bibliography"/>
        <w:rPr>
          <w:rFonts w:ascii="Calibri" w:hAnsi="Calibri" w:cs="Calibri"/>
        </w:rPr>
      </w:pPr>
      <w:r w:rsidRPr="000C680E">
        <w:rPr>
          <w:rFonts w:ascii="Calibri" w:hAnsi="Calibri" w:cs="Calibri"/>
        </w:rPr>
        <w:t xml:space="preserve">16. </w:t>
      </w:r>
      <w:r w:rsidRPr="000C680E">
        <w:rPr>
          <w:rFonts w:ascii="Calibri" w:hAnsi="Calibri" w:cs="Calibri"/>
        </w:rPr>
        <w:tab/>
        <w:t xml:space="preserve">Tran T, Yang J, Gardner J, Xiong Y. GDF15 deficiency promotes high fat diet-induced obesity in mice. </w:t>
      </w:r>
      <w:r w:rsidRPr="000C680E">
        <w:rPr>
          <w:rFonts w:ascii="Calibri" w:hAnsi="Calibri" w:cs="Calibri"/>
          <w:i/>
          <w:iCs/>
        </w:rPr>
        <w:t>PLoS One</w:t>
      </w:r>
      <w:r w:rsidRPr="000C680E">
        <w:rPr>
          <w:rFonts w:ascii="Calibri" w:hAnsi="Calibri" w:cs="Calibri"/>
        </w:rPr>
        <w:t xml:space="preserve"> 2018;13(8):e0201584.</w:t>
      </w:r>
    </w:p>
    <w:p w14:paraId="0737B7BD" w14:textId="77777777" w:rsidR="000C680E" w:rsidRPr="000C680E" w:rsidRDefault="000C680E" w:rsidP="000C680E">
      <w:pPr>
        <w:pStyle w:val="Bibliography"/>
        <w:rPr>
          <w:rFonts w:ascii="Calibri" w:hAnsi="Calibri" w:cs="Calibri"/>
        </w:rPr>
      </w:pPr>
      <w:r w:rsidRPr="000C680E">
        <w:rPr>
          <w:rFonts w:ascii="Calibri" w:hAnsi="Calibri" w:cs="Calibri"/>
        </w:rPr>
        <w:t xml:space="preserve">17. </w:t>
      </w:r>
      <w:r w:rsidRPr="000C680E">
        <w:rPr>
          <w:rFonts w:ascii="Calibri" w:hAnsi="Calibri" w:cs="Calibri"/>
        </w:rPr>
        <w:tab/>
        <w:t xml:space="preserve">Mullican SE, Lin-Schmidt X, Chin C-N, Chavez JA, Furman JL, Armstrong AA, Beck SC, South VJ, Dinh TQ, Cash-Mason TD, Cavanaugh CR, Nelson S, Huang C, Hunter MJ, Rangwala SM. GFRAL is the receptor for GDF15 and the ligand promotes weight loss in mice and nonhuman primates. </w:t>
      </w:r>
      <w:r w:rsidRPr="000C680E">
        <w:rPr>
          <w:rFonts w:ascii="Calibri" w:hAnsi="Calibri" w:cs="Calibri"/>
          <w:i/>
          <w:iCs/>
        </w:rPr>
        <w:t>Nat Med</w:t>
      </w:r>
      <w:r w:rsidRPr="000C680E">
        <w:rPr>
          <w:rFonts w:ascii="Calibri" w:hAnsi="Calibri" w:cs="Calibri"/>
        </w:rPr>
        <w:t xml:space="preserve"> 2017;23(10):1150–1157.</w:t>
      </w:r>
    </w:p>
    <w:p w14:paraId="7F908E05" w14:textId="77777777" w:rsidR="000C680E" w:rsidRPr="000C680E" w:rsidRDefault="000C680E" w:rsidP="000C680E">
      <w:pPr>
        <w:pStyle w:val="Bibliography"/>
        <w:rPr>
          <w:rFonts w:ascii="Calibri" w:hAnsi="Calibri" w:cs="Calibri"/>
        </w:rPr>
      </w:pPr>
      <w:r w:rsidRPr="000C680E">
        <w:rPr>
          <w:rFonts w:ascii="Calibri" w:hAnsi="Calibri" w:cs="Calibri"/>
        </w:rPr>
        <w:t xml:space="preserve">18. </w:t>
      </w:r>
      <w:r w:rsidRPr="000C680E">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w:t>
      </w:r>
      <w:r w:rsidRPr="000C680E">
        <w:rPr>
          <w:rFonts w:ascii="Calibri" w:hAnsi="Calibri" w:cs="Calibri"/>
        </w:rPr>
        <w:lastRenderedPageBreak/>
        <w:t xml:space="preserve">receptor for GDF15 and is required for the anti-obesity effects of the ligand. </w:t>
      </w:r>
      <w:r w:rsidRPr="000C680E">
        <w:rPr>
          <w:rFonts w:ascii="Calibri" w:hAnsi="Calibri" w:cs="Calibri"/>
          <w:i/>
          <w:iCs/>
        </w:rPr>
        <w:t>Nat Med</w:t>
      </w:r>
      <w:r w:rsidRPr="000C680E">
        <w:rPr>
          <w:rFonts w:ascii="Calibri" w:hAnsi="Calibri" w:cs="Calibri"/>
        </w:rPr>
        <w:t xml:space="preserve"> 2017;23(10):1158–1166.</w:t>
      </w:r>
    </w:p>
    <w:p w14:paraId="67A55724" w14:textId="77777777" w:rsidR="000C680E" w:rsidRPr="000C680E" w:rsidRDefault="000C680E" w:rsidP="000C680E">
      <w:pPr>
        <w:pStyle w:val="Bibliography"/>
        <w:rPr>
          <w:rFonts w:ascii="Calibri" w:hAnsi="Calibri" w:cs="Calibri"/>
        </w:rPr>
      </w:pPr>
      <w:r w:rsidRPr="000C680E">
        <w:rPr>
          <w:rFonts w:ascii="Calibri" w:hAnsi="Calibri" w:cs="Calibri"/>
        </w:rPr>
        <w:t xml:space="preserve">19. </w:t>
      </w:r>
      <w:r w:rsidRPr="000C680E">
        <w:rPr>
          <w:rFonts w:ascii="Calibri" w:hAnsi="Calibri" w:cs="Calibri"/>
        </w:rPr>
        <w:tab/>
        <w:t xml:space="preserve">Frikke-Schmidt H, Hultman K, Galaske JW, Jørgensen SB, Myers MG, Seeley RJ. GDF15 acts synergistically with liraglutide but is not necessary for the weight loss induced by bariatric surgery in mice. </w:t>
      </w:r>
      <w:r w:rsidRPr="000C680E">
        <w:rPr>
          <w:rFonts w:ascii="Calibri" w:hAnsi="Calibri" w:cs="Calibri"/>
          <w:i/>
          <w:iCs/>
        </w:rPr>
        <w:t>Mol Metab</w:t>
      </w:r>
      <w:r w:rsidRPr="000C680E">
        <w:rPr>
          <w:rFonts w:ascii="Calibri" w:hAnsi="Calibri" w:cs="Calibri"/>
        </w:rPr>
        <w:t xml:space="preserve"> 2019;21:13–21.</w:t>
      </w:r>
    </w:p>
    <w:p w14:paraId="4D0CEDB3" w14:textId="77777777" w:rsidR="000C680E" w:rsidRPr="000C680E" w:rsidRDefault="000C680E" w:rsidP="000C680E">
      <w:pPr>
        <w:pStyle w:val="Bibliography"/>
        <w:rPr>
          <w:rFonts w:ascii="Calibri" w:hAnsi="Calibri" w:cs="Calibri"/>
        </w:rPr>
      </w:pPr>
      <w:r w:rsidRPr="000C680E">
        <w:rPr>
          <w:rFonts w:ascii="Calibri" w:hAnsi="Calibri" w:cs="Calibri"/>
        </w:rPr>
        <w:t xml:space="preserve">20. </w:t>
      </w:r>
      <w:r w:rsidRPr="000C680E">
        <w:rPr>
          <w:rFonts w:ascii="Calibri" w:hAnsi="Calibri" w:cs="Calibri"/>
        </w:rPr>
        <w:tab/>
        <w:t xml:space="preserve">Emmerson PJ, Wang F, Du Y, Liu Q, Pickard RT, Gonciarz MD, Coskun T, Hamang MJ, Sindelar DK, Ballman KK, Foltz LA, Muppidi A, Alsina-Fernandez J, Barnard GC, Tang JX, Liu X, Mao X, Siegel R, Sloan JH, Mitchell PJ, Zhang BB, Gimeno RE, Shan B, Wu X. The metabolic effects of GDF15 are mediated by the orphan receptor GFRAL. </w:t>
      </w:r>
      <w:r w:rsidRPr="000C680E">
        <w:rPr>
          <w:rFonts w:ascii="Calibri" w:hAnsi="Calibri" w:cs="Calibri"/>
          <w:i/>
          <w:iCs/>
        </w:rPr>
        <w:t>Nat Med</w:t>
      </w:r>
      <w:r w:rsidRPr="000C680E">
        <w:rPr>
          <w:rFonts w:ascii="Calibri" w:hAnsi="Calibri" w:cs="Calibri"/>
        </w:rPr>
        <w:t xml:space="preserve"> 2017;23(10):1215–1219.</w:t>
      </w:r>
    </w:p>
    <w:p w14:paraId="0407BBE8" w14:textId="77777777" w:rsidR="000C680E" w:rsidRPr="000C680E" w:rsidRDefault="000C680E" w:rsidP="000C680E">
      <w:pPr>
        <w:pStyle w:val="Bibliography"/>
        <w:rPr>
          <w:rFonts w:ascii="Calibri" w:hAnsi="Calibri" w:cs="Calibri"/>
        </w:rPr>
      </w:pPr>
      <w:r w:rsidRPr="000C680E">
        <w:rPr>
          <w:rFonts w:ascii="Calibri" w:hAnsi="Calibri" w:cs="Calibri"/>
        </w:rPr>
        <w:t xml:space="preserve">21. </w:t>
      </w:r>
      <w:r w:rsidRPr="000C680E">
        <w:rPr>
          <w:rFonts w:ascii="Calibri" w:hAnsi="Calibri" w:cs="Calibri"/>
        </w:rPr>
        <w:tab/>
        <w:t xml:space="preserve">Moore AG, Brown DA, Fairlie WD, Bauskin AR, Brown PK, Munier ML, Russell PK, Salamonsen LA, Wallace EM, Breit SN. The transforming growth factor-ss superfamily cytokine macrophage inhibitory cytokine-1 is present in high concentrations in the serum of pregnant women. </w:t>
      </w:r>
      <w:r w:rsidRPr="000C680E">
        <w:rPr>
          <w:rFonts w:ascii="Calibri" w:hAnsi="Calibri" w:cs="Calibri"/>
          <w:i/>
          <w:iCs/>
        </w:rPr>
        <w:t>J Clin Endocrinol Metab</w:t>
      </w:r>
      <w:r w:rsidRPr="000C680E">
        <w:rPr>
          <w:rFonts w:ascii="Calibri" w:hAnsi="Calibri" w:cs="Calibri"/>
        </w:rPr>
        <w:t xml:space="preserve"> 2000;85(12):4781–4788.</w:t>
      </w:r>
    </w:p>
    <w:p w14:paraId="37C05885" w14:textId="77777777" w:rsidR="000C680E" w:rsidRPr="000C680E" w:rsidRDefault="000C680E" w:rsidP="000C680E">
      <w:pPr>
        <w:pStyle w:val="Bibliography"/>
        <w:rPr>
          <w:rFonts w:ascii="Calibri" w:hAnsi="Calibri" w:cs="Calibri"/>
        </w:rPr>
      </w:pPr>
      <w:r w:rsidRPr="000C680E">
        <w:rPr>
          <w:rFonts w:ascii="Calibri" w:hAnsi="Calibri" w:cs="Calibri"/>
        </w:rPr>
        <w:t xml:space="preserve">22. </w:t>
      </w:r>
      <w:r w:rsidRPr="000C680E">
        <w:rPr>
          <w:rFonts w:ascii="Calibri" w:hAnsi="Calibri" w:cs="Calibri"/>
        </w:rPr>
        <w:tab/>
        <w:t xml:space="preserve">Fejzo M, Rocha N, Cimino I, Lockhart SM, Petry CJ, Kay RG, Burling K, Barker P, George AL, Yasara N, Premawardhena A, Gong S, Cook E, Rimmington D, Rainbow K, Withers DJ, Cortessis V, Mullin PM, MacGibbon KW, Jin E, Kam A, Campbell A, Polasek O, Tzoneva G, Gribble FM, Yeo GSH, Lam BYH, Saudek V, Hughes IA, Ong KK, Perry JRB, Sutton Cole A, Baumgarten M, Welsh P, Sattar N, Smith GCS, Charnock-Jones DS, Coll AP, Meek CL, Mettananda S, Hayward C, Mancuso N, O’Rahilly S. GDF15 linked to maternal risk of nausea and vomiting during pregnancy. </w:t>
      </w:r>
      <w:r w:rsidRPr="000C680E">
        <w:rPr>
          <w:rFonts w:ascii="Calibri" w:hAnsi="Calibri" w:cs="Calibri"/>
          <w:i/>
          <w:iCs/>
        </w:rPr>
        <w:t>Nature</w:t>
      </w:r>
      <w:r w:rsidRPr="000C680E">
        <w:rPr>
          <w:rFonts w:ascii="Calibri" w:hAnsi="Calibri" w:cs="Calibri"/>
        </w:rPr>
        <w:t xml:space="preserve"> 2023:1–8.</w:t>
      </w:r>
    </w:p>
    <w:p w14:paraId="6910CAB8" w14:textId="77777777" w:rsidR="000C680E" w:rsidRPr="000C680E" w:rsidRDefault="000C680E" w:rsidP="000C680E">
      <w:pPr>
        <w:pStyle w:val="Bibliography"/>
        <w:rPr>
          <w:rFonts w:ascii="Calibri" w:hAnsi="Calibri" w:cs="Calibri"/>
        </w:rPr>
      </w:pPr>
      <w:r w:rsidRPr="000C680E">
        <w:rPr>
          <w:rFonts w:ascii="Calibri" w:hAnsi="Calibri" w:cs="Calibri"/>
        </w:rPr>
        <w:t xml:space="preserve">23. </w:t>
      </w:r>
      <w:r w:rsidRPr="000C680E">
        <w:rPr>
          <w:rFonts w:ascii="Calibri" w:hAnsi="Calibri" w:cs="Calibri"/>
        </w:rPr>
        <w:tab/>
        <w:t xml:space="preserve">Tong S, Marjono B, Brown DA, Mulvey S, Breit SN, Manuelpillai U, Wallace EM. Serum concentrations of macrophage inhibitory cytokine 1 (MIC 1) as a predictor of miscarriage. </w:t>
      </w:r>
      <w:r w:rsidRPr="000C680E">
        <w:rPr>
          <w:rFonts w:ascii="Calibri" w:hAnsi="Calibri" w:cs="Calibri"/>
          <w:i/>
          <w:iCs/>
        </w:rPr>
        <w:t>The Lancet</w:t>
      </w:r>
      <w:r w:rsidRPr="000C680E">
        <w:rPr>
          <w:rFonts w:ascii="Calibri" w:hAnsi="Calibri" w:cs="Calibri"/>
        </w:rPr>
        <w:t xml:space="preserve"> 2004;363(9403):129–130.</w:t>
      </w:r>
    </w:p>
    <w:p w14:paraId="443DDDF8" w14:textId="77777777" w:rsidR="000C680E" w:rsidRPr="000C680E" w:rsidRDefault="000C680E" w:rsidP="000C680E">
      <w:pPr>
        <w:pStyle w:val="Bibliography"/>
        <w:rPr>
          <w:rFonts w:ascii="Calibri" w:hAnsi="Calibri" w:cs="Calibri"/>
        </w:rPr>
      </w:pPr>
      <w:r w:rsidRPr="000C680E">
        <w:rPr>
          <w:rFonts w:ascii="Calibri" w:hAnsi="Calibri" w:cs="Calibri"/>
        </w:rPr>
        <w:t xml:space="preserve">24. </w:t>
      </w:r>
      <w:r w:rsidRPr="000C680E">
        <w:rPr>
          <w:rFonts w:ascii="Calibri" w:hAnsi="Calibri" w:cs="Calibri"/>
        </w:rPr>
        <w:tab/>
        <w:t xml:space="preserve">Petry CJ, Ong KK, Burling KA, Barker P, Goodburn SF, Perry JRB, Acerini CL, Hughes IA, Painter RC, Afink GB, Dunger DB, O’Rahilly S. Associations of vomiting and antiemetic use in pregnancy with levels of circulating GDF15 early in the second trimester: A nested case-control study. </w:t>
      </w:r>
      <w:r w:rsidRPr="000C680E">
        <w:rPr>
          <w:rFonts w:ascii="Calibri" w:hAnsi="Calibri" w:cs="Calibri"/>
          <w:i/>
          <w:iCs/>
        </w:rPr>
        <w:t>Wellcome Open Res</w:t>
      </w:r>
      <w:r w:rsidRPr="000C680E">
        <w:rPr>
          <w:rFonts w:ascii="Calibri" w:hAnsi="Calibri" w:cs="Calibri"/>
        </w:rPr>
        <w:t xml:space="preserve"> 2018;3:123.</w:t>
      </w:r>
    </w:p>
    <w:p w14:paraId="147946DE" w14:textId="77777777" w:rsidR="000C680E" w:rsidRPr="000C680E" w:rsidRDefault="000C680E" w:rsidP="000C680E">
      <w:pPr>
        <w:pStyle w:val="Bibliography"/>
        <w:rPr>
          <w:rFonts w:ascii="Calibri" w:hAnsi="Calibri" w:cs="Calibri"/>
        </w:rPr>
      </w:pPr>
      <w:r w:rsidRPr="000C680E">
        <w:rPr>
          <w:rFonts w:ascii="Calibri" w:hAnsi="Calibri" w:cs="Calibri"/>
        </w:rPr>
        <w:t xml:space="preserve">25. </w:t>
      </w:r>
      <w:r w:rsidRPr="000C680E">
        <w:rPr>
          <w:rFonts w:ascii="Calibri" w:hAnsi="Calibri" w:cs="Calibri"/>
        </w:rPr>
        <w:tab/>
        <w:t xml:space="preserve">Wang L, Yang Q. Circulating Growth Differentiation Factor 15 and Preeclampsia: A Meta-Analysis. </w:t>
      </w:r>
      <w:r w:rsidRPr="000C680E">
        <w:rPr>
          <w:rFonts w:ascii="Calibri" w:hAnsi="Calibri" w:cs="Calibri"/>
          <w:i/>
          <w:iCs/>
        </w:rPr>
        <w:t>Horm Metab Res</w:t>
      </w:r>
      <w:r w:rsidRPr="000C680E">
        <w:rPr>
          <w:rFonts w:ascii="Calibri" w:hAnsi="Calibri" w:cs="Calibri"/>
        </w:rPr>
        <w:t xml:space="preserve"> 2022. doi:10.1055/a-1956-2961.</w:t>
      </w:r>
    </w:p>
    <w:p w14:paraId="0BA068FA" w14:textId="77777777" w:rsidR="000C680E" w:rsidRPr="000C680E" w:rsidRDefault="000C680E" w:rsidP="000C680E">
      <w:pPr>
        <w:pStyle w:val="Bibliography"/>
        <w:rPr>
          <w:rFonts w:ascii="Calibri" w:hAnsi="Calibri" w:cs="Calibri"/>
        </w:rPr>
      </w:pPr>
      <w:r w:rsidRPr="000C680E">
        <w:rPr>
          <w:rFonts w:ascii="Calibri" w:hAnsi="Calibri" w:cs="Calibri"/>
        </w:rPr>
        <w:t xml:space="preserve">26. </w:t>
      </w:r>
      <w:r w:rsidRPr="000C680E">
        <w:rPr>
          <w:rFonts w:ascii="Calibri" w:hAnsi="Calibri" w:cs="Calibri"/>
        </w:rPr>
        <w:tab/>
        <w:t xml:space="preserve">Yakut K, Öcal DF, Öztürk FH, Öztürk M, Oğuz Y, Sınacı S, Çağlar T. Is GDF-15 level associated with gestational diabetes mellitus and adverse perinatal outcomes? </w:t>
      </w:r>
      <w:r w:rsidRPr="000C680E">
        <w:rPr>
          <w:rFonts w:ascii="Calibri" w:hAnsi="Calibri" w:cs="Calibri"/>
          <w:i/>
          <w:iCs/>
        </w:rPr>
        <w:t>Taiwanese Journal of Obstetrics and Gynecology</w:t>
      </w:r>
      <w:r w:rsidRPr="000C680E">
        <w:rPr>
          <w:rFonts w:ascii="Calibri" w:hAnsi="Calibri" w:cs="Calibri"/>
        </w:rPr>
        <w:t xml:space="preserve"> 2021;60(2):221–224.</w:t>
      </w:r>
    </w:p>
    <w:p w14:paraId="23E7E662" w14:textId="77777777" w:rsidR="000C680E" w:rsidRPr="000C680E" w:rsidRDefault="000C680E" w:rsidP="000C680E">
      <w:pPr>
        <w:pStyle w:val="Bibliography"/>
        <w:rPr>
          <w:rFonts w:ascii="Calibri" w:hAnsi="Calibri" w:cs="Calibri"/>
        </w:rPr>
      </w:pPr>
      <w:r w:rsidRPr="000C680E">
        <w:rPr>
          <w:rFonts w:ascii="Calibri" w:hAnsi="Calibri" w:cs="Calibri"/>
        </w:rPr>
        <w:t xml:space="preserve">27. </w:t>
      </w:r>
      <w:r w:rsidRPr="000C680E">
        <w:rPr>
          <w:rFonts w:ascii="Calibri" w:hAnsi="Calibri" w:cs="Calibri"/>
        </w:rPr>
        <w:tab/>
        <w:t xml:space="preserve">Jacobsen DP, Røysland R, Strand H, Moe K, Sugulle M, Omland T, Staff AC. Cardiovascular biomarkers in pregnancy with diabetes and associations to glucose control. </w:t>
      </w:r>
      <w:r w:rsidRPr="000C680E">
        <w:rPr>
          <w:rFonts w:ascii="Calibri" w:hAnsi="Calibri" w:cs="Calibri"/>
          <w:i/>
          <w:iCs/>
        </w:rPr>
        <w:t>Acta Diabetol</w:t>
      </w:r>
      <w:r w:rsidRPr="000C680E">
        <w:rPr>
          <w:rFonts w:ascii="Calibri" w:hAnsi="Calibri" w:cs="Calibri"/>
        </w:rPr>
        <w:t xml:space="preserve"> 2022;59(9):1229–1236.</w:t>
      </w:r>
    </w:p>
    <w:p w14:paraId="127E13D9" w14:textId="77777777" w:rsidR="000C680E" w:rsidRPr="000C680E" w:rsidRDefault="000C680E" w:rsidP="000C680E">
      <w:pPr>
        <w:pStyle w:val="Bibliography"/>
        <w:rPr>
          <w:rFonts w:ascii="Calibri" w:hAnsi="Calibri" w:cs="Calibri"/>
        </w:rPr>
      </w:pPr>
      <w:r w:rsidRPr="000C680E">
        <w:rPr>
          <w:rFonts w:ascii="Calibri" w:hAnsi="Calibri" w:cs="Calibri"/>
        </w:rPr>
        <w:lastRenderedPageBreak/>
        <w:t xml:space="preserve">28. </w:t>
      </w:r>
      <w:r w:rsidRPr="000C680E">
        <w:rPr>
          <w:rFonts w:ascii="Calibri" w:hAnsi="Calibri" w:cs="Calibri"/>
        </w:rPr>
        <w:tab/>
        <w:t xml:space="preserve">Fejzo MS, Sazonova OV, Sathirapongsasuti JF, Hallgrímsdóttir IB, Vacic V, MacGibbon KW, Schoenberg FP, Mancuso N, Slamon DJ, Mullin PM, Agee M, Alipanahi B, Auton A, Bell RK, Bryc K, Elson SL, Fontanillas P, Furlotte NA, Hinds DA, Hromatka BS, Huber KE, Kleinman A, Litterman NK, McIntyre MH, Mountain JL, Noblin ES, Northover CAM, Pitts SJ, Shelton JF, Shringarpure S, Tian C, Tung JY, Wilson CH. Placenta and appetite genes GDF15 and IGFBP7 are associated with hyperemesis gravidarum. </w:t>
      </w:r>
      <w:r w:rsidRPr="000C680E">
        <w:rPr>
          <w:rFonts w:ascii="Calibri" w:hAnsi="Calibri" w:cs="Calibri"/>
          <w:i/>
          <w:iCs/>
        </w:rPr>
        <w:t>Nature Communications; London</w:t>
      </w:r>
      <w:r w:rsidRPr="000C680E">
        <w:rPr>
          <w:rFonts w:ascii="Calibri" w:hAnsi="Calibri" w:cs="Calibri"/>
        </w:rPr>
        <w:t xml:space="preserve"> 2018;9:1–9.</w:t>
      </w:r>
    </w:p>
    <w:p w14:paraId="09CC21EF" w14:textId="77777777" w:rsidR="000C680E" w:rsidRPr="000C680E" w:rsidRDefault="000C680E" w:rsidP="000C680E">
      <w:pPr>
        <w:pStyle w:val="Bibliography"/>
        <w:rPr>
          <w:rFonts w:ascii="Calibri" w:hAnsi="Calibri" w:cs="Calibri"/>
        </w:rPr>
      </w:pPr>
      <w:r w:rsidRPr="000C680E">
        <w:rPr>
          <w:rFonts w:ascii="Calibri" w:hAnsi="Calibri" w:cs="Calibri"/>
        </w:rPr>
        <w:t xml:space="preserve">29. </w:t>
      </w:r>
      <w:r w:rsidRPr="000C680E">
        <w:rPr>
          <w:rFonts w:ascii="Calibri" w:hAnsi="Calibri" w:cs="Calibri"/>
        </w:rPr>
        <w:tab/>
        <w:t xml:space="preserve">Fejzo MS, Fasching PA, Schneider MO, Schwitulla J, Beckmann MW, Schwenke E, MacGibbon KW, Mullin PM. Analysis of GDF15 and IGFBP7 in Hyperemesis Gravidarum Support Causality. </w:t>
      </w:r>
      <w:r w:rsidRPr="000C680E">
        <w:rPr>
          <w:rFonts w:ascii="Calibri" w:hAnsi="Calibri" w:cs="Calibri"/>
          <w:i/>
          <w:iCs/>
        </w:rPr>
        <w:t>Geburtshilfe Frauenheilkd</w:t>
      </w:r>
      <w:r w:rsidRPr="000C680E">
        <w:rPr>
          <w:rFonts w:ascii="Calibri" w:hAnsi="Calibri" w:cs="Calibri"/>
        </w:rPr>
        <w:t xml:space="preserve"> 2019;79(4):382–388.</w:t>
      </w:r>
    </w:p>
    <w:p w14:paraId="773E86D7" w14:textId="77777777" w:rsidR="000C680E" w:rsidRPr="000C680E" w:rsidRDefault="000C680E" w:rsidP="000C680E">
      <w:pPr>
        <w:pStyle w:val="Bibliography"/>
        <w:rPr>
          <w:rFonts w:ascii="Calibri" w:hAnsi="Calibri" w:cs="Calibri"/>
        </w:rPr>
      </w:pPr>
      <w:r w:rsidRPr="000C680E">
        <w:rPr>
          <w:rFonts w:ascii="Calibri" w:hAnsi="Calibri" w:cs="Calibri"/>
        </w:rPr>
        <w:t xml:space="preserve">30. </w:t>
      </w:r>
      <w:r w:rsidRPr="000C680E">
        <w:rPr>
          <w:rFonts w:ascii="Calibri" w:hAnsi="Calibri" w:cs="Calibri"/>
        </w:rPr>
        <w:tab/>
        <w:t xml:space="preserve">Bridges D, Mulcahy MC, Redd JR. Insulin Tolerance Test. </w:t>
      </w:r>
      <w:r w:rsidRPr="000C680E">
        <w:rPr>
          <w:rFonts w:ascii="Calibri" w:hAnsi="Calibri" w:cs="Calibri"/>
          <w:i/>
          <w:iCs/>
        </w:rPr>
        <w:t>protocols.io</w:t>
      </w:r>
      <w:r w:rsidRPr="000C680E">
        <w:rPr>
          <w:rFonts w:ascii="Calibri" w:hAnsi="Calibri" w:cs="Calibri"/>
        </w:rPr>
        <w:t xml:space="preserve"> 2022. Available at: dx.doi.org/10.17504/protocols.io.b5zxq77n. Accessed May 16, 2022.</w:t>
      </w:r>
    </w:p>
    <w:p w14:paraId="34C7EF13" w14:textId="77777777" w:rsidR="000C680E" w:rsidRPr="000C680E" w:rsidRDefault="000C680E" w:rsidP="000C680E">
      <w:pPr>
        <w:pStyle w:val="Bibliography"/>
        <w:rPr>
          <w:rFonts w:ascii="Calibri" w:hAnsi="Calibri" w:cs="Calibri"/>
        </w:rPr>
      </w:pPr>
      <w:r w:rsidRPr="000C680E">
        <w:rPr>
          <w:rFonts w:ascii="Calibri" w:hAnsi="Calibri" w:cs="Calibri"/>
        </w:rPr>
        <w:t xml:space="preserve">31. </w:t>
      </w:r>
      <w:r w:rsidRPr="000C680E">
        <w:rPr>
          <w:rFonts w:ascii="Calibri" w:hAnsi="Calibri" w:cs="Calibri"/>
        </w:rPr>
        <w:tab/>
        <w:t xml:space="preserve">Boston WS, Bleck GT, Conroy JC, Wheeler MB, Miller DJ. Short Communication: Effects of Increased Expression of α-Lactalbumin In Transgenic Mice on Milk Yield and Pup Growth. </w:t>
      </w:r>
      <w:r w:rsidRPr="000C680E">
        <w:rPr>
          <w:rFonts w:ascii="Calibri" w:hAnsi="Calibri" w:cs="Calibri"/>
          <w:i/>
          <w:iCs/>
        </w:rPr>
        <w:t>Journal of Dairy Science</w:t>
      </w:r>
      <w:r w:rsidRPr="000C680E">
        <w:rPr>
          <w:rFonts w:ascii="Calibri" w:hAnsi="Calibri" w:cs="Calibri"/>
        </w:rPr>
        <w:t xml:space="preserve"> 2001;84(3):620–622.</w:t>
      </w:r>
    </w:p>
    <w:p w14:paraId="752B873D" w14:textId="77777777" w:rsidR="000C680E" w:rsidRPr="000C680E" w:rsidRDefault="000C680E" w:rsidP="000C680E">
      <w:pPr>
        <w:pStyle w:val="Bibliography"/>
        <w:rPr>
          <w:rFonts w:ascii="Calibri" w:hAnsi="Calibri" w:cs="Calibri"/>
        </w:rPr>
      </w:pPr>
      <w:r w:rsidRPr="000C680E">
        <w:rPr>
          <w:rFonts w:ascii="Calibri" w:hAnsi="Calibri" w:cs="Calibri"/>
        </w:rPr>
        <w:t xml:space="preserve">32. </w:t>
      </w:r>
      <w:r w:rsidRPr="000C680E">
        <w:rPr>
          <w:rFonts w:ascii="Calibri" w:hAnsi="Calibri" w:cs="Calibri"/>
        </w:rPr>
        <w:tab/>
        <w:t>R Core Team. R: A Language and Environment for Statistical Computing. 2021. Available at: https://www.R-project.org/.</w:t>
      </w:r>
    </w:p>
    <w:p w14:paraId="21F0191C" w14:textId="77777777" w:rsidR="000C680E" w:rsidRPr="000C680E" w:rsidRDefault="000C680E" w:rsidP="000C680E">
      <w:pPr>
        <w:pStyle w:val="Bibliography"/>
        <w:rPr>
          <w:rFonts w:ascii="Calibri" w:hAnsi="Calibri" w:cs="Calibri"/>
        </w:rPr>
      </w:pPr>
      <w:r w:rsidRPr="000C680E">
        <w:rPr>
          <w:rFonts w:ascii="Calibri" w:hAnsi="Calibri" w:cs="Calibri"/>
        </w:rPr>
        <w:t xml:space="preserve">33. </w:t>
      </w:r>
      <w:r w:rsidRPr="000C680E">
        <w:rPr>
          <w:rFonts w:ascii="Calibri" w:hAnsi="Calibri" w:cs="Calibri"/>
        </w:rPr>
        <w:tab/>
        <w:t xml:space="preserve">Bates D, Mächler M, Bolker B, Walker S. Fitting Linear Mixed-Effects Models Using lme4. </w:t>
      </w:r>
      <w:r w:rsidRPr="000C680E">
        <w:rPr>
          <w:rFonts w:ascii="Calibri" w:hAnsi="Calibri" w:cs="Calibri"/>
          <w:i/>
          <w:iCs/>
        </w:rPr>
        <w:t>Journal of Statistical Software</w:t>
      </w:r>
      <w:r w:rsidRPr="000C680E">
        <w:rPr>
          <w:rFonts w:ascii="Calibri" w:hAnsi="Calibri" w:cs="Calibri"/>
        </w:rPr>
        <w:t xml:space="preserve"> 2015;67:1–48.</w:t>
      </w:r>
    </w:p>
    <w:p w14:paraId="13001B05" w14:textId="77777777" w:rsidR="000C680E" w:rsidRPr="000C680E" w:rsidRDefault="000C680E" w:rsidP="000C680E">
      <w:pPr>
        <w:pStyle w:val="Bibliography"/>
        <w:rPr>
          <w:rFonts w:ascii="Calibri" w:hAnsi="Calibri" w:cs="Calibri"/>
        </w:rPr>
      </w:pPr>
      <w:r w:rsidRPr="000C680E">
        <w:rPr>
          <w:rFonts w:ascii="Calibri" w:hAnsi="Calibri" w:cs="Calibri"/>
        </w:rPr>
        <w:t xml:space="preserve">34. </w:t>
      </w:r>
      <w:r w:rsidRPr="000C680E">
        <w:rPr>
          <w:rFonts w:ascii="Calibri" w:hAnsi="Calibri" w:cs="Calibri"/>
        </w:rPr>
        <w:tab/>
        <w:t xml:space="preserve">Ladyman SR, Carter KM, Grattan DR. Energy homeostasis and running wheel activity during pregnancy in the mouse. </w:t>
      </w:r>
      <w:r w:rsidRPr="000C680E">
        <w:rPr>
          <w:rFonts w:ascii="Calibri" w:hAnsi="Calibri" w:cs="Calibri"/>
          <w:i/>
          <w:iCs/>
        </w:rPr>
        <w:t>Physiology &amp; Behavior</w:t>
      </w:r>
      <w:r w:rsidRPr="000C680E">
        <w:rPr>
          <w:rFonts w:ascii="Calibri" w:hAnsi="Calibri" w:cs="Calibri"/>
        </w:rPr>
        <w:t xml:space="preserve"> 2018;194:83–94.</w:t>
      </w:r>
    </w:p>
    <w:p w14:paraId="06194C1D" w14:textId="77777777" w:rsidR="000C680E" w:rsidRPr="000C680E" w:rsidRDefault="000C680E" w:rsidP="000C680E">
      <w:pPr>
        <w:pStyle w:val="Bibliography"/>
        <w:rPr>
          <w:rFonts w:ascii="Calibri" w:hAnsi="Calibri" w:cs="Calibri"/>
        </w:rPr>
      </w:pPr>
      <w:r w:rsidRPr="000C680E">
        <w:rPr>
          <w:rFonts w:ascii="Calibri" w:hAnsi="Calibri" w:cs="Calibri"/>
        </w:rPr>
        <w:t xml:space="preserve">35. </w:t>
      </w:r>
      <w:r w:rsidRPr="000C680E">
        <w:rPr>
          <w:rFonts w:ascii="Calibri" w:hAnsi="Calibri" w:cs="Calibri"/>
        </w:rPr>
        <w:tab/>
        <w:t xml:space="preserve">Musial B, Fernandez-Twinn DS, Vaughan OR, Ozanne SE, Voshol P, Sferruzzi-Perri AN, Fowden AL. Proximity to Delivery Alters Insulin Sensitivity and Glucose Metabolism in Pregnant Mice. </w:t>
      </w:r>
      <w:r w:rsidRPr="000C680E">
        <w:rPr>
          <w:rFonts w:ascii="Calibri" w:hAnsi="Calibri" w:cs="Calibri"/>
          <w:i/>
          <w:iCs/>
        </w:rPr>
        <w:t>Diabetes</w:t>
      </w:r>
      <w:r w:rsidRPr="000C680E">
        <w:rPr>
          <w:rFonts w:ascii="Calibri" w:hAnsi="Calibri" w:cs="Calibri"/>
        </w:rPr>
        <w:t xml:space="preserve"> 2016;65(4):851–860.</w:t>
      </w:r>
    </w:p>
    <w:p w14:paraId="138997FB" w14:textId="77777777" w:rsidR="000C680E" w:rsidRPr="000C680E" w:rsidRDefault="000C680E" w:rsidP="000C680E">
      <w:pPr>
        <w:pStyle w:val="Bibliography"/>
        <w:rPr>
          <w:rFonts w:ascii="Calibri" w:hAnsi="Calibri" w:cs="Calibri"/>
        </w:rPr>
      </w:pPr>
      <w:r w:rsidRPr="000C680E">
        <w:rPr>
          <w:rFonts w:ascii="Calibri" w:hAnsi="Calibri" w:cs="Calibri"/>
        </w:rPr>
        <w:t xml:space="preserve">36. </w:t>
      </w:r>
      <w:r w:rsidRPr="000C680E">
        <w:rPr>
          <w:rFonts w:ascii="Calibri" w:hAnsi="Calibri" w:cs="Calibri"/>
        </w:rPr>
        <w:tab/>
        <w:t xml:space="preserve">Rossi G, Lapaczewski P, Diamond MP, Jacob RJ, Shulman GI, Sherwin RS. Inhibitory effect of pregnancy on counterregulatory hormone responses to hypoglycemia in awake rat. </w:t>
      </w:r>
      <w:r w:rsidRPr="000C680E">
        <w:rPr>
          <w:rFonts w:ascii="Calibri" w:hAnsi="Calibri" w:cs="Calibri"/>
          <w:i/>
          <w:iCs/>
        </w:rPr>
        <w:t>Diabetes</w:t>
      </w:r>
      <w:r w:rsidRPr="000C680E">
        <w:rPr>
          <w:rFonts w:ascii="Calibri" w:hAnsi="Calibri" w:cs="Calibri"/>
        </w:rPr>
        <w:t xml:space="preserve"> 1993;42(10):1440–1445.</w:t>
      </w:r>
    </w:p>
    <w:p w14:paraId="20982871" w14:textId="77777777" w:rsidR="000C680E" w:rsidRPr="000C680E" w:rsidRDefault="000C680E" w:rsidP="000C680E">
      <w:pPr>
        <w:pStyle w:val="Bibliography"/>
        <w:rPr>
          <w:rFonts w:ascii="Calibri" w:hAnsi="Calibri" w:cs="Calibri"/>
        </w:rPr>
      </w:pPr>
      <w:r w:rsidRPr="000C680E">
        <w:rPr>
          <w:rFonts w:ascii="Calibri" w:hAnsi="Calibri" w:cs="Calibri"/>
        </w:rPr>
        <w:t xml:space="preserve">37. </w:t>
      </w:r>
      <w:r w:rsidRPr="000C680E">
        <w:rPr>
          <w:rFonts w:ascii="Calibri" w:hAnsi="Calibri" w:cs="Calibri"/>
        </w:rPr>
        <w:tab/>
        <w:t xml:space="preserve">Zhang Z, Piro AL, Dai FF, Wheeler MB. Adaptive Changes in Glucose Homeostasis and Islet Function During Pregnancy: A Targeted Metabolomics Study in Mice. </w:t>
      </w:r>
      <w:r w:rsidRPr="000C680E">
        <w:rPr>
          <w:rFonts w:ascii="Calibri" w:hAnsi="Calibri" w:cs="Calibri"/>
          <w:i/>
          <w:iCs/>
        </w:rPr>
        <w:t>Front. Endocrinol.</w:t>
      </w:r>
      <w:r w:rsidRPr="000C680E">
        <w:rPr>
          <w:rFonts w:ascii="Calibri" w:hAnsi="Calibri" w:cs="Calibri"/>
        </w:rPr>
        <w:t xml:space="preserve"> 2022;13. doi:10.3389/fendo.2022.852149.</w:t>
      </w:r>
    </w:p>
    <w:p w14:paraId="085429A2" w14:textId="77777777" w:rsidR="000C680E" w:rsidRPr="000C680E" w:rsidRDefault="000C680E" w:rsidP="000C680E">
      <w:pPr>
        <w:pStyle w:val="Bibliography"/>
        <w:rPr>
          <w:rFonts w:ascii="Calibri" w:hAnsi="Calibri" w:cs="Calibri"/>
        </w:rPr>
      </w:pPr>
      <w:r w:rsidRPr="000C680E">
        <w:rPr>
          <w:rFonts w:ascii="Calibri" w:hAnsi="Calibri" w:cs="Calibri"/>
        </w:rPr>
        <w:t xml:space="preserve">38. </w:t>
      </w:r>
      <w:r w:rsidRPr="000C680E">
        <w:rPr>
          <w:rFonts w:ascii="Calibri" w:hAnsi="Calibri" w:cs="Calibri"/>
        </w:rPr>
        <w:tab/>
        <w:t xml:space="preserve">Gunder LC, Harvey I, Redd JR, Davis CS, AL-Tamimi A, Brooks SV, Bridges D. Obesity Augments Glucocorticoid-Dependent Muscle Atrophy in Male C57BL/6J Mice. </w:t>
      </w:r>
      <w:r w:rsidRPr="000C680E">
        <w:rPr>
          <w:rFonts w:ascii="Calibri" w:hAnsi="Calibri" w:cs="Calibri"/>
          <w:i/>
          <w:iCs/>
        </w:rPr>
        <w:t>Biomedicines</w:t>
      </w:r>
      <w:r w:rsidRPr="000C680E">
        <w:rPr>
          <w:rFonts w:ascii="Calibri" w:hAnsi="Calibri" w:cs="Calibri"/>
        </w:rPr>
        <w:t xml:space="preserve"> 2020;8(10):420.</w:t>
      </w:r>
    </w:p>
    <w:p w14:paraId="1FCDD045" w14:textId="77777777" w:rsidR="000C680E" w:rsidRPr="000C680E" w:rsidRDefault="000C680E" w:rsidP="000C680E">
      <w:pPr>
        <w:pStyle w:val="Bibliography"/>
        <w:rPr>
          <w:rFonts w:ascii="Calibri" w:hAnsi="Calibri" w:cs="Calibri"/>
        </w:rPr>
      </w:pPr>
      <w:r w:rsidRPr="000C680E">
        <w:rPr>
          <w:rFonts w:ascii="Calibri" w:hAnsi="Calibri" w:cs="Calibri"/>
        </w:rPr>
        <w:lastRenderedPageBreak/>
        <w:t xml:space="preserve">39. </w:t>
      </w:r>
      <w:r w:rsidRPr="000C680E">
        <w:rPr>
          <w:rFonts w:ascii="Calibri" w:hAnsi="Calibri" w:cs="Calibri"/>
        </w:rPr>
        <w:tab/>
        <w:t xml:space="preserve">Harvey I, Stephenson EJ, Redd JR, Tran QT, Hochberg I, Qi N, Bridges D. Glucocorticoid-Induced Metabolic Disturbances Are Exacerbated in Obese Male Mice. </w:t>
      </w:r>
      <w:r w:rsidRPr="000C680E">
        <w:rPr>
          <w:rFonts w:ascii="Calibri" w:hAnsi="Calibri" w:cs="Calibri"/>
          <w:i/>
          <w:iCs/>
        </w:rPr>
        <w:t>Endocrinology</w:t>
      </w:r>
      <w:r w:rsidRPr="000C680E">
        <w:rPr>
          <w:rFonts w:ascii="Calibri" w:hAnsi="Calibri" w:cs="Calibri"/>
        </w:rPr>
        <w:t xml:space="preserve"> 2018;159(6):2275–2287.</w:t>
      </w:r>
    </w:p>
    <w:p w14:paraId="35BBA52F" w14:textId="77777777" w:rsidR="000C680E" w:rsidRPr="000C680E" w:rsidRDefault="000C680E" w:rsidP="000C680E">
      <w:pPr>
        <w:pStyle w:val="Bibliography"/>
        <w:rPr>
          <w:rFonts w:ascii="Calibri" w:hAnsi="Calibri" w:cs="Calibri"/>
        </w:rPr>
      </w:pPr>
      <w:r w:rsidRPr="000C680E">
        <w:rPr>
          <w:rFonts w:ascii="Calibri" w:hAnsi="Calibri" w:cs="Calibri"/>
        </w:rPr>
        <w:t xml:space="preserve">40. </w:t>
      </w:r>
      <w:r w:rsidRPr="000C680E">
        <w:rPr>
          <w:rFonts w:ascii="Calibri" w:hAnsi="Calibri" w:cs="Calibri"/>
        </w:rPr>
        <w:tab/>
        <w:t xml:space="preserve">Wang P, Ma W, Zhou Y, Zhao Y, Shi H, Yang Q, Zhang Y. Circulating metal concentrations, inflammatory cytokines and gestational weight gain: Shanghai MCPC cohort. </w:t>
      </w:r>
      <w:r w:rsidRPr="000C680E">
        <w:rPr>
          <w:rFonts w:ascii="Calibri" w:hAnsi="Calibri" w:cs="Calibri"/>
          <w:i/>
          <w:iCs/>
        </w:rPr>
        <w:t>Ecotoxicology and Environmental Safety</w:t>
      </w:r>
      <w:r w:rsidRPr="000C680E">
        <w:rPr>
          <w:rFonts w:ascii="Calibri" w:hAnsi="Calibri" w:cs="Calibri"/>
        </w:rPr>
        <w:t xml:space="preserve"> 2020;199:110697.</w:t>
      </w:r>
    </w:p>
    <w:p w14:paraId="7ABCC5CD" w14:textId="77777777" w:rsidR="000C680E" w:rsidRPr="000C680E" w:rsidRDefault="000C680E" w:rsidP="000C680E">
      <w:pPr>
        <w:pStyle w:val="Bibliography"/>
        <w:rPr>
          <w:rFonts w:ascii="Calibri" w:hAnsi="Calibri" w:cs="Calibri"/>
        </w:rPr>
      </w:pPr>
      <w:r w:rsidRPr="000C680E">
        <w:rPr>
          <w:rFonts w:ascii="Calibri" w:hAnsi="Calibri" w:cs="Calibri"/>
        </w:rPr>
        <w:t xml:space="preserve">41. </w:t>
      </w:r>
      <w:r w:rsidRPr="000C680E">
        <w:rPr>
          <w:rFonts w:ascii="Calibri" w:hAnsi="Calibri" w:cs="Calibri"/>
        </w:rPr>
        <w:tab/>
        <w:t xml:space="preserve">Binder AK, Kosak JP, Janhardhan KS, Moser G, Eling TE, Korach KS. Expression of Human NSAID Activated Gene 1 in Mice Leads to Altered Mammary Gland Differentiation and Impaired Lactation. </w:t>
      </w:r>
      <w:r w:rsidRPr="000C680E">
        <w:rPr>
          <w:rFonts w:ascii="Calibri" w:hAnsi="Calibri" w:cs="Calibri"/>
          <w:i/>
          <w:iCs/>
        </w:rPr>
        <w:t>PLoS One</w:t>
      </w:r>
      <w:r w:rsidRPr="000C680E">
        <w:rPr>
          <w:rFonts w:ascii="Calibri" w:hAnsi="Calibri" w:cs="Calibri"/>
        </w:rPr>
        <w:t xml:space="preserve"> 2016;11(1):e0146518.</w:t>
      </w:r>
    </w:p>
    <w:p w14:paraId="36FD3F7C" w14:textId="77777777" w:rsidR="000C680E" w:rsidRPr="000C680E" w:rsidRDefault="000C680E" w:rsidP="000C680E">
      <w:pPr>
        <w:pStyle w:val="Bibliography"/>
        <w:rPr>
          <w:rFonts w:ascii="Calibri" w:hAnsi="Calibri" w:cs="Calibri"/>
        </w:rPr>
      </w:pPr>
      <w:r w:rsidRPr="000C680E">
        <w:rPr>
          <w:rFonts w:ascii="Calibri" w:hAnsi="Calibri" w:cs="Calibri"/>
        </w:rPr>
        <w:t xml:space="preserve">42. </w:t>
      </w:r>
      <w:r w:rsidRPr="000C680E">
        <w:rPr>
          <w:rFonts w:ascii="Calibri" w:hAnsi="Calibri" w:cs="Calibri"/>
        </w:rPr>
        <w:tab/>
        <w:t xml:space="preserve">Böttner M, Laaff M, Schechinger B, Rappold G, Unsicker K, Suter-Crazzolara C. Characterization of the rat, mouse, and human genes of growth/differentiation factor-15/macrophage inhibiting cytokine-1 (GDF-15/MIC-1). </w:t>
      </w:r>
      <w:r w:rsidRPr="000C680E">
        <w:rPr>
          <w:rFonts w:ascii="Calibri" w:hAnsi="Calibri" w:cs="Calibri"/>
          <w:i/>
          <w:iCs/>
        </w:rPr>
        <w:t>Gene</w:t>
      </w:r>
      <w:r w:rsidRPr="000C680E">
        <w:rPr>
          <w:rFonts w:ascii="Calibri" w:hAnsi="Calibri" w:cs="Calibri"/>
        </w:rPr>
        <w:t xml:space="preserve"> 1999;237(1):105–111.</w:t>
      </w:r>
    </w:p>
    <w:p w14:paraId="2C79552F" w14:textId="77777777" w:rsidR="000C680E" w:rsidRPr="000C680E" w:rsidRDefault="000C680E" w:rsidP="000C680E">
      <w:pPr>
        <w:pStyle w:val="Bibliography"/>
        <w:rPr>
          <w:rFonts w:ascii="Calibri" w:hAnsi="Calibri" w:cs="Calibri"/>
        </w:rPr>
      </w:pPr>
      <w:r w:rsidRPr="000C680E">
        <w:rPr>
          <w:rFonts w:ascii="Calibri" w:hAnsi="Calibri" w:cs="Calibri"/>
        </w:rPr>
        <w:t xml:space="preserve">43. </w:t>
      </w:r>
      <w:r w:rsidRPr="000C680E">
        <w:rPr>
          <w:rFonts w:ascii="Calibri" w:hAnsi="Calibri" w:cs="Calibri"/>
        </w:rPr>
        <w:tab/>
        <w:t xml:space="preserve">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 GDF15 Provides an Endocrine Signal of Nutritional Stress in Mice and Humans. </w:t>
      </w:r>
      <w:r w:rsidRPr="000C680E">
        <w:rPr>
          <w:rFonts w:ascii="Calibri" w:hAnsi="Calibri" w:cs="Calibri"/>
          <w:i/>
          <w:iCs/>
        </w:rPr>
        <w:t>Cell Metabolism</w:t>
      </w:r>
      <w:r w:rsidRPr="000C680E">
        <w:rPr>
          <w:rFonts w:ascii="Calibri" w:hAnsi="Calibri" w:cs="Calibri"/>
        </w:rPr>
        <w:t xml:space="preserve"> 2019;29(3):707-718.e8.</w:t>
      </w:r>
    </w:p>
    <w:p w14:paraId="45C5BD72" w14:textId="77777777" w:rsidR="000C680E" w:rsidRPr="000C680E" w:rsidRDefault="000C680E" w:rsidP="000C680E">
      <w:pPr>
        <w:pStyle w:val="Bibliography"/>
        <w:rPr>
          <w:rFonts w:ascii="Calibri" w:hAnsi="Calibri" w:cs="Calibri"/>
        </w:rPr>
      </w:pPr>
      <w:r w:rsidRPr="000C680E">
        <w:rPr>
          <w:rFonts w:ascii="Calibri" w:hAnsi="Calibri" w:cs="Calibri"/>
        </w:rPr>
        <w:t xml:space="preserve">44. </w:t>
      </w:r>
      <w:r w:rsidRPr="000C680E">
        <w:rPr>
          <w:rFonts w:ascii="Calibri" w:hAnsi="Calibri" w:cs="Calibri"/>
        </w:rPr>
        <w:tab/>
        <w:t xml:space="preserve">Klein AB, Ranea-Robles P, Nicolaisen TS, Gil C, Johann K, Quesada JP, Pistolevij N, Hviid KVR, Fich L, Offersen SM, Helge JW, Nielsen HS, Bakker J, Kleinert M, Clemmensen C. Cross-species comparison of pregnancy-induced GDF15. </w:t>
      </w:r>
      <w:r w:rsidRPr="000C680E">
        <w:rPr>
          <w:rFonts w:ascii="Calibri" w:hAnsi="Calibri" w:cs="Calibri"/>
          <w:i/>
          <w:iCs/>
        </w:rPr>
        <w:t>American Journal of Physiology-Endocrinology and Metabolism</w:t>
      </w:r>
      <w:r w:rsidRPr="000C680E">
        <w:rPr>
          <w:rFonts w:ascii="Calibri" w:hAnsi="Calibri" w:cs="Calibri"/>
        </w:rPr>
        <w:t xml:space="preserve"> 2023;325(4):E303–E309.</w:t>
      </w:r>
    </w:p>
    <w:p w14:paraId="4E01A24B" w14:textId="77777777" w:rsidR="000C680E" w:rsidRPr="000C680E" w:rsidRDefault="000C680E" w:rsidP="000C680E">
      <w:pPr>
        <w:pStyle w:val="Bibliography"/>
        <w:rPr>
          <w:rFonts w:ascii="Calibri" w:hAnsi="Calibri" w:cs="Calibri"/>
        </w:rPr>
      </w:pPr>
      <w:r w:rsidRPr="000C680E">
        <w:rPr>
          <w:rFonts w:ascii="Calibri" w:hAnsi="Calibri" w:cs="Calibri"/>
        </w:rPr>
        <w:t xml:space="preserve">45. </w:t>
      </w:r>
      <w:r w:rsidRPr="000C680E">
        <w:rPr>
          <w:rFonts w:ascii="Calibri" w:hAnsi="Calibri" w:cs="Calibri"/>
        </w:rPr>
        <w:tab/>
        <w:t xml:space="preserve">Schmidt A, Morales-Prieto DM, Pastuschek J, Fröhlich K, Markert UR. Only humans have human placentas: molecular differences between mice and humans. </w:t>
      </w:r>
      <w:r w:rsidRPr="000C680E">
        <w:rPr>
          <w:rFonts w:ascii="Calibri" w:hAnsi="Calibri" w:cs="Calibri"/>
          <w:i/>
          <w:iCs/>
        </w:rPr>
        <w:t>Journal of Reproductive Immunology</w:t>
      </w:r>
      <w:r w:rsidRPr="000C680E">
        <w:rPr>
          <w:rFonts w:ascii="Calibri" w:hAnsi="Calibri" w:cs="Calibri"/>
        </w:rPr>
        <w:t xml:space="preserve"> 2015;108:65–71.</w:t>
      </w:r>
    </w:p>
    <w:p w14:paraId="4CA6E760" w14:textId="58D78242" w:rsidR="00052E39" w:rsidRDefault="006D0E50" w:rsidP="006D0E50">
      <w:pPr>
        <w:rPr>
          <w:rFonts w:ascii="Times New Roman" w:hAnsi="Times New Roman" w:cs="Times New Roman"/>
        </w:rPr>
      </w:pPr>
      <w:r w:rsidRPr="00F145A3">
        <w:rPr>
          <w:rFonts w:ascii="Times New Roman" w:hAnsi="Times New Roman" w:cs="Times New Roman"/>
        </w:rPr>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76C3ACE3"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w:t>
      </w:r>
      <w:bookmarkStart w:id="3" w:name="_Hlk172037327"/>
      <w:r w:rsidRPr="003C0FFC">
        <w:rPr>
          <w:rFonts w:ascii="Times New Roman" w:hAnsi="Times New Roman" w:cs="Times New Roman"/>
        </w:rPr>
        <w:t>. C</w:t>
      </w:r>
      <w:r>
        <w:rPr>
          <w:rFonts w:ascii="Times New Roman" w:hAnsi="Times New Roman" w:cs="Times New Roman"/>
        </w:rPr>
        <w:t xml:space="preserve">) GDF15 levels at ZT1 </w:t>
      </w:r>
      <w:r w:rsidR="00E26479">
        <w:rPr>
          <w:rFonts w:ascii="Times New Roman" w:hAnsi="Times New Roman" w:cs="Times New Roman"/>
        </w:rPr>
        <w:t xml:space="preserve">and ZT13 </w:t>
      </w:r>
      <w:r>
        <w:rPr>
          <w:rFonts w:ascii="Times New Roman" w:hAnsi="Times New Roman" w:cs="Times New Roman"/>
        </w:rPr>
        <w:t xml:space="preserve">in pregnant and non-pregnant females, </w:t>
      </w:r>
      <w:r w:rsidRPr="003C0FFC">
        <w:rPr>
          <w:rFonts w:ascii="Times New Roman" w:hAnsi="Times New Roman" w:cs="Times New Roman"/>
        </w:rPr>
        <w:t xml:space="preserve">assessed </w:t>
      </w:r>
      <w:r w:rsidR="00E26479">
        <w:rPr>
          <w:rFonts w:ascii="Times New Roman" w:hAnsi="Times New Roman" w:cs="Times New Roman"/>
        </w:rPr>
        <w:t>by two</w:t>
      </w:r>
      <w:r w:rsidR="00911560">
        <w:rPr>
          <w:rFonts w:ascii="Times New Roman" w:hAnsi="Times New Roman" w:cs="Times New Roman"/>
        </w:rPr>
        <w:t>-</w:t>
      </w:r>
      <w:r w:rsidR="00E26479">
        <w:rPr>
          <w:rFonts w:ascii="Times New Roman" w:hAnsi="Times New Roman" w:cs="Times New Roman"/>
        </w:rPr>
        <w:t xml:space="preserve">way </w:t>
      </w:r>
      <w:r w:rsidR="00911560">
        <w:rPr>
          <w:rFonts w:ascii="Times New Roman" w:hAnsi="Times New Roman" w:cs="Times New Roman"/>
        </w:rPr>
        <w:t>ANOVA</w:t>
      </w:r>
      <w:r w:rsidR="00E26479">
        <w:rPr>
          <w:rFonts w:ascii="Times New Roman" w:hAnsi="Times New Roman" w:cs="Times New Roman"/>
        </w:rPr>
        <w:t xml:space="preserve"> </w:t>
      </w:r>
      <w:r w:rsidR="00884EE2">
        <w:rPr>
          <w:rFonts w:ascii="Times New Roman" w:hAnsi="Times New Roman" w:cs="Times New Roman"/>
        </w:rPr>
        <w:t xml:space="preserve">testing </w:t>
      </w:r>
      <w:r w:rsidR="00E26479">
        <w:rPr>
          <w:rFonts w:ascii="Times New Roman" w:hAnsi="Times New Roman" w:cs="Times New Roman"/>
        </w:rPr>
        <w:t>for effect</w:t>
      </w:r>
      <w:r w:rsidR="00884EE2">
        <w:rPr>
          <w:rFonts w:ascii="Times New Roman" w:hAnsi="Times New Roman" w:cs="Times New Roman"/>
        </w:rPr>
        <w:t>s</w:t>
      </w:r>
      <w:r w:rsidR="00E26479">
        <w:rPr>
          <w:rFonts w:ascii="Times New Roman" w:hAnsi="Times New Roman" w:cs="Times New Roman"/>
        </w:rPr>
        <w:t xml:space="preserve"> of time and of pregnancy status</w:t>
      </w:r>
      <w:r w:rsidRPr="003C0FFC">
        <w:rPr>
          <w:rFonts w:ascii="Times New Roman" w:hAnsi="Times New Roman" w:cs="Times New Roman"/>
        </w:rPr>
        <w:t xml:space="preserve">. </w:t>
      </w:r>
      <w:bookmarkEnd w:id="3"/>
      <w:r w:rsidRPr="003C0FFC">
        <w:rPr>
          <w:rFonts w:ascii="Times New Roman" w:hAnsi="Times New Roman" w:cs="Times New Roman"/>
        </w:rPr>
        <w:t>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 xml:space="preserve">ssessed </w:t>
      </w:r>
      <w:r w:rsidR="00E26479">
        <w:rPr>
          <w:rFonts w:ascii="Times New Roman" w:hAnsi="Times New Roman" w:cs="Times New Roman"/>
        </w:rPr>
        <w:t xml:space="preserve">by two-way </w:t>
      </w:r>
      <w:r w:rsidR="00237154">
        <w:rPr>
          <w:rFonts w:ascii="Times New Roman" w:hAnsi="Times New Roman" w:cs="Times New Roman"/>
        </w:rPr>
        <w:t>ANOVA</w:t>
      </w:r>
      <w:r w:rsidR="00E26479">
        <w:rPr>
          <w:rFonts w:ascii="Times New Roman" w:hAnsi="Times New Roman" w:cs="Times New Roman"/>
        </w:rPr>
        <w:t xml:space="preserve"> </w:t>
      </w:r>
      <w:r w:rsidR="00237154">
        <w:rPr>
          <w:rFonts w:ascii="Times New Roman" w:hAnsi="Times New Roman" w:cs="Times New Roman"/>
        </w:rPr>
        <w:t xml:space="preserve">testing </w:t>
      </w:r>
      <w:r w:rsidR="00E26479">
        <w:rPr>
          <w:rFonts w:ascii="Times New Roman" w:hAnsi="Times New Roman" w:cs="Times New Roman"/>
        </w:rPr>
        <w:t xml:space="preserve">for </w:t>
      </w:r>
      <w:r w:rsidR="00237154">
        <w:rPr>
          <w:rFonts w:ascii="Times New Roman" w:hAnsi="Times New Roman" w:cs="Times New Roman"/>
        </w:rPr>
        <w:t xml:space="preserve">the </w:t>
      </w:r>
      <w:r w:rsidR="00E26479">
        <w:rPr>
          <w:rFonts w:ascii="Times New Roman" w:hAnsi="Times New Roman" w:cs="Times New Roman"/>
        </w:rPr>
        <w:t>effect</w:t>
      </w:r>
      <w:r w:rsidR="00237154">
        <w:rPr>
          <w:rFonts w:ascii="Times New Roman" w:hAnsi="Times New Roman" w:cs="Times New Roman"/>
        </w:rPr>
        <w:t>s</w:t>
      </w:r>
      <w:r w:rsidR="00E26479">
        <w:rPr>
          <w:rFonts w:ascii="Times New Roman" w:hAnsi="Times New Roman" w:cs="Times New Roman"/>
        </w:rPr>
        <w:t xml:space="preserve"> of time and of pregnancy status</w:t>
      </w:r>
      <w:r w:rsidRPr="003C0FFC">
        <w:rPr>
          <w:rFonts w:ascii="Times New Roman" w:hAnsi="Times New Roman" w:cs="Times New Roman"/>
        </w:rPr>
        <w:t>.</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1EAEA9BD"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w:t>
      </w:r>
      <w:r w:rsidR="00E25264">
        <w:rPr>
          <w:rFonts w:ascii="Times New Roman" w:hAnsi="Times New Roman" w:cs="Times New Roman"/>
        </w:rPr>
        <w:t xml:space="preserve"> </w:t>
      </w:r>
      <w:r w:rsidRPr="003C0FFC">
        <w:rPr>
          <w:rFonts w:ascii="Times New Roman" w:hAnsi="Times New Roman" w:cs="Times New Roman"/>
        </w:rPr>
        <w:t xml:space="preserve">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not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418F6" w14:textId="77777777" w:rsidR="00D52EE1" w:rsidRDefault="00D52EE1" w:rsidP="00283B15">
      <w:r>
        <w:separator/>
      </w:r>
    </w:p>
  </w:endnote>
  <w:endnote w:type="continuationSeparator" w:id="0">
    <w:p w14:paraId="0B058A08" w14:textId="77777777" w:rsidR="00D52EE1" w:rsidRDefault="00D52EE1"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us minu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D71D3" w14:textId="77777777" w:rsidR="00D52EE1" w:rsidRDefault="00D52EE1" w:rsidP="00283B15">
      <w:r>
        <w:separator/>
      </w:r>
    </w:p>
  </w:footnote>
  <w:footnote w:type="continuationSeparator" w:id="0">
    <w:p w14:paraId="72EF8C25" w14:textId="77777777" w:rsidR="00D52EE1" w:rsidRDefault="00D52EE1"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536812">
    <w:abstractNumId w:val="5"/>
  </w:num>
  <w:num w:numId="2" w16cid:durableId="1941259321">
    <w:abstractNumId w:val="6"/>
  </w:num>
  <w:num w:numId="3" w16cid:durableId="1442261052">
    <w:abstractNumId w:val="4"/>
  </w:num>
  <w:num w:numId="4" w16cid:durableId="2121990717">
    <w:abstractNumId w:val="1"/>
  </w:num>
  <w:num w:numId="5" w16cid:durableId="256721653">
    <w:abstractNumId w:val="2"/>
  </w:num>
  <w:num w:numId="6" w16cid:durableId="292836567">
    <w:abstractNumId w:val="3"/>
  </w:num>
  <w:num w:numId="7" w16cid:durableId="1204059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2E9C"/>
    <w:rsid w:val="00066319"/>
    <w:rsid w:val="00071010"/>
    <w:rsid w:val="00071C6A"/>
    <w:rsid w:val="0007477C"/>
    <w:rsid w:val="00075527"/>
    <w:rsid w:val="00076A5D"/>
    <w:rsid w:val="00077CDF"/>
    <w:rsid w:val="000828A2"/>
    <w:rsid w:val="00083212"/>
    <w:rsid w:val="0008334B"/>
    <w:rsid w:val="000852EF"/>
    <w:rsid w:val="000902B4"/>
    <w:rsid w:val="00091022"/>
    <w:rsid w:val="0009414E"/>
    <w:rsid w:val="000970D0"/>
    <w:rsid w:val="0009796F"/>
    <w:rsid w:val="00097CF0"/>
    <w:rsid w:val="000A457F"/>
    <w:rsid w:val="000B007B"/>
    <w:rsid w:val="000B112E"/>
    <w:rsid w:val="000B4CD5"/>
    <w:rsid w:val="000B7DE3"/>
    <w:rsid w:val="000C2B86"/>
    <w:rsid w:val="000C3D44"/>
    <w:rsid w:val="000C5EEA"/>
    <w:rsid w:val="000C680E"/>
    <w:rsid w:val="000C7212"/>
    <w:rsid w:val="000D04A6"/>
    <w:rsid w:val="000D19B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816"/>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4F74"/>
    <w:rsid w:val="001376F1"/>
    <w:rsid w:val="00147033"/>
    <w:rsid w:val="00147C72"/>
    <w:rsid w:val="001540F0"/>
    <w:rsid w:val="00154B9E"/>
    <w:rsid w:val="001557E5"/>
    <w:rsid w:val="0015746A"/>
    <w:rsid w:val="00162D69"/>
    <w:rsid w:val="00165D94"/>
    <w:rsid w:val="00167549"/>
    <w:rsid w:val="001675E3"/>
    <w:rsid w:val="0017498B"/>
    <w:rsid w:val="00186B53"/>
    <w:rsid w:val="001A1D01"/>
    <w:rsid w:val="001A3EA4"/>
    <w:rsid w:val="001A55C0"/>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15AEE"/>
    <w:rsid w:val="00215D96"/>
    <w:rsid w:val="002219CC"/>
    <w:rsid w:val="002329D9"/>
    <w:rsid w:val="0023338C"/>
    <w:rsid w:val="00233DB5"/>
    <w:rsid w:val="00236D15"/>
    <w:rsid w:val="00237154"/>
    <w:rsid w:val="002375E1"/>
    <w:rsid w:val="00242FC7"/>
    <w:rsid w:val="00243E45"/>
    <w:rsid w:val="00244D7B"/>
    <w:rsid w:val="002456F0"/>
    <w:rsid w:val="0024657C"/>
    <w:rsid w:val="00247B38"/>
    <w:rsid w:val="00250326"/>
    <w:rsid w:val="002513AE"/>
    <w:rsid w:val="00260665"/>
    <w:rsid w:val="002615AF"/>
    <w:rsid w:val="00262874"/>
    <w:rsid w:val="00264316"/>
    <w:rsid w:val="00267D48"/>
    <w:rsid w:val="00270E3F"/>
    <w:rsid w:val="0027193E"/>
    <w:rsid w:val="002736DD"/>
    <w:rsid w:val="00280656"/>
    <w:rsid w:val="00280CAA"/>
    <w:rsid w:val="0028113D"/>
    <w:rsid w:val="00283B15"/>
    <w:rsid w:val="00283C69"/>
    <w:rsid w:val="00285DA1"/>
    <w:rsid w:val="0029173D"/>
    <w:rsid w:val="00294424"/>
    <w:rsid w:val="00296419"/>
    <w:rsid w:val="00296635"/>
    <w:rsid w:val="002A3666"/>
    <w:rsid w:val="002A4E3E"/>
    <w:rsid w:val="002A5CBE"/>
    <w:rsid w:val="002A5E0B"/>
    <w:rsid w:val="002B0357"/>
    <w:rsid w:val="002B0CC3"/>
    <w:rsid w:val="002B39FF"/>
    <w:rsid w:val="002B64E3"/>
    <w:rsid w:val="002C1F42"/>
    <w:rsid w:val="002C2A53"/>
    <w:rsid w:val="002C2FE7"/>
    <w:rsid w:val="002C53A0"/>
    <w:rsid w:val="002C5A10"/>
    <w:rsid w:val="002D0D2C"/>
    <w:rsid w:val="002D2E10"/>
    <w:rsid w:val="002D578E"/>
    <w:rsid w:val="002E10CD"/>
    <w:rsid w:val="002E243C"/>
    <w:rsid w:val="002E247C"/>
    <w:rsid w:val="002E3F66"/>
    <w:rsid w:val="002F17BE"/>
    <w:rsid w:val="002F29DF"/>
    <w:rsid w:val="002F31A4"/>
    <w:rsid w:val="00300334"/>
    <w:rsid w:val="00303552"/>
    <w:rsid w:val="0030401E"/>
    <w:rsid w:val="003101D9"/>
    <w:rsid w:val="00310C66"/>
    <w:rsid w:val="00312442"/>
    <w:rsid w:val="003152B2"/>
    <w:rsid w:val="00317348"/>
    <w:rsid w:val="00320105"/>
    <w:rsid w:val="00330D79"/>
    <w:rsid w:val="00332B44"/>
    <w:rsid w:val="00332EC8"/>
    <w:rsid w:val="00344006"/>
    <w:rsid w:val="0034526C"/>
    <w:rsid w:val="0034537A"/>
    <w:rsid w:val="00347488"/>
    <w:rsid w:val="00351C23"/>
    <w:rsid w:val="00353161"/>
    <w:rsid w:val="00354417"/>
    <w:rsid w:val="00356634"/>
    <w:rsid w:val="00360949"/>
    <w:rsid w:val="00362A0D"/>
    <w:rsid w:val="00367564"/>
    <w:rsid w:val="00373916"/>
    <w:rsid w:val="00374604"/>
    <w:rsid w:val="00374809"/>
    <w:rsid w:val="00374FAE"/>
    <w:rsid w:val="00381E1D"/>
    <w:rsid w:val="00385ABE"/>
    <w:rsid w:val="00391CE5"/>
    <w:rsid w:val="00391E5E"/>
    <w:rsid w:val="003A0031"/>
    <w:rsid w:val="003A00B4"/>
    <w:rsid w:val="003A2A2E"/>
    <w:rsid w:val="003A3A41"/>
    <w:rsid w:val="003A3E9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59BD"/>
    <w:rsid w:val="00406C2E"/>
    <w:rsid w:val="004116F3"/>
    <w:rsid w:val="00411AF3"/>
    <w:rsid w:val="00412470"/>
    <w:rsid w:val="00414844"/>
    <w:rsid w:val="00415C20"/>
    <w:rsid w:val="004174FF"/>
    <w:rsid w:val="00422824"/>
    <w:rsid w:val="0042306F"/>
    <w:rsid w:val="004267FB"/>
    <w:rsid w:val="00431CBD"/>
    <w:rsid w:val="004358A9"/>
    <w:rsid w:val="00436287"/>
    <w:rsid w:val="00441EC8"/>
    <w:rsid w:val="00444701"/>
    <w:rsid w:val="004450F3"/>
    <w:rsid w:val="004458F2"/>
    <w:rsid w:val="00447CEB"/>
    <w:rsid w:val="004527CA"/>
    <w:rsid w:val="004544A7"/>
    <w:rsid w:val="004657C1"/>
    <w:rsid w:val="00470010"/>
    <w:rsid w:val="00470839"/>
    <w:rsid w:val="0048008A"/>
    <w:rsid w:val="004814CA"/>
    <w:rsid w:val="00483319"/>
    <w:rsid w:val="004838B9"/>
    <w:rsid w:val="00484AEC"/>
    <w:rsid w:val="0048666E"/>
    <w:rsid w:val="00490ABD"/>
    <w:rsid w:val="00491522"/>
    <w:rsid w:val="004922A8"/>
    <w:rsid w:val="004A3BDC"/>
    <w:rsid w:val="004A7ABC"/>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47DB"/>
    <w:rsid w:val="004F4D8C"/>
    <w:rsid w:val="00506BE3"/>
    <w:rsid w:val="00507C40"/>
    <w:rsid w:val="0051099C"/>
    <w:rsid w:val="00510D6B"/>
    <w:rsid w:val="00511334"/>
    <w:rsid w:val="005135AA"/>
    <w:rsid w:val="00514FE8"/>
    <w:rsid w:val="0051517F"/>
    <w:rsid w:val="005153B8"/>
    <w:rsid w:val="0051553D"/>
    <w:rsid w:val="00517D3C"/>
    <w:rsid w:val="00535EF5"/>
    <w:rsid w:val="00537334"/>
    <w:rsid w:val="005375F4"/>
    <w:rsid w:val="005415FF"/>
    <w:rsid w:val="005465D2"/>
    <w:rsid w:val="00551955"/>
    <w:rsid w:val="00553A8E"/>
    <w:rsid w:val="00557394"/>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49BA"/>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04D54"/>
    <w:rsid w:val="006155FA"/>
    <w:rsid w:val="00624880"/>
    <w:rsid w:val="0062695D"/>
    <w:rsid w:val="006269D9"/>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47FB"/>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796A"/>
    <w:rsid w:val="00777A3D"/>
    <w:rsid w:val="007800A0"/>
    <w:rsid w:val="007864CD"/>
    <w:rsid w:val="00786B40"/>
    <w:rsid w:val="00790F40"/>
    <w:rsid w:val="00791C8E"/>
    <w:rsid w:val="00792F75"/>
    <w:rsid w:val="00793823"/>
    <w:rsid w:val="0079760E"/>
    <w:rsid w:val="007A11AD"/>
    <w:rsid w:val="007A14B6"/>
    <w:rsid w:val="007A3733"/>
    <w:rsid w:val="007A4431"/>
    <w:rsid w:val="007A648A"/>
    <w:rsid w:val="007A6590"/>
    <w:rsid w:val="007B3678"/>
    <w:rsid w:val="007C1DF5"/>
    <w:rsid w:val="007C2DF7"/>
    <w:rsid w:val="007C3B39"/>
    <w:rsid w:val="007D0C98"/>
    <w:rsid w:val="007D20F5"/>
    <w:rsid w:val="007D37F9"/>
    <w:rsid w:val="007D62DD"/>
    <w:rsid w:val="007D71A0"/>
    <w:rsid w:val="007D7DF6"/>
    <w:rsid w:val="007E1577"/>
    <w:rsid w:val="007E218D"/>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4B50"/>
    <w:rsid w:val="00835701"/>
    <w:rsid w:val="008361D1"/>
    <w:rsid w:val="0084686F"/>
    <w:rsid w:val="00846921"/>
    <w:rsid w:val="00847461"/>
    <w:rsid w:val="00850713"/>
    <w:rsid w:val="008519EF"/>
    <w:rsid w:val="0086099C"/>
    <w:rsid w:val="0086189E"/>
    <w:rsid w:val="00863272"/>
    <w:rsid w:val="0086475F"/>
    <w:rsid w:val="00866351"/>
    <w:rsid w:val="00867980"/>
    <w:rsid w:val="0087297B"/>
    <w:rsid w:val="008751B7"/>
    <w:rsid w:val="0087718F"/>
    <w:rsid w:val="00881C05"/>
    <w:rsid w:val="00882A87"/>
    <w:rsid w:val="00884EE2"/>
    <w:rsid w:val="00885BFF"/>
    <w:rsid w:val="00885D18"/>
    <w:rsid w:val="00887B0B"/>
    <w:rsid w:val="00890485"/>
    <w:rsid w:val="0089053B"/>
    <w:rsid w:val="008922A9"/>
    <w:rsid w:val="008941CC"/>
    <w:rsid w:val="008957BF"/>
    <w:rsid w:val="0089624D"/>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1BA"/>
    <w:rsid w:val="00907553"/>
    <w:rsid w:val="00910237"/>
    <w:rsid w:val="00911560"/>
    <w:rsid w:val="00913CC8"/>
    <w:rsid w:val="00916768"/>
    <w:rsid w:val="009206C4"/>
    <w:rsid w:val="00920A42"/>
    <w:rsid w:val="009215F3"/>
    <w:rsid w:val="00921940"/>
    <w:rsid w:val="00922AF3"/>
    <w:rsid w:val="00922B56"/>
    <w:rsid w:val="009305C3"/>
    <w:rsid w:val="00934157"/>
    <w:rsid w:val="0093576C"/>
    <w:rsid w:val="00935BB2"/>
    <w:rsid w:val="00945280"/>
    <w:rsid w:val="00945547"/>
    <w:rsid w:val="009531B6"/>
    <w:rsid w:val="0095640A"/>
    <w:rsid w:val="00956791"/>
    <w:rsid w:val="00960D75"/>
    <w:rsid w:val="00962938"/>
    <w:rsid w:val="00962AD9"/>
    <w:rsid w:val="00965E55"/>
    <w:rsid w:val="00967CB8"/>
    <w:rsid w:val="00971C89"/>
    <w:rsid w:val="009778DF"/>
    <w:rsid w:val="0098334F"/>
    <w:rsid w:val="00983429"/>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3101"/>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6169"/>
    <w:rsid w:val="00AB2246"/>
    <w:rsid w:val="00AB498D"/>
    <w:rsid w:val="00AB4BA1"/>
    <w:rsid w:val="00AB67D8"/>
    <w:rsid w:val="00AC2FFC"/>
    <w:rsid w:val="00AC4597"/>
    <w:rsid w:val="00AC502D"/>
    <w:rsid w:val="00AC51BD"/>
    <w:rsid w:val="00AC79B3"/>
    <w:rsid w:val="00AD3B22"/>
    <w:rsid w:val="00AD3E5A"/>
    <w:rsid w:val="00AD5136"/>
    <w:rsid w:val="00AE220F"/>
    <w:rsid w:val="00AE2672"/>
    <w:rsid w:val="00AE4DBC"/>
    <w:rsid w:val="00AE7D5C"/>
    <w:rsid w:val="00AF292A"/>
    <w:rsid w:val="00AF523E"/>
    <w:rsid w:val="00B039A5"/>
    <w:rsid w:val="00B108F4"/>
    <w:rsid w:val="00B21569"/>
    <w:rsid w:val="00B2310E"/>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3558"/>
    <w:rsid w:val="00BA5939"/>
    <w:rsid w:val="00BB0367"/>
    <w:rsid w:val="00BB2DAE"/>
    <w:rsid w:val="00BB319E"/>
    <w:rsid w:val="00BB44DA"/>
    <w:rsid w:val="00BB44E2"/>
    <w:rsid w:val="00BB5A0C"/>
    <w:rsid w:val="00BB6A07"/>
    <w:rsid w:val="00BB7CA4"/>
    <w:rsid w:val="00BC742F"/>
    <w:rsid w:val="00BD31FF"/>
    <w:rsid w:val="00BD4C2C"/>
    <w:rsid w:val="00BD5CC2"/>
    <w:rsid w:val="00BD75F3"/>
    <w:rsid w:val="00BE045A"/>
    <w:rsid w:val="00BE5606"/>
    <w:rsid w:val="00BE5EA6"/>
    <w:rsid w:val="00BE6434"/>
    <w:rsid w:val="00BF3CAB"/>
    <w:rsid w:val="00BF5335"/>
    <w:rsid w:val="00BF728A"/>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56F4"/>
    <w:rsid w:val="00C45A61"/>
    <w:rsid w:val="00C478D2"/>
    <w:rsid w:val="00C545FF"/>
    <w:rsid w:val="00C5794B"/>
    <w:rsid w:val="00C6116A"/>
    <w:rsid w:val="00C61ED9"/>
    <w:rsid w:val="00C62981"/>
    <w:rsid w:val="00C62A47"/>
    <w:rsid w:val="00C62B2F"/>
    <w:rsid w:val="00C63367"/>
    <w:rsid w:val="00C6518A"/>
    <w:rsid w:val="00C74F5F"/>
    <w:rsid w:val="00C74F84"/>
    <w:rsid w:val="00C76ED9"/>
    <w:rsid w:val="00C853C9"/>
    <w:rsid w:val="00C86E71"/>
    <w:rsid w:val="00C93A4D"/>
    <w:rsid w:val="00C94048"/>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538"/>
    <w:rsid w:val="00D46FB5"/>
    <w:rsid w:val="00D50A71"/>
    <w:rsid w:val="00D50EED"/>
    <w:rsid w:val="00D52EE1"/>
    <w:rsid w:val="00D551EF"/>
    <w:rsid w:val="00D56DA1"/>
    <w:rsid w:val="00D656F0"/>
    <w:rsid w:val="00D671B1"/>
    <w:rsid w:val="00D719EA"/>
    <w:rsid w:val="00D7524F"/>
    <w:rsid w:val="00D80DAC"/>
    <w:rsid w:val="00D8444A"/>
    <w:rsid w:val="00D86FB4"/>
    <w:rsid w:val="00D93E43"/>
    <w:rsid w:val="00D95CDE"/>
    <w:rsid w:val="00D96EEC"/>
    <w:rsid w:val="00D9709E"/>
    <w:rsid w:val="00DB413F"/>
    <w:rsid w:val="00DB5600"/>
    <w:rsid w:val="00DC1DEE"/>
    <w:rsid w:val="00DC47CA"/>
    <w:rsid w:val="00DC4998"/>
    <w:rsid w:val="00DD02BD"/>
    <w:rsid w:val="00DD04E9"/>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DF79D0"/>
    <w:rsid w:val="00E0146F"/>
    <w:rsid w:val="00E03D3A"/>
    <w:rsid w:val="00E0597E"/>
    <w:rsid w:val="00E07742"/>
    <w:rsid w:val="00E14631"/>
    <w:rsid w:val="00E15F79"/>
    <w:rsid w:val="00E24076"/>
    <w:rsid w:val="00E24239"/>
    <w:rsid w:val="00E25264"/>
    <w:rsid w:val="00E26319"/>
    <w:rsid w:val="00E26479"/>
    <w:rsid w:val="00E31626"/>
    <w:rsid w:val="00E31712"/>
    <w:rsid w:val="00E3260B"/>
    <w:rsid w:val="00E33193"/>
    <w:rsid w:val="00E34536"/>
    <w:rsid w:val="00E40711"/>
    <w:rsid w:val="00E40985"/>
    <w:rsid w:val="00E42C05"/>
    <w:rsid w:val="00E46FDF"/>
    <w:rsid w:val="00E65237"/>
    <w:rsid w:val="00E66F59"/>
    <w:rsid w:val="00E7238A"/>
    <w:rsid w:val="00E76DE4"/>
    <w:rsid w:val="00E803F8"/>
    <w:rsid w:val="00E8044A"/>
    <w:rsid w:val="00E81B08"/>
    <w:rsid w:val="00E81B1D"/>
    <w:rsid w:val="00E92526"/>
    <w:rsid w:val="00E9416D"/>
    <w:rsid w:val="00E973AF"/>
    <w:rsid w:val="00E974EB"/>
    <w:rsid w:val="00E97581"/>
    <w:rsid w:val="00E97D20"/>
    <w:rsid w:val="00E97F4E"/>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D0BEA"/>
    <w:rsid w:val="00ED1B82"/>
    <w:rsid w:val="00ED6252"/>
    <w:rsid w:val="00EE0110"/>
    <w:rsid w:val="00EE17A2"/>
    <w:rsid w:val="00EE3756"/>
    <w:rsid w:val="00EE5A07"/>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95AD0"/>
    <w:rsid w:val="00FA1832"/>
    <w:rsid w:val="00FA4F76"/>
    <w:rsid w:val="00FA5D93"/>
    <w:rsid w:val="00FB0F00"/>
    <w:rsid w:val="00FB346B"/>
    <w:rsid w:val="00FC258D"/>
    <w:rsid w:val="00FC327E"/>
    <w:rsid w:val="00FD07CD"/>
    <w:rsid w:val="00FD0AB9"/>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ridgesLab/Developmental-Obes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crunch.org/resolver/IMSR_JAX:000664"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F1F1-238C-E643-A43A-715844FB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28</Pages>
  <Words>30615</Words>
  <Characters>174510</Characters>
  <Application>Microsoft Office Word</Application>
  <DocSecurity>0</DocSecurity>
  <Lines>1454</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 MULCAHY</cp:lastModifiedBy>
  <cp:revision>42</cp:revision>
  <dcterms:created xsi:type="dcterms:W3CDTF">2024-07-16T19:24:00Z</dcterms:created>
  <dcterms:modified xsi:type="dcterms:W3CDTF">2024-08-02T19:08:00Z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id="SthCvmsP"/&gt;&lt;style id="http://www.zotero.org/styles/endocrinology" hasBibliography="1" bibliographyStyleHasBeenSet="1"/&gt;&lt;prefs&gt;&lt;pref name="fieldType" value="Field"/&gt;&lt;/prefs&gt;&lt;/data&gt;</vt:lpwstr>
  </property>
</Properties>
</file>