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r w:rsidR="00F95AD0">
        <w:rPr>
          <w:rFonts w:ascii="Times New Roman" w:hAnsi="Times New Roman" w:cs="Times New Roman"/>
        </w:rPr>
        <w:t>toxins and inflammatory cytokines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r w:rsidR="00F95AD0">
        <w:rPr>
          <w:rFonts w:ascii="Times New Roman" w:hAnsi="Times New Roman" w:cs="Times New Roman"/>
        </w:rPr>
        <w:t>,</w:t>
      </w:r>
      <w:r w:rsidR="00215D96">
        <w:rPr>
          <w:rFonts w:ascii="Times New Roman" w:hAnsi="Times New Roman" w:cs="Times New Roman"/>
        </w:rPr>
        <w:t xml:space="preserve"> </w:t>
      </w:r>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6DF61C2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D80DAC">
        <w:rPr>
          <w:rFonts w:ascii="Times New Roman" w:hAnsi="Times New Roman" w:cs="Times New Roman"/>
        </w:rPr>
        <w:t xml:space="preserve">highlight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r w:rsidR="00F95AD0">
        <w:rPr>
          <w:rFonts w:ascii="Times New Roman" w:hAnsi="Times New Roman" w:cs="Times New Roman"/>
        </w:rPr>
        <w:t>, and insulin sensitivity</w:t>
      </w:r>
      <w:r w:rsidR="00215D96">
        <w:rPr>
          <w:rFonts w:ascii="Times New Roman" w:hAnsi="Times New Roman" w:cs="Times New Roman"/>
        </w:rPr>
        <w:t xml:space="preserve"> </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r w:rsidR="00215D96" w:rsidRPr="007A11AD">
        <w:rPr>
          <w:rFonts w:ascii="Times New Roman" w:hAnsi="Times New Roman" w:cs="Times New Roman"/>
        </w:rPr>
        <w:t xml:space="preserve"> GDF15 signal interruption impacts </w:t>
      </w:r>
      <w:r w:rsidR="0008334B">
        <w:rPr>
          <w:rFonts w:ascii="Times New Roman" w:hAnsi="Times New Roman" w:cs="Times New Roman"/>
        </w:rPr>
        <w:t xml:space="preserve"> food intake </w:t>
      </w:r>
      <w:r w:rsidR="00215D96">
        <w:rPr>
          <w:rFonts w:ascii="Times New Roman" w:hAnsi="Times New Roman" w:cs="Times New Roman"/>
        </w:rPr>
        <w:t>in a diet-dependent manner</w:t>
      </w:r>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r w:rsidR="00881C05">
        <w:rPr>
          <w:rFonts w:ascii="Times New Roman" w:hAnsi="Times New Roman" w:cs="Times New Roman"/>
        </w:rPr>
        <w:t xml:space="preserve">and body weights </w:t>
      </w:r>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r w:rsidR="00881C05">
        <w:rPr>
          <w:rFonts w:ascii="Times New Roman" w:hAnsi="Times New Roman" w:cs="Times New Roman"/>
        </w:rPr>
        <w:t xml:space="preserve">, where it plays a crucial role in </w:t>
      </w:r>
      <w:r w:rsidR="005C68E9">
        <w:rPr>
          <w:rFonts w:ascii="Times New Roman" w:hAnsi="Times New Roman" w:cs="Times New Roman"/>
        </w:rPr>
        <w:t xml:space="preserve"> body weight and food </w:t>
      </w:r>
      <w:r w:rsidR="00881C05">
        <w:rPr>
          <w:rFonts w:ascii="Times New Roman" w:hAnsi="Times New Roman" w:cs="Times New Roman"/>
        </w:rPr>
        <w:t>intake regulation. P</w:t>
      </w:r>
      <w:r w:rsidR="005C68E9">
        <w:rPr>
          <w:rFonts w:ascii="Times New Roman" w:hAnsi="Times New Roman" w:cs="Times New Roman"/>
        </w:rPr>
        <w:t xml:space="preserve">ositive association between </w:t>
      </w:r>
      <w:r w:rsidR="00881C05">
        <w:rPr>
          <w:rFonts w:ascii="Times New Roman" w:hAnsi="Times New Roman" w:cs="Times New Roman"/>
        </w:rPr>
        <w:t xml:space="preserve">quantities of </w:t>
      </w:r>
      <w:r w:rsidR="005C68E9">
        <w:rPr>
          <w:rFonts w:ascii="Times New Roman" w:hAnsi="Times New Roman" w:cs="Times New Roman"/>
        </w:rPr>
        <w:t xml:space="preserve">GFRAL positive neurons and fat mass/body weight gain </w:t>
      </w:r>
      <w:r w:rsidR="00881C05">
        <w:rPr>
          <w:rFonts w:ascii="Times New Roman" w:hAnsi="Times New Roman" w:cs="Times New Roman"/>
        </w:rPr>
        <w:t>reinforce its role in weight regulation</w:t>
      </w:r>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r w:rsidR="00881C05">
        <w:rPr>
          <w:rFonts w:ascii="Times New Roman" w:hAnsi="Times New Roman" w:cs="Times New Roman"/>
        </w:rPr>
        <w:t>The role of</w:t>
      </w:r>
      <w:r w:rsidR="005C68E9">
        <w:rPr>
          <w:rFonts w:ascii="Times New Roman" w:hAnsi="Times New Roman" w:cs="Times New Roman"/>
        </w:rPr>
        <w:t xml:space="preserve"> GFRAL in </w:t>
      </w:r>
      <w:r w:rsidR="00881C05">
        <w:rPr>
          <w:rFonts w:ascii="Times New Roman" w:hAnsi="Times New Roman" w:cs="Times New Roman"/>
        </w:rPr>
        <w:t>weight and feeding behavior is not clear. Ablating</w:t>
      </w:r>
      <w:r w:rsidR="000444DC" w:rsidRPr="002736DD">
        <w:rPr>
          <w:rFonts w:ascii="Times New Roman" w:hAnsi="Times New Roman" w:cs="Times New Roman"/>
        </w:rPr>
        <w:t xml:space="preserve"> GFRAL </w:t>
      </w:r>
      <w:r w:rsidR="00881C05">
        <w:rPr>
          <w:rFonts w:ascii="Times New Roman" w:hAnsi="Times New Roman" w:cs="Times New Roman"/>
        </w:rPr>
        <w:t>has resulted in small mice that are susceptible to overnutrition</w:t>
      </w:r>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r w:rsidR="00881C05">
        <w:rPr>
          <w:rFonts w:ascii="Times New Roman" w:hAnsi="Times New Roman" w:cs="Times New Roman"/>
        </w:rPr>
        <w:t xml:space="preserve"> and mice with no notable </w:t>
      </w:r>
      <w:r w:rsidR="005C68E9">
        <w:rPr>
          <w:rFonts w:ascii="Times New Roman" w:hAnsi="Times New Roman" w:cs="Times New Roman"/>
        </w:rPr>
        <w:t xml:space="preserve">differences in food intake, weight accretion, or </w:t>
      </w:r>
      <w:r w:rsidR="00881C05">
        <w:rPr>
          <w:rFonts w:ascii="Times New Roman" w:hAnsi="Times New Roman" w:cs="Times New Roman"/>
        </w:rPr>
        <w:t xml:space="preserve">body </w:t>
      </w:r>
      <w:r w:rsidR="005C68E9">
        <w:rPr>
          <w:rFonts w:ascii="Times New Roman" w:hAnsi="Times New Roman" w:cs="Times New Roman"/>
        </w:rPr>
        <w:t xml:space="preserve">size </w:t>
      </w:r>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CD0D003"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r w:rsidR="004059BD">
        <w:rPr>
          <w:rFonts w:ascii="Times New Roman" w:hAnsi="Times New Roman" w:cs="Times New Roman"/>
        </w:rPr>
        <w:t>loss of</w:t>
      </w:r>
      <w:r w:rsidR="00101816">
        <w:rPr>
          <w:rFonts w:ascii="Times New Roman" w:hAnsi="Times New Roman" w:cs="Times New Roman"/>
        </w:rPr>
        <w:t xml:space="preserve"> </w:t>
      </w:r>
      <w:r w:rsidR="004059BD">
        <w:rPr>
          <w:rFonts w:ascii="Times New Roman" w:hAnsi="Times New Roman" w:cs="Times New Roman"/>
        </w:rPr>
        <w:t xml:space="preserve">fat taste preference </w:t>
      </w:r>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F95AD0">
        <w:rPr>
          <w:rFonts w:ascii="Times New Roman" w:hAnsi="Times New Roman" w:cs="Times New Roman"/>
        </w:rPr>
        <w:t xml:space="preserve">Exogenous GDF15 can improve </w:t>
      </w:r>
      <w:r w:rsidR="00101816">
        <w:rPr>
          <w:rFonts w:ascii="Times New Roman" w:hAnsi="Times New Roman" w:cs="Times New Roman"/>
        </w:rPr>
        <w:t>glycemia</w:t>
      </w:r>
      <w:r w:rsidR="00F95AD0">
        <w:rPr>
          <w:rFonts w:ascii="Times New Roman" w:hAnsi="Times New Roman" w:cs="Times New Roman"/>
        </w:rPr>
        <w:t xml:space="preserve"> </w:t>
      </w:r>
      <w:r w:rsidR="00101816">
        <w:rPr>
          <w:rFonts w:ascii="Times New Roman" w:hAnsi="Times New Roman" w:cs="Times New Roman"/>
        </w:rPr>
        <w:t>by reducing</w:t>
      </w:r>
      <w:r w:rsidR="00F95AD0">
        <w:rPr>
          <w:rFonts w:ascii="Times New Roman" w:hAnsi="Times New Roman" w:cs="Times New Roman"/>
        </w:rPr>
        <w:t xml:space="preserve"> endogenous glucose production and improv</w:t>
      </w:r>
      <w:r w:rsidR="00101816">
        <w:rPr>
          <w:rFonts w:ascii="Times New Roman" w:hAnsi="Times New Roman" w:cs="Times New Roman"/>
        </w:rPr>
        <w:t>ing</w:t>
      </w:r>
      <w:r w:rsidR="00F95AD0">
        <w:rPr>
          <w:rFonts w:ascii="Times New Roman" w:hAnsi="Times New Roman" w:cs="Times New Roman"/>
        </w:rPr>
        <w:t xml:space="preserve"> peripheral insulin </w:t>
      </w:r>
      <w:r w:rsidR="00101816">
        <w:rPr>
          <w:rFonts w:ascii="Times New Roman" w:hAnsi="Times New Roman" w:cs="Times New Roman"/>
        </w:rPr>
        <w:t>resistance</w:t>
      </w:r>
      <w:r w:rsidR="00F95AD0">
        <w:rPr>
          <w:rFonts w:ascii="Times New Roman" w:hAnsi="Times New Roman" w:cs="Times New Roman"/>
        </w:rPr>
        <w:t>, which is abrogated in knockout animals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F95AD0">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BBF04E2"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101816">
        <w:rPr>
          <w:rFonts w:ascii="Times New Roman" w:hAnsi="Times New Roman" w:cs="Times New Roman"/>
        </w:rPr>
        <w:t>peaks</w:t>
      </w:r>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101816">
        <w:rPr>
          <w:rFonts w:ascii="Times New Roman" w:hAnsi="Times New Roman" w:cs="Times New Roman"/>
        </w:rPr>
        <w:t xml:space="preserve">gestational </w:t>
      </w:r>
      <w:r w:rsidR="00991A2D">
        <w:rPr>
          <w:rFonts w:ascii="Times New Roman" w:hAnsi="Times New Roman" w:cs="Times New Roman"/>
        </w:rPr>
        <w:t>parent</w:t>
      </w:r>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r w:rsidR="00101816">
        <w:rPr>
          <w:rFonts w:ascii="Times New Roman" w:hAnsi="Times New Roman" w:cs="Times New Roman"/>
        </w:rPr>
        <w:t>elevations are</w:t>
      </w:r>
      <w:r w:rsidR="00AB2246">
        <w:rPr>
          <w:rFonts w:ascii="Times New Roman" w:hAnsi="Times New Roman" w:cs="Times New Roman"/>
        </w:rPr>
        <w:t xml:space="preserve"> </w:t>
      </w:r>
      <w:r w:rsidR="00101816">
        <w:rPr>
          <w:rFonts w:ascii="Times New Roman" w:hAnsi="Times New Roman" w:cs="Times New Roman"/>
        </w:rPr>
        <w:t xml:space="preserve">inversely </w:t>
      </w:r>
      <w:r w:rsidR="00AB2246">
        <w:rPr>
          <w:rFonts w:ascii="Times New Roman" w:hAnsi="Times New Roman" w:cs="Times New Roman"/>
        </w:rPr>
        <w:t xml:space="preserve">associated with gestational weight gain </w:t>
      </w:r>
      <w:r w:rsidR="00101816">
        <w:rPr>
          <w:rFonts w:ascii="Times New Roman" w:hAnsi="Times New Roman" w:cs="Times New Roman"/>
        </w:rPr>
        <w:t xml:space="preserve">and </w:t>
      </w:r>
      <w:r w:rsidR="00592757">
        <w:rPr>
          <w:rFonts w:ascii="Times New Roman" w:hAnsi="Times New Roman" w:cs="Times New Roman"/>
        </w:rPr>
        <w:t xml:space="preserve">pre-pregnancy BMI </w:t>
      </w:r>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097CF0">
        <w:rPr>
          <w:rFonts w:ascii="Times New Roman" w:hAnsi="Times New Roman" w:cs="Times New Roman"/>
        </w:rPr>
        <w:t>E</w:t>
      </w:r>
      <w:r w:rsidR="007F3588">
        <w:rPr>
          <w:rFonts w:ascii="Times New Roman" w:hAnsi="Times New Roman" w:cs="Times New Roman"/>
        </w:rPr>
        <w:t xml:space="preserve">pidemiological data </w:t>
      </w:r>
      <w:r w:rsidR="00097CF0">
        <w:rPr>
          <w:rFonts w:ascii="Times New Roman" w:hAnsi="Times New Roman" w:cs="Times New Roman"/>
        </w:rPr>
        <w:t>about the role of GDF15 in complications of pregnancy are conflicting</w:t>
      </w:r>
      <w:r w:rsidR="007F3588">
        <w:rPr>
          <w:rFonts w:ascii="Times New Roman" w:hAnsi="Times New Roman" w:cs="Times New Roman"/>
        </w:rPr>
        <w:t xml:space="preserve">.  </w:t>
      </w:r>
      <w:r w:rsidR="00097CF0">
        <w:rPr>
          <w:rFonts w:ascii="Times New Roman" w:hAnsi="Times New Roman" w:cs="Times New Roman"/>
        </w:rPr>
        <w:t>Pre</w:t>
      </w:r>
      <w:r w:rsidR="00F913B6">
        <w:rPr>
          <w:rFonts w:ascii="Times New Roman" w:hAnsi="Times New Roman" w:cs="Times New Roman"/>
        </w:rPr>
        <w:t>-eclampsia</w:t>
      </w:r>
      <w:r w:rsidR="00097CF0">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097CF0">
        <w:rPr>
          <w:rFonts w:ascii="Times New Roman" w:hAnsi="Times New Roman" w:cs="Times New Roman"/>
        </w:rPr>
        <w:t xml:space="preserve"> serum</w:t>
      </w:r>
      <w:r w:rsidR="00F913B6">
        <w:rPr>
          <w:rFonts w:ascii="Times New Roman" w:hAnsi="Times New Roman" w:cs="Times New Roman"/>
        </w:rPr>
        <w:t xml:space="preserve"> </w:t>
      </w:r>
      <w:r w:rsidR="007F3588">
        <w:rPr>
          <w:rFonts w:ascii="Times New Roman" w:hAnsi="Times New Roman" w:cs="Times New Roman"/>
        </w:rPr>
        <w:t>GDF15</w:t>
      </w:r>
      <w:r w:rsidR="00F913B6">
        <w:rPr>
          <w:rFonts w:ascii="Times New Roman" w:hAnsi="Times New Roman" w:cs="Times New Roman"/>
        </w:rPr>
        <w:t xml:space="preserve"> compared to non-pre</w:t>
      </w:r>
      <w:r w:rsidR="00097CF0">
        <w:rPr>
          <w:rFonts w:ascii="Times New Roman" w:hAnsi="Times New Roman" w:cs="Times New Roman"/>
        </w:rPr>
        <w:t>-</w:t>
      </w:r>
      <w:r w:rsidR="00F913B6">
        <w:rPr>
          <w:rFonts w:ascii="Times New Roman" w:hAnsi="Times New Roman" w:cs="Times New Roman"/>
        </w:rPr>
        <w:t>eclamptic</w:t>
      </w:r>
      <w:r w:rsidR="00097CF0">
        <w:rPr>
          <w:rFonts w:ascii="Times New Roman" w:hAnsi="Times New Roman" w:cs="Times New Roman"/>
        </w:rPr>
        <w:t xml:space="preserve"> gestational</w:t>
      </w:r>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r w:rsidR="00F95AD0">
        <w:rPr>
          <w:rFonts w:ascii="Times New Roman" w:hAnsi="Times New Roman" w:cs="Times New Roman"/>
        </w:rPr>
        <w:t xml:space="preserve">GDF15 elevations in circulation are thought to be </w:t>
      </w:r>
      <w:r w:rsidR="007C3B39">
        <w:rPr>
          <w:rFonts w:ascii="Times New Roman" w:hAnsi="Times New Roman" w:cs="Times New Roman"/>
        </w:rPr>
        <w:t>sentinels</w:t>
      </w:r>
      <w:r w:rsidR="00F95AD0">
        <w:rPr>
          <w:rFonts w:ascii="Times New Roman" w:hAnsi="Times New Roman" w:cs="Times New Roman"/>
        </w:rPr>
        <w:t xml:space="preserve"> of stressors present in the body. </w:t>
      </w:r>
      <w:r w:rsidR="007C3B39">
        <w:rPr>
          <w:rFonts w:ascii="Times New Roman" w:hAnsi="Times New Roman" w:cs="Times New Roman"/>
        </w:rPr>
        <w:t>Comparisons between non-pregnant and p</w:t>
      </w:r>
      <w:r w:rsidR="00F95AD0">
        <w:rPr>
          <w:rFonts w:ascii="Times New Roman" w:hAnsi="Times New Roman" w:cs="Times New Roman"/>
        </w:rPr>
        <w:t>regna</w:t>
      </w:r>
      <w:r w:rsidR="007C3B39">
        <w:rPr>
          <w:rFonts w:ascii="Times New Roman" w:hAnsi="Times New Roman" w:cs="Times New Roman"/>
        </w:rPr>
        <w:t xml:space="preserve">nt individuals and between healthy versus chronic </w:t>
      </w:r>
      <w:r w:rsidR="00F95AD0">
        <w:rPr>
          <w:rFonts w:ascii="Times New Roman" w:hAnsi="Times New Roman" w:cs="Times New Roman"/>
        </w:rPr>
        <w:t>stress during pregnancy</w:t>
      </w:r>
      <w:r w:rsidR="007C3B39">
        <w:rPr>
          <w:rFonts w:ascii="Times New Roman" w:hAnsi="Times New Roman" w:cs="Times New Roman"/>
        </w:rPr>
        <w:t xml:space="preserve"> (like dexamethasone administration) are understudied in murine models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r w:rsidR="007C3B39">
        <w:rPr>
          <w:rFonts w:ascii="Times New Roman" w:hAnsi="Times New Roman" w:cs="Times New Roman"/>
        </w:rPr>
        <w:t xml:space="preserve"> and lack of evaluation of physiological state and chronic stress compounding physiological state</w:t>
      </w:r>
      <w:r w:rsidR="00D21874">
        <w:rPr>
          <w:rFonts w:ascii="Times New Roman" w:hAnsi="Times New Roman" w:cs="Times New Roman"/>
        </w:rPr>
        <w:t xml:space="preserve">, </w:t>
      </w:r>
      <w:r w:rsidR="00D93E43">
        <w:rPr>
          <w:rFonts w:ascii="Times New Roman" w:hAnsi="Times New Roman" w:cs="Times New Roman"/>
        </w:rPr>
        <w:t xml:space="preserve">we sought to </w:t>
      </w:r>
      <w:r w:rsidR="007C3B39">
        <w:rPr>
          <w:rFonts w:ascii="Times New Roman" w:hAnsi="Times New Roman" w:cs="Times New Roman"/>
        </w:rPr>
        <w:t xml:space="preserve">characterize GDF15 in circulation comparing pregnant, non-pregnant, and stressed pregnant females while assessing glycemic health. We also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r w:rsidR="007C3B39">
        <w:rPr>
          <w:rFonts w:ascii="Times New Roman" w:hAnsi="Times New Roman" w:cs="Times New Roman"/>
        </w:rPr>
        <w:t xml:space="preserve">healthy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7AD3F78F"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hyperlink r:id="rId11" w:history="1">
        <w:r w:rsidR="0089053B" w:rsidRPr="00076A5D">
          <w:rPr>
            <w:rStyle w:val="Hyperlink"/>
            <w:rFonts w:ascii="Times New Roman" w:hAnsi="Times New Roman" w:cs="Times New Roman"/>
          </w:rPr>
          <w:t>IMSR_JAX:000664</w:t>
        </w:r>
      </w:hyperlink>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551BD99A"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440F7D">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{"citationID":"VTNqCUkJ","properties":{"formattedCitation":"(30)","plainCitation":"(30)","noteIndex":0},"citationItems":[{"id":2351,"uris":["http://zotero.org/users/5073745/items/S2IV44MG"],"itemData":{"id":2351,"type":"dataset","title":"Supplemental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440F7D">
        <w:rPr>
          <w:rFonts w:ascii="Times New Roman" w:hAnsi="Times New Roman" w:cs="Times New Roman"/>
        </w:rPr>
        <w:fldChar w:fldCharType="separate"/>
      </w:r>
      <w:r w:rsidR="00440F7D" w:rsidRPr="00440F7D">
        <w:rPr>
          <w:rFonts w:ascii="Times New Roman" w:hAnsi="Times New Roman" w:cs="Times New Roman"/>
        </w:rPr>
        <w:t>(30)</w:t>
      </w:r>
      <w:r w:rsidR="00440F7D">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7186DA93"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440F7D" w:rsidRPr="00440F7D">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504999C1"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440F7D" w:rsidRPr="00440F7D">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w:t>
      </w:r>
      <w:proofErr w:type="gramStart"/>
      <w:r w:rsidRPr="00303552">
        <w:rPr>
          <w:rFonts w:ascii="Times New Roman" w:hAnsi="Times New Roman" w:cs="Times New Roman"/>
        </w:rPr>
        <w:t>o-</w:t>
      </w:r>
      <w:proofErr w:type="gramEnd"/>
      <w:r w:rsidRPr="00303552">
        <w:rPr>
          <w:rFonts w:ascii="Times New Roman" w:hAnsi="Times New Roman" w:cs="Times New Roman"/>
        </w:rPr>
        <w:t>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74E6A0C9"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440F7D">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440F7D" w:rsidRPr="00440F7D">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440F7D">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440F7D" w:rsidRPr="00440F7D">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w:t>
      </w:r>
      <w:proofErr w:type="gramStart"/>
      <w:r w:rsidR="002513AE">
        <w:rPr>
          <w:rFonts w:ascii="Times New Roman" w:eastAsia="Times New Roman" w:hAnsi="Times New Roman" w:cs="Times New Roman"/>
        </w:rPr>
        <w:t>Mann</w:t>
      </w:r>
      <w:proofErr w:type="gramEnd"/>
      <w:r w:rsidR="002513AE">
        <w:rPr>
          <w:rFonts w:ascii="Times New Roman" w:eastAsia="Times New Roman" w:hAnsi="Times New Roman" w:cs="Times New Roman"/>
        </w:rPr>
        <w:t xml:space="preserve">-Whitney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6E9A514D"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440F7D" w:rsidRPr="00440F7D">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r w:rsidR="00E31712">
        <w:rPr>
          <w:rFonts w:ascii="Times New Roman" w:hAnsi="Times New Roman" w:cs="Times New Roman"/>
        </w:rPr>
        <w:t xml:space="preserve">chronic stress-related </w:t>
      </w:r>
      <w:r w:rsidR="009F0AD1">
        <w:rPr>
          <w:rFonts w:ascii="Times New Roman" w:hAnsi="Times New Roman" w:cs="Times New Roman"/>
        </w:rPr>
        <w:t>excess</w:t>
      </w:r>
      <w:r w:rsidR="00E31712">
        <w:rPr>
          <w:rFonts w:ascii="Times New Roman" w:hAnsi="Times New Roman" w:cs="Times New Roman"/>
        </w:rPr>
        <w:t>ive</w:t>
      </w:r>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r w:rsidR="00867980">
        <w:rPr>
          <w:rFonts w:ascii="Times New Roman" w:hAnsi="Times New Roman" w:cs="Times New Roman"/>
        </w:rPr>
        <w:t xml:space="preserve"> Consistent with other murine models of pregnancy</w:t>
      </w:r>
      <w:r w:rsidR="006C5A65">
        <w:rPr>
          <w:rFonts w:ascii="Times New Roman" w:hAnsi="Times New Roman" w:cs="Times New Roman"/>
        </w:rPr>
        <w:t>,</w:t>
      </w:r>
      <w:r w:rsidR="00846921">
        <w:rPr>
          <w:rFonts w:ascii="Times New Roman" w:hAnsi="Times New Roman" w:cs="Times New Roman"/>
        </w:rPr>
        <w:t xml:space="preserve"> fasting blood glucose</w:t>
      </w:r>
      <w:r w:rsidR="00867980">
        <w:rPr>
          <w:rFonts w:ascii="Times New Roman" w:hAnsi="Times New Roman" w:cs="Times New Roman"/>
        </w:rPr>
        <w:t xml:space="preserve"> in pregnant dams tended to be lower than non-pregnant females</w:t>
      </w:r>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440F7D" w:rsidRPr="00440F7D">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0"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 xml:space="preserve">pg/dL)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E97F4E">
        <w:rPr>
          <w:rFonts w:ascii="Times New Roman" w:hAnsi="Times New Roman" w:cs="Times New Roman"/>
        </w:rPr>
        <w:t>, via two-way ANOVA</w:t>
      </w:r>
      <w:r w:rsidR="00801A6F">
        <w:rPr>
          <w:rFonts w:ascii="Times New Roman" w:hAnsi="Times New Roman" w:cs="Times New Roman"/>
        </w:rPr>
        <w:t>)</w:t>
      </w:r>
      <w:r w:rsidR="00E26479">
        <w:rPr>
          <w:rFonts w:ascii="Times New Roman" w:hAnsi="Times New Roman" w:cs="Times New Roman"/>
        </w:rPr>
        <w:t>, but does not differ based on collection time (p=0.98)</w:t>
      </w:r>
      <w:r w:rsidR="00801A6F">
        <w:rPr>
          <w:rFonts w:ascii="Times New Roman" w:hAnsi="Times New Roman" w:cs="Times New Roman"/>
        </w:rPr>
        <w:t>.</w:t>
      </w:r>
      <w:bookmarkEnd w:id="0"/>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440F7D">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{"citationID":"iaFCMBIr","properties":{"formattedCitation":"(30)","plainCitation":"(30)","noteIndex":0},"citationItems":[{"id":2351,"uris":["http://zotero.org/users/5073745/items/S2IV44MG"],"itemData":{"id":2351,"type":"dataset","title":"Supplemental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440F7D">
        <w:rPr>
          <w:rFonts w:ascii="Times New Roman" w:hAnsi="Times New Roman" w:cs="Times New Roman"/>
        </w:rPr>
        <w:fldChar w:fldCharType="separate"/>
      </w:r>
      <w:r w:rsidR="00440F7D" w:rsidRPr="00440F7D">
        <w:rPr>
          <w:rFonts w:ascii="Times New Roman" w:hAnsi="Times New Roman" w:cs="Times New Roman"/>
        </w:rPr>
        <w:t>(30)</w:t>
      </w:r>
      <w:r w:rsidR="00440F7D">
        <w:rPr>
          <w:rFonts w:ascii="Times New Roman" w:hAnsi="Times New Roman" w:cs="Times New Roman"/>
        </w:rPr>
        <w:fldChar w:fldCharType="end"/>
      </w:r>
      <w:r w:rsidR="00EB4981">
        <w:rPr>
          <w:rFonts w:ascii="Times New Roman" w:hAnsi="Times New Roman" w:cs="Times New Roman"/>
        </w:rPr>
        <w:t xml:space="preserve">. </w:t>
      </w:r>
    </w:p>
    <w:p w14:paraId="4AB29782" w14:textId="0BDC5695"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440F7D" w:rsidRPr="00440F7D">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r w:rsidR="00E97F4E">
        <w:rPr>
          <w:rFonts w:ascii="Times New Roman" w:hAnsi="Times New Roman" w:cs="Times New Roman"/>
        </w:rPr>
        <w:t>, via two-way ANOVA testing for the effects of time and treatment</w:t>
      </w:r>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334CB64"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9F0AD1">
        <w:rPr>
          <w:rFonts w:ascii="Times New Roman" w:hAnsi="Times New Roman" w:cs="Times New Roman"/>
        </w:rPr>
        <w:t xml:space="preserve">.  </w:t>
      </w:r>
      <w:bookmarkEnd w:id="1"/>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r w:rsidR="0024657C">
        <w:rPr>
          <w:rFonts w:ascii="Times New Roman" w:hAnsi="Times New Roman" w:cs="Times New Roman"/>
        </w:rPr>
        <w:t>1</w:t>
      </w:r>
      <w:r w:rsidR="005E27E2">
        <w:rPr>
          <w:rFonts w:ascii="Times New Roman" w:hAnsi="Times New Roman" w:cs="Times New Roman"/>
        </w:rPr>
        <w:t>% lower</w:t>
      </w:r>
      <w:r w:rsidR="0024657C">
        <w:rPr>
          <w:rFonts w:ascii="Times New Roman" w:hAnsi="Times New Roman" w:cs="Times New Roman"/>
        </w:rPr>
        <w:t xml:space="preserve"> percent</w:t>
      </w:r>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r w:rsidR="0024657C">
        <w:rPr>
          <w:rFonts w:ascii="Times New Roman" w:hAnsi="Times New Roman" w:cs="Times New Roman"/>
        </w:rPr>
        <w:t>14</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06C7AE96"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r w:rsidR="00E97F4E">
        <w:rPr>
          <w:rFonts w:ascii="Times New Roman" w:hAnsi="Times New Roman" w:cs="Times New Roman"/>
        </w:rPr>
        <w:t>2</w:t>
      </w:r>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w:t>
      </w:r>
      <w:proofErr w:type="gramStart"/>
      <w:r w:rsidR="007D0C98">
        <w:rPr>
          <w:rFonts w:ascii="Times New Roman" w:hAnsi="Times New Roman" w:cs="Times New Roman"/>
        </w:rPr>
        <w:t>pups</w:t>
      </w:r>
      <w:proofErr w:type="gramEnd"/>
      <w:r w:rsidR="007D0C98">
        <w:rPr>
          <w:rFonts w:ascii="Times New Roman" w:hAnsi="Times New Roman" w:cs="Times New Roman"/>
        </w:rPr>
        <w:t xml:space="preserve">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B804D0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440F7D" w:rsidRPr="00440F7D">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proofErr w:type="gramStart"/>
      <w:r w:rsidR="00D46538">
        <w:rPr>
          <w:rFonts w:ascii="Times New Roman" w:hAnsi="Times New Roman" w:cs="Times New Roman"/>
        </w:rPr>
        <w:t>was</w:t>
      </w:r>
      <w:proofErr w:type="gramEnd"/>
      <w:r w:rsidR="00D46538">
        <w:rPr>
          <w:rFonts w:ascii="Times New Roman" w:hAnsi="Times New Roman" w:cs="Times New Roman"/>
        </w:rPr>
        <w:t xml:space="preserve">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7070A915"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0D19B6">
        <w:rPr>
          <w:rFonts w:ascii="Times New Roman" w:hAnsi="Times New Roman" w:cs="Times New Roman"/>
        </w:rPr>
        <w:t>is</w:t>
      </w:r>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r w:rsidR="00B2310E">
        <w:rPr>
          <w:rFonts w:ascii="Times New Roman" w:hAnsi="Times New Roman" w:cs="Times New Roman"/>
        </w:rPr>
        <w:t xml:space="preserve">gestational </w:t>
      </w:r>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{"citationID":"J1mzk2Bq","properties":{"formattedCitation":"(41)","plainCitation":"(41)","noteIndex":0},"citationItems":[{"id":441,"uris":["http://zotero.org/users/5073745/items/9VI47QZ9"],"itemData":{"id":441,"type":"article-journal","abstract":"Objectives\nBased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440F7D" w:rsidRPr="00440F7D">
        <w:rPr>
          <w:rFonts w:ascii="Times New Roman" w:hAnsi="Times New Roman" w:cs="Times New Roman"/>
        </w:rPr>
        <w:t>(41)</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r w:rsidR="00A53101">
        <w:rPr>
          <w:rFonts w:ascii="Times New Roman" w:hAnsi="Times New Roman" w:cs="Times New Roman"/>
        </w:rPr>
        <w:t xml:space="preserve">knockout </w:t>
      </w:r>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 xml:space="preserve">gestational </w:t>
      </w:r>
      <w:proofErr w:type="gramStart"/>
      <w:r w:rsidR="0034537A">
        <w:rPr>
          <w:rFonts w:ascii="Times New Roman" w:hAnsi="Times New Roman" w:cs="Times New Roman"/>
        </w:rPr>
        <w:t>outcome</w:t>
      </w:r>
      <w:r w:rsidR="003F62BE">
        <w:rPr>
          <w:rFonts w:ascii="Times New Roman" w:hAnsi="Times New Roman" w:cs="Times New Roman"/>
        </w:rPr>
        <w:t>s</w:t>
      </w:r>
      <w:r w:rsidR="0034537A">
        <w:rPr>
          <w:rFonts w:ascii="Times New Roman" w:hAnsi="Times New Roman" w:cs="Times New Roman"/>
        </w:rPr>
        <w:t>,</w:t>
      </w:r>
      <w:proofErr w:type="gramEnd"/>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 xml:space="preserve">pregnancy or gestational outcomes during breeding or maintenance, but only describe differences as adults.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{"citationID":"abwxrZw9","properties":{"formattedCitation":"(42)","plainCitation":"(42)","noteIndex":0},"citationItems":[{"id":456,"uris":["http://zotero.org/users/5073745/items/MW9GMYQZ"],"itemData":{"id":456,"type":"article-journal","abstract":"Transgenic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40F7D" w:rsidRPr="00440F7D">
        <w:rPr>
          <w:rFonts w:ascii="Times New Roman" w:hAnsi="Times New Roman" w:cs="Times New Roman"/>
        </w:rPr>
        <w:t>(42)</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{"citationID":"ZazM2VaR","properties":{"formattedCitation":"(43)","plainCitation":"(43)","noteIndex":0},"citationItems":[{"id":1945,"uris":["http://zotero.org/users/5073745/items/J7TYZZGI"],"itemData":{"id":1945,"type":"article-journal","abstract":"We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40F7D" w:rsidRPr="00440F7D">
        <w:rPr>
          <w:rFonts w:ascii="Times New Roman" w:hAnsi="Times New Roman" w:cs="Times New Roman"/>
        </w:rPr>
        <w:t>(43)</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{"citationID":"1g14njlO","properties":{"formattedCitation":"(42)","plainCitation":"(42)","noteIndex":0},"citationItems":[{"id":456,"uris":["http://zotero.org/users/5073745/items/MW9GMYQZ"],"itemData":{"id":456,"type":"article-journal","abstract":"Transgenic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40F7D" w:rsidRPr="00440F7D">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w:t>
      </w:r>
      <w:r w:rsidR="00A53101">
        <w:rPr>
          <w:rFonts w:ascii="Times New Roman" w:hAnsi="Times New Roman" w:cs="Times New Roman"/>
        </w:rPr>
        <w:t>E</w:t>
      </w:r>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{"citationID":"6spSNMao","properties":{"formattedCitation":"(17,44)","plainCitation":"(17,44)","noteIndex":0},"citationItems":[{"id":461,"uris":["http://zotero.org/users/5073745/items/4SK3Y76E"],"itemData":{"id":461,"type":"article-journal","container-title":"Nature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40F7D" w:rsidRPr="00440F7D">
        <w:rPr>
          <w:rFonts w:ascii="Times New Roman" w:hAnsi="Times New Roman" w:cs="Times New Roman"/>
        </w:rPr>
        <w:t>(17,44)</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440F7D">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{"citationID":"w1L7Z5OR","properties":{"formattedCitation":"(30)","plainCitation":"(30)","noteIndex":0},"citationItems":[{"id":2351,"uris":["http://zotero.org/users/5073745/items/S2IV44MG"],"itemData":{"id":2351,"type":"dataset","title":"Supplemental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440F7D">
        <w:rPr>
          <w:rFonts w:ascii="Times New Roman" w:hAnsi="Times New Roman" w:cs="Times New Roman"/>
        </w:rPr>
        <w:fldChar w:fldCharType="separate"/>
      </w:r>
      <w:r w:rsidR="00440F7D" w:rsidRPr="00440F7D">
        <w:rPr>
          <w:rFonts w:ascii="Times New Roman" w:hAnsi="Times New Roman" w:cs="Times New Roman"/>
        </w:rPr>
        <w:t>(30)</w:t>
      </w:r>
      <w:r w:rsidR="00440F7D">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r w:rsidR="00921940">
        <w:rPr>
          <w:rFonts w:ascii="Times New Roman" w:hAnsi="Times New Roman" w:cs="Times New Roman"/>
        </w:rPr>
        <w:t xml:space="preserve">in dams and insignificant </w:t>
      </w:r>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r w:rsidR="00921940">
        <w:rPr>
          <w:rFonts w:ascii="Times New Roman" w:hAnsi="Times New Roman" w:cs="Times New Roman"/>
        </w:rPr>
        <w:t>induced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r w:rsidR="00921940">
        <w:rPr>
          <w:rFonts w:ascii="Times New Roman" w:hAnsi="Times New Roman" w:cs="Times New Roman"/>
        </w:rPr>
        <w:t>The</w:t>
      </w:r>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{"citationID":"Gj5u3jBl","properties":{"formattedCitation":"(45)","plainCitation":"(45)","noteIndex":0},"citationItems":[{"id":1943,"uris":["http://zotero.org/users/5073745/items/EP7ZQSR9"],"itemData":{"id":1943,"type":"article-journal","abstract":"Download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40F7D" w:rsidRPr="00440F7D">
        <w:rPr>
          <w:rFonts w:ascii="Times New Roman" w:hAnsi="Times New Roman" w:cs="Times New Roman"/>
        </w:rPr>
        <w:t>(45)</w:t>
      </w:r>
      <w:r w:rsidR="00CF07BD">
        <w:rPr>
          <w:rFonts w:ascii="Times New Roman" w:hAnsi="Times New Roman" w:cs="Times New Roman"/>
        </w:rPr>
        <w:fldChar w:fldCharType="end"/>
      </w:r>
      <w:r w:rsidR="00CF07BD">
        <w:rPr>
          <w:rFonts w:ascii="Times New Roman" w:hAnsi="Times New Roman" w:cs="Times New Roman"/>
        </w:rPr>
        <w:t>.</w:t>
      </w:r>
    </w:p>
    <w:p w14:paraId="1B1CE7DD" w14:textId="047955A7"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r w:rsidR="00921940">
        <w:rPr>
          <w:rFonts w:ascii="Times New Roman" w:hAnsi="Times New Roman" w:cs="Times New Roman"/>
        </w:rPr>
        <w:t>perinatal</w:t>
      </w:r>
      <w:r w:rsidRPr="00441EC8">
        <w:rPr>
          <w:rFonts w:ascii="Times New Roman" w:hAnsi="Times New Roman" w:cs="Times New Roman"/>
        </w:rPr>
        <w:t xml:space="preserve"> and lactation </w:t>
      </w:r>
      <w:r w:rsidR="00921940">
        <w:rPr>
          <w:rFonts w:ascii="Times New Roman" w:hAnsi="Times New Roman" w:cs="Times New Roman"/>
        </w:rPr>
        <w:t xml:space="preserve">outcomes </w:t>
      </w:r>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921940">
        <w:rPr>
          <w:rFonts w:ascii="Times New Roman" w:hAnsi="Times New Roman" w:cs="Times New Roman"/>
        </w:rPr>
        <w:t>Overexpression</w:t>
      </w:r>
      <w:r w:rsidR="00BB44DA" w:rsidRPr="00441EC8">
        <w:rPr>
          <w:rFonts w:ascii="Times New Roman" w:hAnsi="Times New Roman" w:cs="Times New Roman"/>
        </w:rPr>
        <w:t>, exogenous</w:t>
      </w:r>
      <w:r w:rsidR="00921940">
        <w:rPr>
          <w:rFonts w:ascii="Times New Roman" w:hAnsi="Times New Roman" w:cs="Times New Roman"/>
        </w:rPr>
        <w:t xml:space="preserve"> administration</w:t>
      </w:r>
      <w:r w:rsidR="00BB44DA" w:rsidRPr="00441EC8">
        <w:rPr>
          <w:rFonts w:ascii="Times New Roman" w:hAnsi="Times New Roman" w:cs="Times New Roman"/>
        </w:rPr>
        <w:t xml:space="preserve">, or </w:t>
      </w:r>
      <w:proofErr w:type="gramStart"/>
      <w:r w:rsidR="00BB44DA" w:rsidRPr="00441EC8">
        <w:rPr>
          <w:rFonts w:ascii="Times New Roman" w:hAnsi="Times New Roman" w:cs="Times New Roman"/>
        </w:rPr>
        <w:t>induce</w:t>
      </w:r>
      <w:proofErr w:type="gramEnd"/>
      <w:r w:rsidR="00BB44DA" w:rsidRPr="00441EC8">
        <w:rPr>
          <w:rFonts w:ascii="Times New Roman" w:hAnsi="Times New Roman" w:cs="Times New Roman"/>
        </w:rPr>
        <w:t xml:space="preserve"> long-term highly disruptive stressors </w:t>
      </w:r>
      <w:r w:rsidR="00921940">
        <w:rPr>
          <w:rFonts w:ascii="Times New Roman" w:hAnsi="Times New Roman" w:cs="Times New Roman"/>
        </w:rPr>
        <w:t>report</w:t>
      </w:r>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921940">
        <w:rPr>
          <w:rFonts w:ascii="Times New Roman" w:hAnsi="Times New Roman" w:cs="Times New Roman"/>
        </w:rPr>
        <w:t>may be</w:t>
      </w:r>
      <w:r w:rsidR="00921940" w:rsidRPr="00441EC8">
        <w:rPr>
          <w:rFonts w:ascii="Times New Roman" w:hAnsi="Times New Roman" w:cs="Times New Roman"/>
        </w:rPr>
        <w:t xml:space="preserve"> </w:t>
      </w:r>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65E2E4D7" w:rsidR="00AB67D8" w:rsidRDefault="00921940" w:rsidP="003E28FC">
      <w:pPr>
        <w:spacing w:line="480" w:lineRule="auto"/>
        <w:ind w:firstLine="720"/>
        <w:rPr>
          <w:rFonts w:ascii="Times New Roman" w:hAnsi="Times New Roman" w:cs="Times New Roman"/>
        </w:rPr>
      </w:pPr>
      <w:r>
        <w:rPr>
          <w:rFonts w:ascii="Times New Roman" w:hAnsi="Times New Roman" w:cs="Times New Roman"/>
        </w:rPr>
        <w:t>This study has a few key constraints</w:t>
      </w:r>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r>
        <w:rPr>
          <w:rFonts w:ascii="Times New Roman" w:hAnsi="Times New Roman" w:cs="Times New Roman"/>
        </w:rPr>
        <w:t>Most</w:t>
      </w:r>
      <w:r w:rsidR="00FE6E8E" w:rsidRPr="00CB2486">
        <w:rPr>
          <w:rFonts w:ascii="Times New Roman" w:hAnsi="Times New Roman" w:cs="Times New Roman"/>
        </w:rPr>
        <w:t xml:space="preserve"> human pregnancies are singleton </w:t>
      </w:r>
      <w:r>
        <w:rPr>
          <w:rFonts w:ascii="Times New Roman" w:hAnsi="Times New Roman" w:cs="Times New Roman"/>
        </w:rPr>
        <w:t>whereas</w:t>
      </w:r>
      <w:r w:rsidRPr="00CB2486">
        <w:rPr>
          <w:rFonts w:ascii="Times New Roman" w:hAnsi="Times New Roman" w:cs="Times New Roman"/>
        </w:rPr>
        <w:t xml:space="preserve"> </w:t>
      </w:r>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440F7D">
        <w:rPr>
          <w:rFonts w:ascii="Times New Roman" w:hAnsi="Times New Roman" w:cs="Times New Roman"/>
        </w:rPr>
        <w:instrText xml:space="preserve"> ADDIN ZOTERO_ITEM CSL_CITATION {"citationID":"Uq8azzWo","properties":{"formattedCitation":"(46)","plainCitation":"(46)","noteIndex":0},"citationItems":[{"id":602,"uris":["http://zotero.org/users/5073745/items/L4RSGINP"],"itemData":{"id":602,"type":"article-journal","container-title":"Journal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40F7D" w:rsidRPr="00440F7D">
        <w:rPr>
          <w:rFonts w:ascii="Times New Roman" w:hAnsi="Times New Roman" w:cs="Times New Roman"/>
        </w:rPr>
        <w:t>(46)</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r>
        <w:rPr>
          <w:rFonts w:ascii="Times New Roman" w:hAnsi="Times New Roman" w:cs="Times New Roman"/>
        </w:rPr>
        <w:t>dam</w:t>
      </w:r>
      <w:r w:rsidRPr="00CB2486">
        <w:rPr>
          <w:rFonts w:ascii="Times New Roman" w:hAnsi="Times New Roman" w:cs="Times New Roman"/>
        </w:rPr>
        <w:t xml:space="preserve"> </w:t>
      </w:r>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sidR="003F62BE">
        <w:rPr>
          <w:rFonts w:ascii="Times New Roman" w:hAnsi="Times New Roman" w:cs="Times New Roman"/>
        </w:rPr>
        <w:t xml:space="preserve"> pairs</w:t>
      </w:r>
      <w:r w:rsidR="00CD052D" w:rsidRPr="00CB2486">
        <w:rPr>
          <w:rFonts w:ascii="Times New Roman" w:hAnsi="Times New Roman" w:cs="Times New Roman"/>
        </w:rPr>
        <w:t xml:space="preserve">. </w:t>
      </w:r>
      <w:r>
        <w:rPr>
          <w:rFonts w:ascii="Times New Roman" w:hAnsi="Times New Roman" w:cs="Times New Roman"/>
        </w:rPr>
        <w:t>In the resultant</w:t>
      </w:r>
      <w:r w:rsidR="00F50237">
        <w:rPr>
          <w:rFonts w:ascii="Times New Roman" w:hAnsi="Times New Roman" w:cs="Times New Roman"/>
        </w:rPr>
        <w:t xml:space="preserve"> offspring </w:t>
      </w:r>
      <w:r w:rsidR="00F2698C" w:rsidRPr="00CB2486">
        <w:rPr>
          <w:rFonts w:ascii="Times New Roman" w:hAnsi="Times New Roman" w:cs="Times New Roman"/>
        </w:rPr>
        <w:t xml:space="preserve">we did not detect any differences in growth. </w:t>
      </w:r>
      <w:r>
        <w:rPr>
          <w:rFonts w:ascii="Times New Roman" w:hAnsi="Times New Roman" w:cs="Times New Roman"/>
        </w:rPr>
        <w:t>However, a</w:t>
      </w:r>
      <w:r w:rsidR="0059574E" w:rsidRPr="00CB2486">
        <w:rPr>
          <w:rFonts w:ascii="Times New Roman" w:hAnsi="Times New Roman" w:cs="Times New Roman"/>
        </w:rPr>
        <w:t xml:space="preserve"> larger sample size </w:t>
      </w:r>
      <w:r>
        <w:rPr>
          <w:rFonts w:ascii="Times New Roman" w:hAnsi="Times New Roman" w:cs="Times New Roman"/>
        </w:rPr>
        <w:t>would provide more power for the examined</w:t>
      </w:r>
      <w:r w:rsidR="008F750F" w:rsidRPr="00CB2486">
        <w:rPr>
          <w:rFonts w:ascii="Times New Roman" w:hAnsi="Times New Roman" w:cs="Times New Roman"/>
        </w:rPr>
        <w:t xml:space="preserve"> outcomes</w:t>
      </w:r>
      <w:r w:rsidR="00E97581" w:rsidRPr="00CB2486">
        <w:rPr>
          <w:rFonts w:ascii="Times New Roman" w:hAnsi="Times New Roman" w:cs="Times New Roman"/>
        </w:rPr>
        <w:t xml:space="preserve">. </w:t>
      </w:r>
      <w:r>
        <w:rPr>
          <w:rFonts w:ascii="Times New Roman" w:hAnsi="Times New Roman" w:cs="Times New Roman"/>
        </w:rPr>
        <w:t>C</w:t>
      </w:r>
      <w:r w:rsidR="00FC327E">
        <w:rPr>
          <w:rFonts w:ascii="Times New Roman" w:hAnsi="Times New Roman" w:cs="Times New Roman"/>
        </w:rPr>
        <w:t>ompensatory adaptations, such as other feeding hormones</w:t>
      </w:r>
      <w:r>
        <w:rPr>
          <w:rFonts w:ascii="Times New Roman" w:hAnsi="Times New Roman" w:cs="Times New Roman"/>
        </w:rPr>
        <w:t>, may also</w:t>
      </w:r>
      <w:r w:rsidR="00FC327E">
        <w:rPr>
          <w:rFonts w:ascii="Times New Roman" w:hAnsi="Times New Roman" w:cs="Times New Roman"/>
        </w:rPr>
        <w:t xml:space="preserve"> </w:t>
      </w:r>
      <w:r>
        <w:rPr>
          <w:rFonts w:ascii="Times New Roman" w:hAnsi="Times New Roman" w:cs="Times New Roman"/>
        </w:rPr>
        <w:t>co-</w:t>
      </w:r>
      <w:r w:rsidR="00FC327E">
        <w:rPr>
          <w:rFonts w:ascii="Times New Roman" w:hAnsi="Times New Roman" w:cs="Times New Roman"/>
        </w:rPr>
        <w:t xml:space="preserve">occur with life-long loss of GDF15. </w:t>
      </w:r>
      <w:r>
        <w:rPr>
          <w:rFonts w:ascii="Times New Roman" w:hAnsi="Times New Roman" w:cs="Times New Roman"/>
        </w:rPr>
        <w:t>The follow up period for offsprubg was</w:t>
      </w:r>
      <w:r w:rsidR="00962AD9" w:rsidRPr="00CB2486">
        <w:rPr>
          <w:rFonts w:ascii="Times New Roman" w:hAnsi="Times New Roman" w:cs="Times New Roman"/>
        </w:rPr>
        <w:t xml:space="preserve"> relatively short</w:t>
      </w:r>
      <w:r>
        <w:rPr>
          <w:rFonts w:ascii="Times New Roman" w:hAnsi="Times New Roman" w:cs="Times New Roman"/>
        </w:rPr>
        <w:t>, which could mean changed later in life occurred unobserved</w:t>
      </w:r>
      <w:r w:rsidR="00962AD9" w:rsidRPr="00CB2486">
        <w:rPr>
          <w:rFonts w:ascii="Times New Roman" w:hAnsi="Times New Roman" w:cs="Times New Roman"/>
        </w:rPr>
        <w:t xml:space="preserve">. </w:t>
      </w:r>
      <w:r w:rsidR="003F62BE">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r>
        <w:rPr>
          <w:rFonts w:ascii="Times New Roman" w:hAnsi="Times New Roman" w:cs="Times New Roman"/>
        </w:rPr>
        <w:t xml:space="preserve"> like</w:t>
      </w:r>
      <w:r w:rsidR="003F62BE">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DB71EC5" w:rsidR="00C6116A" w:rsidRDefault="00921940" w:rsidP="003E28FC">
      <w:pPr>
        <w:spacing w:line="480" w:lineRule="auto"/>
        <w:ind w:firstLine="720"/>
        <w:rPr>
          <w:rFonts w:ascii="Times New Roman" w:hAnsi="Times New Roman" w:cs="Times New Roman"/>
        </w:rPr>
      </w:pPr>
      <w:r>
        <w:rPr>
          <w:rFonts w:ascii="Times New Roman" w:hAnsi="Times New Roman" w:cs="Times New Roman"/>
        </w:rPr>
        <w:t>The present</w:t>
      </w:r>
      <w:r w:rsidR="008F750F">
        <w:rPr>
          <w:rFonts w:ascii="Times New Roman" w:hAnsi="Times New Roman" w:cs="Times New Roman"/>
        </w:rPr>
        <w:t xml:space="preserve"> study </w:t>
      </w:r>
      <w:r>
        <w:rPr>
          <w:rFonts w:ascii="Times New Roman" w:hAnsi="Times New Roman" w:cs="Times New Roman"/>
        </w:rPr>
        <w:t>has advantages,</w:t>
      </w:r>
      <w:r w:rsidR="00356634">
        <w:rPr>
          <w:rFonts w:ascii="Times New Roman" w:hAnsi="Times New Roman" w:cs="Times New Roman"/>
        </w:rPr>
        <w:t xml:space="preserve"> including strong environmental, genetic</w:t>
      </w:r>
      <w:r w:rsidR="00882A87">
        <w:rPr>
          <w:rFonts w:ascii="Times New Roman" w:hAnsi="Times New Roman" w:cs="Times New Roman"/>
        </w:rPr>
        <w:t>,</w:t>
      </w:r>
      <w:r w:rsidR="00356634">
        <w:rPr>
          <w:rFonts w:ascii="Times New Roman" w:hAnsi="Times New Roman" w:cs="Times New Roman"/>
        </w:rPr>
        <w:t xml:space="preserve"> and experimental consistency. </w:t>
      </w:r>
      <w:r w:rsidR="006C49A8">
        <w:rPr>
          <w:rFonts w:ascii="Times New Roman" w:hAnsi="Times New Roman" w:cs="Times New Roman"/>
        </w:rPr>
        <w:t>D</w:t>
      </w:r>
      <w:r w:rsidR="00356634">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sidR="00356634">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sidR="00356634">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sidR="00356634">
        <w:rPr>
          <w:rFonts w:ascii="Times New Roman" w:hAnsi="Times New Roman" w:cs="Times New Roman"/>
        </w:rPr>
        <w:t xml:space="preserve"> body weight</w:t>
      </w:r>
      <w:r w:rsidR="00645688">
        <w:rPr>
          <w:rFonts w:ascii="Times New Roman" w:hAnsi="Times New Roman" w:cs="Times New Roman"/>
        </w:rPr>
        <w:t xml:space="preserve"> gain</w:t>
      </w:r>
      <w:r w:rsidR="00356634">
        <w:rPr>
          <w:rFonts w:ascii="Times New Roman" w:hAnsi="Times New Roman" w:cs="Times New Roman"/>
        </w:rPr>
        <w:t xml:space="preserve">, </w:t>
      </w:r>
      <w:r w:rsidR="00645688">
        <w:rPr>
          <w:rFonts w:ascii="Times New Roman" w:hAnsi="Times New Roman" w:cs="Times New Roman"/>
        </w:rPr>
        <w:t xml:space="preserve">increases in </w:t>
      </w:r>
      <w:r w:rsidR="00356634">
        <w:rPr>
          <w:rFonts w:ascii="Times New Roman" w:hAnsi="Times New Roman" w:cs="Times New Roman"/>
        </w:rPr>
        <w:t>food intake, or</w:t>
      </w:r>
      <w:r w:rsidR="00645688">
        <w:rPr>
          <w:rFonts w:ascii="Times New Roman" w:hAnsi="Times New Roman" w:cs="Times New Roman"/>
        </w:rPr>
        <w:t xml:space="preserve"> early postnatal</w:t>
      </w:r>
      <w:r w:rsidR="00356634">
        <w:rPr>
          <w:rFonts w:ascii="Times New Roman" w:hAnsi="Times New Roman" w:cs="Times New Roman"/>
        </w:rPr>
        <w:t xml:space="preserve"> offspring </w:t>
      </w:r>
      <w:r w:rsidR="00645688">
        <w:rPr>
          <w:rFonts w:ascii="Times New Roman" w:hAnsi="Times New Roman" w:cs="Times New Roman"/>
        </w:rPr>
        <w:t>health</w:t>
      </w:r>
      <w:r w:rsidR="00356634">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29F2C9CE"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r w:rsidR="00921940">
        <w:rPr>
          <w:rFonts w:ascii="Times New Roman" w:hAnsi="Times New Roman" w:cs="Times New Roman"/>
        </w:rPr>
        <w:t>elevations</w:t>
      </w:r>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09B9C841"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2" w:history="1">
        <w:r w:rsidR="001F101D" w:rsidRPr="001F101D">
          <w:rPr>
            <w:rStyle w:val="Hyperlink"/>
            <w:rFonts w:ascii="Times New Roman" w:hAnsi="Times New Roman" w:cs="Times New Roman"/>
          </w:rPr>
          <w:t>https://github.com/BridgesLab/Developmental-Obesity</w:t>
        </w:r>
      </w:hyperlink>
      <w:r w:rsidR="00440F7D">
        <w:rPr>
          <w:rStyle w:val="Hyperlink"/>
          <w:rFonts w:ascii="Times New Roman" w:hAnsi="Times New Roman" w:cs="Times New Roman"/>
        </w:rPr>
        <w:fldChar w:fldCharType="begin"/>
      </w:r>
      <w:r w:rsidR="00440F7D">
        <w:rPr>
          <w:rStyle w:val="Hyperlink"/>
          <w:rFonts w:ascii="Times New Roman" w:hAnsi="Times New Roman" w:cs="Times New Roman"/>
        </w:rPr>
        <w:instrText xml:space="preserve"> ADDIN ZOTERO_ITEM CSL_CITATION {"citationID":"KDE6ZNHf","properties":{"formattedCitation":"(30)","plainCitation":"(30)","noteIndex":0},"citationItems":[{"id":2351,"uris":["http://zotero.org/users/5073745/items/S2IV44MG"],"itemData":{"id":2351,"type":"dataset","title":"Supplemental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440F7D">
        <w:rPr>
          <w:rStyle w:val="Hyperlink"/>
          <w:rFonts w:ascii="Times New Roman" w:hAnsi="Times New Roman" w:cs="Times New Roman"/>
        </w:rPr>
        <w:fldChar w:fldCharType="separate"/>
      </w:r>
      <w:r w:rsidR="00440F7D" w:rsidRPr="00440F7D">
        <w:rPr>
          <w:rFonts w:ascii="Times New Roman" w:hAnsi="Times New Roman" w:cs="Times New Roman"/>
        </w:rPr>
        <w:t>(30)</w:t>
      </w:r>
      <w:r w:rsidR="00440F7D">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2DC6E6B6" w14:textId="77777777" w:rsidR="004E4988" w:rsidRPr="004E4988" w:rsidRDefault="006D0E50" w:rsidP="004E4988">
      <w:pPr>
        <w:pStyle w:val="Bibliography"/>
        <w:rPr>
          <w:rFonts w:ascii="Calibri" w:hAnsi="Calibri" w:cs="Calibri"/>
        </w:rPr>
      </w:pPr>
      <w:r w:rsidRPr="00F145A3">
        <w:fldChar w:fldCharType="begin"/>
      </w:r>
      <w:r w:rsidR="004E4988">
        <w:instrText xml:space="preserve"> ADDIN ZOTERO_BIBL {"uncited":[],"omitted":[],"custom":[]} CSL_BIBLIOGRAPHY </w:instrText>
      </w:r>
      <w:r w:rsidRPr="00F145A3">
        <w:fldChar w:fldCharType="separate"/>
      </w:r>
      <w:r w:rsidR="004E4988" w:rsidRPr="004E4988">
        <w:rPr>
          <w:rFonts w:ascii="Calibri" w:hAnsi="Calibri" w:cs="Calibri"/>
        </w:rPr>
        <w:t xml:space="preserve">1. </w:t>
      </w:r>
      <w:r w:rsidR="004E4988" w:rsidRPr="004E4988">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4E4988" w:rsidRPr="004E4988">
        <w:rPr>
          <w:rFonts w:ascii="Calibri" w:hAnsi="Calibri" w:cs="Calibri"/>
          <w:i/>
          <w:iCs/>
        </w:rPr>
        <w:t>Proceedings of the National Academy of Sciences</w:t>
      </w:r>
      <w:r w:rsidR="004E4988" w:rsidRPr="004E4988">
        <w:rPr>
          <w:rFonts w:ascii="Calibri" w:hAnsi="Calibri" w:cs="Calibri"/>
        </w:rPr>
        <w:t xml:space="preserve"> 1997;94(21):11514–11519.</w:t>
      </w:r>
    </w:p>
    <w:p w14:paraId="428DB1DA" w14:textId="77777777" w:rsidR="004E4988" w:rsidRPr="004E4988" w:rsidRDefault="004E4988" w:rsidP="004E4988">
      <w:pPr>
        <w:pStyle w:val="Bibliography"/>
        <w:rPr>
          <w:rFonts w:ascii="Calibri" w:hAnsi="Calibri" w:cs="Calibri"/>
        </w:rPr>
      </w:pPr>
      <w:r w:rsidRPr="004E4988">
        <w:rPr>
          <w:rFonts w:ascii="Calibri" w:hAnsi="Calibri" w:cs="Calibri"/>
        </w:rPr>
        <w:t xml:space="preserve">2. </w:t>
      </w:r>
      <w:r w:rsidRPr="004E4988">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4E4988">
        <w:rPr>
          <w:rFonts w:ascii="Calibri" w:hAnsi="Calibri" w:cs="Calibri"/>
          <w:i/>
          <w:iCs/>
        </w:rPr>
        <w:t>Clinical Chemistry and Laboratory Medicine (CCLM)</w:t>
      </w:r>
      <w:r w:rsidRPr="004E4988">
        <w:rPr>
          <w:rFonts w:ascii="Calibri" w:hAnsi="Calibri" w:cs="Calibri"/>
        </w:rPr>
        <w:t xml:space="preserve"> 2022. doi:10.1515/cclm-2022-0135.</w:t>
      </w:r>
    </w:p>
    <w:p w14:paraId="50ECDAF3" w14:textId="77777777" w:rsidR="004E4988" w:rsidRPr="004E4988" w:rsidRDefault="004E4988" w:rsidP="004E4988">
      <w:pPr>
        <w:pStyle w:val="Bibliography"/>
        <w:rPr>
          <w:rFonts w:ascii="Calibri" w:hAnsi="Calibri" w:cs="Calibri"/>
        </w:rPr>
      </w:pPr>
      <w:r w:rsidRPr="004E4988">
        <w:rPr>
          <w:rFonts w:ascii="Calibri" w:hAnsi="Calibri" w:cs="Calibri"/>
        </w:rPr>
        <w:t xml:space="preserve">3. </w:t>
      </w:r>
      <w:r w:rsidRPr="004E4988">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4E4988">
        <w:rPr>
          <w:rFonts w:ascii="Calibri" w:hAnsi="Calibri" w:cs="Calibri"/>
          <w:i/>
          <w:iCs/>
        </w:rPr>
        <w:t>Circ Res</w:t>
      </w:r>
      <w:r w:rsidRPr="004E4988">
        <w:rPr>
          <w:rFonts w:ascii="Calibri" w:hAnsi="Calibri" w:cs="Calibri"/>
        </w:rPr>
        <w:t xml:space="preserve"> 2006;98(3):351–360.</w:t>
      </w:r>
    </w:p>
    <w:p w14:paraId="2998858E" w14:textId="77777777" w:rsidR="004E4988" w:rsidRPr="004E4988" w:rsidRDefault="004E4988" w:rsidP="004E4988">
      <w:pPr>
        <w:pStyle w:val="Bibliography"/>
        <w:rPr>
          <w:rFonts w:ascii="Calibri" w:hAnsi="Calibri" w:cs="Calibri"/>
        </w:rPr>
      </w:pPr>
      <w:r w:rsidRPr="004E4988">
        <w:rPr>
          <w:rFonts w:ascii="Calibri" w:hAnsi="Calibri" w:cs="Calibri"/>
        </w:rPr>
        <w:t xml:space="preserve">4. </w:t>
      </w:r>
      <w:r w:rsidRPr="004E4988">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4E4988">
        <w:rPr>
          <w:rFonts w:ascii="Calibri" w:hAnsi="Calibri" w:cs="Calibri"/>
          <w:i/>
          <w:iCs/>
        </w:rPr>
        <w:t>Nat Med</w:t>
      </w:r>
      <w:r w:rsidRPr="004E4988">
        <w:rPr>
          <w:rFonts w:ascii="Calibri" w:hAnsi="Calibri" w:cs="Calibri"/>
        </w:rPr>
        <w:t xml:space="preserve"> 2020;26(8):1264–1270.</w:t>
      </w:r>
    </w:p>
    <w:p w14:paraId="5B4853EE" w14:textId="77777777" w:rsidR="004E4988" w:rsidRPr="004E4988" w:rsidRDefault="004E4988" w:rsidP="004E4988">
      <w:pPr>
        <w:pStyle w:val="Bibliography"/>
        <w:rPr>
          <w:rFonts w:ascii="Calibri" w:hAnsi="Calibri" w:cs="Calibri"/>
        </w:rPr>
      </w:pPr>
      <w:r w:rsidRPr="004E4988">
        <w:rPr>
          <w:rFonts w:ascii="Calibri" w:hAnsi="Calibri" w:cs="Calibri"/>
        </w:rPr>
        <w:t xml:space="preserve">5. </w:t>
      </w:r>
      <w:r w:rsidRPr="004E4988">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4E4988">
        <w:rPr>
          <w:rFonts w:ascii="Calibri" w:hAnsi="Calibri" w:cs="Calibri"/>
          <w:i/>
          <w:iCs/>
        </w:rPr>
        <w:t>EMBO reports</w:t>
      </w:r>
      <w:r w:rsidRPr="004E4988">
        <w:rPr>
          <w:rFonts w:ascii="Calibri" w:hAnsi="Calibri" w:cs="Calibri"/>
        </w:rPr>
        <w:t xml:space="preserve"> 2020;21(3):e48804.</w:t>
      </w:r>
    </w:p>
    <w:p w14:paraId="00C8A5E9" w14:textId="77777777" w:rsidR="004E4988" w:rsidRPr="004E4988" w:rsidRDefault="004E4988" w:rsidP="004E4988">
      <w:pPr>
        <w:pStyle w:val="Bibliography"/>
        <w:rPr>
          <w:rFonts w:ascii="Calibri" w:hAnsi="Calibri" w:cs="Calibri"/>
        </w:rPr>
      </w:pPr>
      <w:r w:rsidRPr="004E4988">
        <w:rPr>
          <w:rFonts w:ascii="Calibri" w:hAnsi="Calibri" w:cs="Calibri"/>
        </w:rPr>
        <w:t xml:space="preserve">6. </w:t>
      </w:r>
      <w:r w:rsidRPr="004E4988">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4E4988">
        <w:rPr>
          <w:rFonts w:ascii="Calibri" w:hAnsi="Calibri" w:cs="Calibri"/>
          <w:i/>
          <w:iCs/>
        </w:rPr>
        <w:t>Nat Commun</w:t>
      </w:r>
      <w:r w:rsidRPr="004E4988">
        <w:rPr>
          <w:rFonts w:ascii="Calibri" w:hAnsi="Calibri" w:cs="Calibri"/>
        </w:rPr>
        <w:t xml:space="preserve"> 2021;12:1041.</w:t>
      </w:r>
    </w:p>
    <w:p w14:paraId="2C9183F5" w14:textId="77777777" w:rsidR="004E4988" w:rsidRPr="004E4988" w:rsidRDefault="004E4988" w:rsidP="004E4988">
      <w:pPr>
        <w:pStyle w:val="Bibliography"/>
        <w:rPr>
          <w:rFonts w:ascii="Calibri" w:hAnsi="Calibri" w:cs="Calibri"/>
        </w:rPr>
      </w:pPr>
      <w:r w:rsidRPr="004E4988">
        <w:rPr>
          <w:rFonts w:ascii="Calibri" w:hAnsi="Calibri" w:cs="Calibri"/>
        </w:rPr>
        <w:t xml:space="preserve">7. </w:t>
      </w:r>
      <w:r w:rsidRPr="004E4988">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4E4988">
        <w:rPr>
          <w:rFonts w:ascii="Calibri" w:hAnsi="Calibri" w:cs="Calibri"/>
          <w:i/>
          <w:iCs/>
        </w:rPr>
        <w:t>Proceedings of the National Academy of Sciences</w:t>
      </w:r>
      <w:r w:rsidRPr="004E4988">
        <w:rPr>
          <w:rFonts w:ascii="Calibri" w:hAnsi="Calibri" w:cs="Calibri"/>
        </w:rPr>
        <w:t xml:space="preserve"> 2021;118(27):e2106868118.</w:t>
      </w:r>
    </w:p>
    <w:p w14:paraId="65801D34" w14:textId="77777777" w:rsidR="004E4988" w:rsidRPr="004E4988" w:rsidRDefault="004E4988" w:rsidP="004E4988">
      <w:pPr>
        <w:pStyle w:val="Bibliography"/>
        <w:rPr>
          <w:rFonts w:ascii="Calibri" w:hAnsi="Calibri" w:cs="Calibri"/>
        </w:rPr>
      </w:pPr>
      <w:r w:rsidRPr="004E4988">
        <w:rPr>
          <w:rFonts w:ascii="Calibri" w:hAnsi="Calibri" w:cs="Calibri"/>
        </w:rPr>
        <w:t xml:space="preserve">8. </w:t>
      </w:r>
      <w:r w:rsidRPr="004E4988">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4E4988">
        <w:rPr>
          <w:rFonts w:ascii="Calibri" w:hAnsi="Calibri" w:cs="Calibri"/>
          <w:i/>
          <w:iCs/>
        </w:rPr>
        <w:t>Clinical Endocrinology</w:t>
      </w:r>
      <w:r w:rsidRPr="004E4988">
        <w:rPr>
          <w:rFonts w:ascii="Calibri" w:hAnsi="Calibri" w:cs="Calibri"/>
        </w:rPr>
        <w:t xml:space="preserve"> 2021;95(1):92–100.</w:t>
      </w:r>
    </w:p>
    <w:p w14:paraId="7EED3901" w14:textId="77777777" w:rsidR="004E4988" w:rsidRPr="004E4988" w:rsidRDefault="004E4988" w:rsidP="004E4988">
      <w:pPr>
        <w:pStyle w:val="Bibliography"/>
        <w:rPr>
          <w:rFonts w:ascii="Calibri" w:hAnsi="Calibri" w:cs="Calibri"/>
        </w:rPr>
      </w:pPr>
      <w:r w:rsidRPr="004E4988">
        <w:rPr>
          <w:rFonts w:ascii="Calibri" w:hAnsi="Calibri" w:cs="Calibri"/>
        </w:rPr>
        <w:lastRenderedPageBreak/>
        <w:t xml:space="preserve">9. </w:t>
      </w:r>
      <w:r w:rsidRPr="004E4988">
        <w:rPr>
          <w:rFonts w:ascii="Calibri" w:hAnsi="Calibri" w:cs="Calibri"/>
        </w:rPr>
        <w:tab/>
        <w:t xml:space="preserve">Chen Q, Wang Y, Zhao M, Hyett J, da Silva Costa F, Nie G. Serum levels of GDF15 are reduced in preeclampsia and the reduction is more profound in late-onset than early-onset cases. </w:t>
      </w:r>
      <w:r w:rsidRPr="004E4988">
        <w:rPr>
          <w:rFonts w:ascii="Calibri" w:hAnsi="Calibri" w:cs="Calibri"/>
          <w:i/>
          <w:iCs/>
        </w:rPr>
        <w:t>Cytokine</w:t>
      </w:r>
      <w:r w:rsidRPr="004E4988">
        <w:rPr>
          <w:rFonts w:ascii="Calibri" w:hAnsi="Calibri" w:cs="Calibri"/>
        </w:rPr>
        <w:t xml:space="preserve"> 2016;83:226–230.</w:t>
      </w:r>
    </w:p>
    <w:p w14:paraId="6DB0CD1A" w14:textId="77777777" w:rsidR="004E4988" w:rsidRPr="004E4988" w:rsidRDefault="004E4988" w:rsidP="004E4988">
      <w:pPr>
        <w:pStyle w:val="Bibliography"/>
        <w:rPr>
          <w:rFonts w:ascii="Calibri" w:hAnsi="Calibri" w:cs="Calibri"/>
        </w:rPr>
      </w:pPr>
      <w:r w:rsidRPr="004E4988">
        <w:rPr>
          <w:rFonts w:ascii="Calibri" w:hAnsi="Calibri" w:cs="Calibri"/>
        </w:rPr>
        <w:t xml:space="preserve">10. </w:t>
      </w:r>
      <w:r w:rsidRPr="004E4988">
        <w:rPr>
          <w:rFonts w:ascii="Calibri" w:hAnsi="Calibri" w:cs="Calibri"/>
        </w:rPr>
        <w:tab/>
        <w:t xml:space="preserve">Marjono AB, Brown DA, Horton KE, Wallace EM, Breit SN, Manuelpillai U. Macrophage Inhibitory Cytokine-1 in Gestational Tissues and Maternal Serum in Normal and Pre-eclamptic Pregnancy. </w:t>
      </w:r>
      <w:r w:rsidRPr="004E4988">
        <w:rPr>
          <w:rFonts w:ascii="Calibri" w:hAnsi="Calibri" w:cs="Calibri"/>
          <w:i/>
          <w:iCs/>
        </w:rPr>
        <w:t>Placenta</w:t>
      </w:r>
      <w:r w:rsidRPr="004E4988">
        <w:rPr>
          <w:rFonts w:ascii="Calibri" w:hAnsi="Calibri" w:cs="Calibri"/>
        </w:rPr>
        <w:t xml:space="preserve"> 2003;24(1):100–106.</w:t>
      </w:r>
    </w:p>
    <w:p w14:paraId="32B95475" w14:textId="77777777" w:rsidR="004E4988" w:rsidRPr="004E4988" w:rsidRDefault="004E4988" w:rsidP="004E4988">
      <w:pPr>
        <w:pStyle w:val="Bibliography"/>
        <w:rPr>
          <w:rFonts w:ascii="Calibri" w:hAnsi="Calibri" w:cs="Calibri"/>
        </w:rPr>
      </w:pPr>
      <w:r w:rsidRPr="004E4988">
        <w:rPr>
          <w:rFonts w:ascii="Calibri" w:hAnsi="Calibri" w:cs="Calibri"/>
        </w:rPr>
        <w:t xml:space="preserve">11. </w:t>
      </w:r>
      <w:r w:rsidRPr="004E4988">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4E4988">
        <w:rPr>
          <w:rFonts w:ascii="Calibri" w:hAnsi="Calibri" w:cs="Calibri"/>
          <w:i/>
          <w:iCs/>
        </w:rPr>
        <w:t>Hypertension</w:t>
      </w:r>
      <w:r w:rsidRPr="004E4988">
        <w:rPr>
          <w:rFonts w:ascii="Calibri" w:hAnsi="Calibri" w:cs="Calibri"/>
        </w:rPr>
        <w:t xml:space="preserve"> 2009;54(1):106–112.</w:t>
      </w:r>
    </w:p>
    <w:p w14:paraId="0AE9E9A5" w14:textId="77777777" w:rsidR="004E4988" w:rsidRPr="004E4988" w:rsidRDefault="004E4988" w:rsidP="004E4988">
      <w:pPr>
        <w:pStyle w:val="Bibliography"/>
        <w:rPr>
          <w:rFonts w:ascii="Calibri" w:hAnsi="Calibri" w:cs="Calibri"/>
        </w:rPr>
      </w:pPr>
      <w:r w:rsidRPr="004E4988">
        <w:rPr>
          <w:rFonts w:ascii="Calibri" w:hAnsi="Calibri" w:cs="Calibri"/>
        </w:rPr>
        <w:t xml:space="preserve">12. </w:t>
      </w:r>
      <w:r w:rsidRPr="004E4988">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4E4988">
        <w:rPr>
          <w:rFonts w:ascii="Calibri" w:hAnsi="Calibri" w:cs="Calibri"/>
          <w:i/>
          <w:iCs/>
        </w:rPr>
        <w:t>Nature</w:t>
      </w:r>
      <w:r w:rsidRPr="004E4988">
        <w:rPr>
          <w:rFonts w:ascii="Calibri" w:hAnsi="Calibri" w:cs="Calibri"/>
        </w:rPr>
        <w:t xml:space="preserve"> 2017;550(7675):255–259.</w:t>
      </w:r>
    </w:p>
    <w:p w14:paraId="4AB509F3" w14:textId="77777777" w:rsidR="004E4988" w:rsidRPr="004E4988" w:rsidRDefault="004E4988" w:rsidP="004E4988">
      <w:pPr>
        <w:pStyle w:val="Bibliography"/>
        <w:rPr>
          <w:rFonts w:ascii="Calibri" w:hAnsi="Calibri" w:cs="Calibri"/>
        </w:rPr>
      </w:pPr>
      <w:r w:rsidRPr="004E4988">
        <w:rPr>
          <w:rFonts w:ascii="Calibri" w:hAnsi="Calibri" w:cs="Calibri"/>
        </w:rPr>
        <w:t xml:space="preserve">13. </w:t>
      </w:r>
      <w:r w:rsidRPr="004E4988">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4E4988">
        <w:rPr>
          <w:rFonts w:ascii="Calibri" w:hAnsi="Calibri" w:cs="Calibri"/>
          <w:i/>
          <w:iCs/>
        </w:rPr>
        <w:t>Int J Obes</w:t>
      </w:r>
      <w:r w:rsidRPr="004E4988">
        <w:rPr>
          <w:rFonts w:ascii="Calibri" w:hAnsi="Calibri" w:cs="Calibri"/>
        </w:rPr>
        <w:t xml:space="preserve"> 2019;43(12):2370–2380.</w:t>
      </w:r>
    </w:p>
    <w:p w14:paraId="1E4B9329" w14:textId="77777777" w:rsidR="004E4988" w:rsidRPr="004E4988" w:rsidRDefault="004E4988" w:rsidP="004E4988">
      <w:pPr>
        <w:pStyle w:val="Bibliography"/>
        <w:rPr>
          <w:rFonts w:ascii="Calibri" w:hAnsi="Calibri" w:cs="Calibri"/>
        </w:rPr>
      </w:pPr>
      <w:r w:rsidRPr="004E4988">
        <w:rPr>
          <w:rFonts w:ascii="Calibri" w:hAnsi="Calibri" w:cs="Calibri"/>
        </w:rPr>
        <w:t xml:space="preserve">14. </w:t>
      </w:r>
      <w:r w:rsidRPr="004E4988">
        <w:rPr>
          <w:rFonts w:ascii="Calibri" w:hAnsi="Calibri" w:cs="Calibri"/>
        </w:rPr>
        <w:tab/>
        <w:t xml:space="preserve">Borner T, Shaulson ED, Ghidewon MY, Barnett AB, Horn CC, Doyle RP, Grill HJ, Hayes MR, De Jonghe BC. GDF15 Induces Anorexia through Nausea and Emesis. </w:t>
      </w:r>
      <w:r w:rsidRPr="004E4988">
        <w:rPr>
          <w:rFonts w:ascii="Calibri" w:hAnsi="Calibri" w:cs="Calibri"/>
          <w:i/>
          <w:iCs/>
        </w:rPr>
        <w:t>Cell Metab</w:t>
      </w:r>
      <w:r w:rsidRPr="004E4988">
        <w:rPr>
          <w:rFonts w:ascii="Calibri" w:hAnsi="Calibri" w:cs="Calibri"/>
        </w:rPr>
        <w:t xml:space="preserve"> 2020;31(2):351-362.e5.</w:t>
      </w:r>
    </w:p>
    <w:p w14:paraId="5459443D" w14:textId="77777777" w:rsidR="004E4988" w:rsidRPr="004E4988" w:rsidRDefault="004E4988" w:rsidP="004E4988">
      <w:pPr>
        <w:pStyle w:val="Bibliography"/>
        <w:rPr>
          <w:rFonts w:ascii="Calibri" w:hAnsi="Calibri" w:cs="Calibri"/>
        </w:rPr>
      </w:pPr>
      <w:r w:rsidRPr="004E4988">
        <w:rPr>
          <w:rFonts w:ascii="Calibri" w:hAnsi="Calibri" w:cs="Calibri"/>
        </w:rPr>
        <w:t xml:space="preserve">15. </w:t>
      </w:r>
      <w:r w:rsidRPr="004E4988">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4E4988">
        <w:rPr>
          <w:rFonts w:ascii="Calibri" w:hAnsi="Calibri" w:cs="Calibri"/>
          <w:i/>
          <w:iCs/>
        </w:rPr>
        <w:t>Cell Metabolism</w:t>
      </w:r>
      <w:r w:rsidRPr="004E4988">
        <w:rPr>
          <w:rFonts w:ascii="Calibri" w:hAnsi="Calibri" w:cs="Calibri"/>
        </w:rPr>
        <w:t xml:space="preserve"> 2023;35(8):1327-1340.e5.</w:t>
      </w:r>
    </w:p>
    <w:p w14:paraId="7F9BC8C6" w14:textId="77777777" w:rsidR="004E4988" w:rsidRPr="004E4988" w:rsidRDefault="004E4988" w:rsidP="004E4988">
      <w:pPr>
        <w:pStyle w:val="Bibliography"/>
        <w:rPr>
          <w:rFonts w:ascii="Calibri" w:hAnsi="Calibri" w:cs="Calibri"/>
        </w:rPr>
      </w:pPr>
      <w:r w:rsidRPr="004E4988">
        <w:rPr>
          <w:rFonts w:ascii="Calibri" w:hAnsi="Calibri" w:cs="Calibri"/>
        </w:rPr>
        <w:t xml:space="preserve">16. </w:t>
      </w:r>
      <w:r w:rsidRPr="004E4988">
        <w:rPr>
          <w:rFonts w:ascii="Calibri" w:hAnsi="Calibri" w:cs="Calibri"/>
        </w:rPr>
        <w:tab/>
        <w:t xml:space="preserve">Tran T, Yang J, Gardner J, Xiong Y. GDF15 deficiency promotes high fat diet-induced obesity in mice. </w:t>
      </w:r>
      <w:r w:rsidRPr="004E4988">
        <w:rPr>
          <w:rFonts w:ascii="Calibri" w:hAnsi="Calibri" w:cs="Calibri"/>
          <w:i/>
          <w:iCs/>
        </w:rPr>
        <w:t>PLoS One</w:t>
      </w:r>
      <w:r w:rsidRPr="004E4988">
        <w:rPr>
          <w:rFonts w:ascii="Calibri" w:hAnsi="Calibri" w:cs="Calibri"/>
        </w:rPr>
        <w:t xml:space="preserve"> 2018;13(8):e0201584.</w:t>
      </w:r>
    </w:p>
    <w:p w14:paraId="1672545C" w14:textId="77777777" w:rsidR="004E4988" w:rsidRPr="004E4988" w:rsidRDefault="004E4988" w:rsidP="004E4988">
      <w:pPr>
        <w:pStyle w:val="Bibliography"/>
        <w:rPr>
          <w:rFonts w:ascii="Calibri" w:hAnsi="Calibri" w:cs="Calibri"/>
        </w:rPr>
      </w:pPr>
      <w:r w:rsidRPr="004E4988">
        <w:rPr>
          <w:rFonts w:ascii="Calibri" w:hAnsi="Calibri" w:cs="Calibri"/>
        </w:rPr>
        <w:t xml:space="preserve">17. </w:t>
      </w:r>
      <w:r w:rsidRPr="004E4988">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4E4988">
        <w:rPr>
          <w:rFonts w:ascii="Calibri" w:hAnsi="Calibri" w:cs="Calibri"/>
        </w:rPr>
        <w:t>GDF15</w:t>
      </w:r>
      <w:proofErr w:type="gramEnd"/>
      <w:r w:rsidRPr="004E4988">
        <w:rPr>
          <w:rFonts w:ascii="Calibri" w:hAnsi="Calibri" w:cs="Calibri"/>
        </w:rPr>
        <w:t xml:space="preserve"> and the ligand promotes weight loss in mice and nonhuman primates. </w:t>
      </w:r>
      <w:r w:rsidRPr="004E4988">
        <w:rPr>
          <w:rFonts w:ascii="Calibri" w:hAnsi="Calibri" w:cs="Calibri"/>
          <w:i/>
          <w:iCs/>
        </w:rPr>
        <w:t>Nat Med</w:t>
      </w:r>
      <w:r w:rsidRPr="004E4988">
        <w:rPr>
          <w:rFonts w:ascii="Calibri" w:hAnsi="Calibri" w:cs="Calibri"/>
        </w:rPr>
        <w:t xml:space="preserve"> 2017;23(10):1150–1157.</w:t>
      </w:r>
    </w:p>
    <w:p w14:paraId="3B1B0DC9" w14:textId="77777777" w:rsidR="004E4988" w:rsidRPr="004E4988" w:rsidRDefault="004E4988" w:rsidP="004E4988">
      <w:pPr>
        <w:pStyle w:val="Bibliography"/>
        <w:rPr>
          <w:rFonts w:ascii="Calibri" w:hAnsi="Calibri" w:cs="Calibri"/>
        </w:rPr>
      </w:pPr>
      <w:r w:rsidRPr="004E4988">
        <w:rPr>
          <w:rFonts w:ascii="Calibri" w:hAnsi="Calibri" w:cs="Calibri"/>
        </w:rPr>
        <w:t xml:space="preserve">18. </w:t>
      </w:r>
      <w:r w:rsidRPr="004E4988">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4E4988">
        <w:rPr>
          <w:rFonts w:ascii="Calibri" w:hAnsi="Calibri" w:cs="Calibri"/>
        </w:rPr>
        <w:lastRenderedPageBreak/>
        <w:t xml:space="preserve">receptor for GDF15 and is required for the anti-obesity effects of the ligand. </w:t>
      </w:r>
      <w:r w:rsidRPr="004E4988">
        <w:rPr>
          <w:rFonts w:ascii="Calibri" w:hAnsi="Calibri" w:cs="Calibri"/>
          <w:i/>
          <w:iCs/>
        </w:rPr>
        <w:t>Nat Med</w:t>
      </w:r>
      <w:r w:rsidRPr="004E4988">
        <w:rPr>
          <w:rFonts w:ascii="Calibri" w:hAnsi="Calibri" w:cs="Calibri"/>
        </w:rPr>
        <w:t xml:space="preserve"> 2017;23(10):1158–1166.</w:t>
      </w:r>
    </w:p>
    <w:p w14:paraId="17ECB2FC" w14:textId="77777777" w:rsidR="004E4988" w:rsidRPr="004E4988" w:rsidRDefault="004E4988" w:rsidP="004E4988">
      <w:pPr>
        <w:pStyle w:val="Bibliography"/>
        <w:rPr>
          <w:rFonts w:ascii="Calibri" w:hAnsi="Calibri" w:cs="Calibri"/>
        </w:rPr>
      </w:pPr>
      <w:r w:rsidRPr="004E4988">
        <w:rPr>
          <w:rFonts w:ascii="Calibri" w:hAnsi="Calibri" w:cs="Calibri"/>
        </w:rPr>
        <w:t xml:space="preserve">19. </w:t>
      </w:r>
      <w:r w:rsidRPr="004E4988">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4E4988">
        <w:rPr>
          <w:rFonts w:ascii="Calibri" w:hAnsi="Calibri" w:cs="Calibri"/>
          <w:i/>
          <w:iCs/>
        </w:rPr>
        <w:t>Mol Metab</w:t>
      </w:r>
      <w:r w:rsidRPr="004E4988">
        <w:rPr>
          <w:rFonts w:ascii="Calibri" w:hAnsi="Calibri" w:cs="Calibri"/>
        </w:rPr>
        <w:t xml:space="preserve"> 2019;21:13–21.</w:t>
      </w:r>
    </w:p>
    <w:p w14:paraId="6E9B34A7" w14:textId="77777777" w:rsidR="004E4988" w:rsidRPr="004E4988" w:rsidRDefault="004E4988" w:rsidP="004E4988">
      <w:pPr>
        <w:pStyle w:val="Bibliography"/>
        <w:rPr>
          <w:rFonts w:ascii="Calibri" w:hAnsi="Calibri" w:cs="Calibri"/>
        </w:rPr>
      </w:pPr>
      <w:r w:rsidRPr="004E4988">
        <w:rPr>
          <w:rFonts w:ascii="Calibri" w:hAnsi="Calibri" w:cs="Calibri"/>
        </w:rPr>
        <w:t xml:space="preserve">20. </w:t>
      </w:r>
      <w:r w:rsidRPr="004E4988">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4E4988">
        <w:rPr>
          <w:rFonts w:ascii="Calibri" w:hAnsi="Calibri" w:cs="Calibri"/>
          <w:i/>
          <w:iCs/>
        </w:rPr>
        <w:t>Nat Med</w:t>
      </w:r>
      <w:r w:rsidRPr="004E4988">
        <w:rPr>
          <w:rFonts w:ascii="Calibri" w:hAnsi="Calibri" w:cs="Calibri"/>
        </w:rPr>
        <w:t xml:space="preserve"> 2017;23(10):1215–1219.</w:t>
      </w:r>
    </w:p>
    <w:p w14:paraId="533FD2F8" w14:textId="77777777" w:rsidR="004E4988" w:rsidRPr="004E4988" w:rsidRDefault="004E4988" w:rsidP="004E4988">
      <w:pPr>
        <w:pStyle w:val="Bibliography"/>
        <w:rPr>
          <w:rFonts w:ascii="Calibri" w:hAnsi="Calibri" w:cs="Calibri"/>
        </w:rPr>
      </w:pPr>
      <w:r w:rsidRPr="004E4988">
        <w:rPr>
          <w:rFonts w:ascii="Calibri" w:hAnsi="Calibri" w:cs="Calibri"/>
        </w:rPr>
        <w:t xml:space="preserve">21. </w:t>
      </w:r>
      <w:r w:rsidRPr="004E4988">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4E4988">
        <w:rPr>
          <w:rFonts w:ascii="Calibri" w:hAnsi="Calibri" w:cs="Calibri"/>
          <w:i/>
          <w:iCs/>
        </w:rPr>
        <w:t>J Clin Endocrinol Metab</w:t>
      </w:r>
      <w:r w:rsidRPr="004E4988">
        <w:rPr>
          <w:rFonts w:ascii="Calibri" w:hAnsi="Calibri" w:cs="Calibri"/>
        </w:rPr>
        <w:t xml:space="preserve"> 2000;85(12):4781–4788.</w:t>
      </w:r>
    </w:p>
    <w:p w14:paraId="528D47F0" w14:textId="77777777" w:rsidR="004E4988" w:rsidRPr="004E4988" w:rsidRDefault="004E4988" w:rsidP="004E4988">
      <w:pPr>
        <w:pStyle w:val="Bibliography"/>
        <w:rPr>
          <w:rFonts w:ascii="Calibri" w:hAnsi="Calibri" w:cs="Calibri"/>
        </w:rPr>
      </w:pPr>
      <w:r w:rsidRPr="004E4988">
        <w:rPr>
          <w:rFonts w:ascii="Calibri" w:hAnsi="Calibri" w:cs="Calibri"/>
        </w:rPr>
        <w:t xml:space="preserve">22. </w:t>
      </w:r>
      <w:r w:rsidRPr="004E4988">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4E4988">
        <w:rPr>
          <w:rFonts w:ascii="Calibri" w:hAnsi="Calibri" w:cs="Calibri"/>
          <w:i/>
          <w:iCs/>
        </w:rPr>
        <w:t>Nature</w:t>
      </w:r>
      <w:r w:rsidRPr="004E4988">
        <w:rPr>
          <w:rFonts w:ascii="Calibri" w:hAnsi="Calibri" w:cs="Calibri"/>
        </w:rPr>
        <w:t xml:space="preserve"> 2023:1–8.</w:t>
      </w:r>
    </w:p>
    <w:p w14:paraId="110DA5D8" w14:textId="77777777" w:rsidR="004E4988" w:rsidRPr="004E4988" w:rsidRDefault="004E4988" w:rsidP="004E4988">
      <w:pPr>
        <w:pStyle w:val="Bibliography"/>
        <w:rPr>
          <w:rFonts w:ascii="Calibri" w:hAnsi="Calibri" w:cs="Calibri"/>
        </w:rPr>
      </w:pPr>
      <w:r w:rsidRPr="004E4988">
        <w:rPr>
          <w:rFonts w:ascii="Calibri" w:hAnsi="Calibri" w:cs="Calibri"/>
        </w:rPr>
        <w:t xml:space="preserve">23. </w:t>
      </w:r>
      <w:r w:rsidRPr="004E4988">
        <w:rPr>
          <w:rFonts w:ascii="Calibri" w:hAnsi="Calibri" w:cs="Calibri"/>
        </w:rPr>
        <w:tab/>
        <w:t xml:space="preserve">Tong S, Marjono B, Brown DA, Mulvey S, Breit SN, Manuelpillai U, Wallace EM. Serum concentrations of macrophage inhibitory cytokine 1 (MIC 1) as a predictor of miscarriage. </w:t>
      </w:r>
      <w:r w:rsidRPr="004E4988">
        <w:rPr>
          <w:rFonts w:ascii="Calibri" w:hAnsi="Calibri" w:cs="Calibri"/>
          <w:i/>
          <w:iCs/>
        </w:rPr>
        <w:t>The Lancet</w:t>
      </w:r>
      <w:r w:rsidRPr="004E4988">
        <w:rPr>
          <w:rFonts w:ascii="Calibri" w:hAnsi="Calibri" w:cs="Calibri"/>
        </w:rPr>
        <w:t xml:space="preserve"> 2004;363(9403):129–130.</w:t>
      </w:r>
    </w:p>
    <w:p w14:paraId="53A01946" w14:textId="77777777" w:rsidR="004E4988" w:rsidRPr="004E4988" w:rsidRDefault="004E4988" w:rsidP="004E4988">
      <w:pPr>
        <w:pStyle w:val="Bibliography"/>
        <w:rPr>
          <w:rFonts w:ascii="Calibri" w:hAnsi="Calibri" w:cs="Calibri"/>
        </w:rPr>
      </w:pPr>
      <w:r w:rsidRPr="004E4988">
        <w:rPr>
          <w:rFonts w:ascii="Calibri" w:hAnsi="Calibri" w:cs="Calibri"/>
        </w:rPr>
        <w:t xml:space="preserve">24. </w:t>
      </w:r>
      <w:r w:rsidRPr="004E4988">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4E4988">
        <w:rPr>
          <w:rFonts w:ascii="Calibri" w:hAnsi="Calibri" w:cs="Calibri"/>
          <w:i/>
          <w:iCs/>
        </w:rPr>
        <w:t>Wellcome Open Res</w:t>
      </w:r>
      <w:r w:rsidRPr="004E4988">
        <w:rPr>
          <w:rFonts w:ascii="Calibri" w:hAnsi="Calibri" w:cs="Calibri"/>
        </w:rPr>
        <w:t xml:space="preserve"> 2018;3:123.</w:t>
      </w:r>
    </w:p>
    <w:p w14:paraId="3FF6690C" w14:textId="77777777" w:rsidR="004E4988" w:rsidRPr="004E4988" w:rsidRDefault="004E4988" w:rsidP="004E4988">
      <w:pPr>
        <w:pStyle w:val="Bibliography"/>
        <w:rPr>
          <w:rFonts w:ascii="Calibri" w:hAnsi="Calibri" w:cs="Calibri"/>
        </w:rPr>
      </w:pPr>
      <w:r w:rsidRPr="004E4988">
        <w:rPr>
          <w:rFonts w:ascii="Calibri" w:hAnsi="Calibri" w:cs="Calibri"/>
        </w:rPr>
        <w:t xml:space="preserve">25. </w:t>
      </w:r>
      <w:r w:rsidRPr="004E4988">
        <w:rPr>
          <w:rFonts w:ascii="Calibri" w:hAnsi="Calibri" w:cs="Calibri"/>
        </w:rPr>
        <w:tab/>
        <w:t xml:space="preserve">Wang L, Yang Q. Circulating Growth Differentiation Factor 15 and Preeclampsia: A Meta-Analysis. </w:t>
      </w:r>
      <w:r w:rsidRPr="004E4988">
        <w:rPr>
          <w:rFonts w:ascii="Calibri" w:hAnsi="Calibri" w:cs="Calibri"/>
          <w:i/>
          <w:iCs/>
        </w:rPr>
        <w:t>Horm Metab Res</w:t>
      </w:r>
      <w:r w:rsidRPr="004E4988">
        <w:rPr>
          <w:rFonts w:ascii="Calibri" w:hAnsi="Calibri" w:cs="Calibri"/>
        </w:rPr>
        <w:t xml:space="preserve"> 2022. doi:10.1055/a-1956-2961.</w:t>
      </w:r>
    </w:p>
    <w:p w14:paraId="6B28CA4C" w14:textId="77777777" w:rsidR="004E4988" w:rsidRPr="004E4988" w:rsidRDefault="004E4988" w:rsidP="004E4988">
      <w:pPr>
        <w:pStyle w:val="Bibliography"/>
        <w:rPr>
          <w:rFonts w:ascii="Calibri" w:hAnsi="Calibri" w:cs="Calibri"/>
        </w:rPr>
      </w:pPr>
      <w:r w:rsidRPr="004E4988">
        <w:rPr>
          <w:rFonts w:ascii="Calibri" w:hAnsi="Calibri" w:cs="Calibri"/>
        </w:rPr>
        <w:t xml:space="preserve">26. </w:t>
      </w:r>
      <w:r w:rsidRPr="004E4988">
        <w:rPr>
          <w:rFonts w:ascii="Calibri" w:hAnsi="Calibri" w:cs="Calibri"/>
        </w:rPr>
        <w:tab/>
        <w:t xml:space="preserve">Yakut K, Öcal DF, Öztürk FH, Öztürk M, Oğuz Y, Sınacı S, Çağlar T. Is GDF-15 level associated with gestational diabetes mellitus and adverse perinatal outcomes? </w:t>
      </w:r>
      <w:r w:rsidRPr="004E4988">
        <w:rPr>
          <w:rFonts w:ascii="Calibri" w:hAnsi="Calibri" w:cs="Calibri"/>
          <w:i/>
          <w:iCs/>
        </w:rPr>
        <w:t>Taiwanese Journal of Obstetrics and Gynecology</w:t>
      </w:r>
      <w:r w:rsidRPr="004E4988">
        <w:rPr>
          <w:rFonts w:ascii="Calibri" w:hAnsi="Calibri" w:cs="Calibri"/>
        </w:rPr>
        <w:t xml:space="preserve"> 2021;60(2):221–224.</w:t>
      </w:r>
    </w:p>
    <w:p w14:paraId="16E5B6C1" w14:textId="77777777" w:rsidR="004E4988" w:rsidRPr="004E4988" w:rsidRDefault="004E4988" w:rsidP="004E4988">
      <w:pPr>
        <w:pStyle w:val="Bibliography"/>
        <w:rPr>
          <w:rFonts w:ascii="Calibri" w:hAnsi="Calibri" w:cs="Calibri"/>
        </w:rPr>
      </w:pPr>
      <w:r w:rsidRPr="004E4988">
        <w:rPr>
          <w:rFonts w:ascii="Calibri" w:hAnsi="Calibri" w:cs="Calibri"/>
        </w:rPr>
        <w:t xml:space="preserve">27. </w:t>
      </w:r>
      <w:r w:rsidRPr="004E4988">
        <w:rPr>
          <w:rFonts w:ascii="Calibri" w:hAnsi="Calibri" w:cs="Calibri"/>
        </w:rPr>
        <w:tab/>
        <w:t xml:space="preserve">Jacobsen DP, Røysland R, Strand H, Moe K, Sugulle M, Omland T, Staff AC. Cardiovascular biomarkers in pregnancy with diabetes and associations to glucose control. </w:t>
      </w:r>
      <w:r w:rsidRPr="004E4988">
        <w:rPr>
          <w:rFonts w:ascii="Calibri" w:hAnsi="Calibri" w:cs="Calibri"/>
          <w:i/>
          <w:iCs/>
        </w:rPr>
        <w:t>Acta Diabetol</w:t>
      </w:r>
      <w:r w:rsidRPr="004E4988">
        <w:rPr>
          <w:rFonts w:ascii="Calibri" w:hAnsi="Calibri" w:cs="Calibri"/>
        </w:rPr>
        <w:t xml:space="preserve"> 2022;59(9):1229–1236.</w:t>
      </w:r>
    </w:p>
    <w:p w14:paraId="05A0C862" w14:textId="77777777" w:rsidR="004E4988" w:rsidRPr="004E4988" w:rsidRDefault="004E4988" w:rsidP="004E4988">
      <w:pPr>
        <w:pStyle w:val="Bibliography"/>
        <w:rPr>
          <w:rFonts w:ascii="Calibri" w:hAnsi="Calibri" w:cs="Calibri"/>
        </w:rPr>
      </w:pPr>
      <w:r w:rsidRPr="004E4988">
        <w:rPr>
          <w:rFonts w:ascii="Calibri" w:hAnsi="Calibri" w:cs="Calibri"/>
        </w:rPr>
        <w:lastRenderedPageBreak/>
        <w:t xml:space="preserve">28. </w:t>
      </w:r>
      <w:r w:rsidRPr="004E4988">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4E4988">
        <w:rPr>
          <w:rFonts w:ascii="Calibri" w:hAnsi="Calibri" w:cs="Calibri"/>
          <w:i/>
          <w:iCs/>
        </w:rPr>
        <w:t>Nature Communications; London</w:t>
      </w:r>
      <w:r w:rsidRPr="004E4988">
        <w:rPr>
          <w:rFonts w:ascii="Calibri" w:hAnsi="Calibri" w:cs="Calibri"/>
        </w:rPr>
        <w:t xml:space="preserve"> 2018;9:1–9.</w:t>
      </w:r>
    </w:p>
    <w:p w14:paraId="043408E9" w14:textId="77777777" w:rsidR="004E4988" w:rsidRPr="004E4988" w:rsidRDefault="004E4988" w:rsidP="004E4988">
      <w:pPr>
        <w:pStyle w:val="Bibliography"/>
        <w:rPr>
          <w:rFonts w:ascii="Calibri" w:hAnsi="Calibri" w:cs="Calibri"/>
        </w:rPr>
      </w:pPr>
      <w:r w:rsidRPr="004E4988">
        <w:rPr>
          <w:rFonts w:ascii="Calibri" w:hAnsi="Calibri" w:cs="Calibri"/>
        </w:rPr>
        <w:t xml:space="preserve">29. </w:t>
      </w:r>
      <w:r w:rsidRPr="004E4988">
        <w:rPr>
          <w:rFonts w:ascii="Calibri" w:hAnsi="Calibri" w:cs="Calibri"/>
        </w:rPr>
        <w:tab/>
        <w:t xml:space="preserve">Fejzo MS, Fasching PA, Schneider MO, Schwitulla J, Beckmann MW, Schwenke E, MacGibbon KW, Mullin PM. Analysis of GDF15 and IGFBP7 in Hyperemesis Gravidarum Support Causality. </w:t>
      </w:r>
      <w:r w:rsidRPr="004E4988">
        <w:rPr>
          <w:rFonts w:ascii="Calibri" w:hAnsi="Calibri" w:cs="Calibri"/>
          <w:i/>
          <w:iCs/>
        </w:rPr>
        <w:t>Geburtshilfe Frauenheilkd</w:t>
      </w:r>
      <w:r w:rsidRPr="004E4988">
        <w:rPr>
          <w:rFonts w:ascii="Calibri" w:hAnsi="Calibri" w:cs="Calibri"/>
        </w:rPr>
        <w:t xml:space="preserve"> 2019;79(4):382–388.</w:t>
      </w:r>
    </w:p>
    <w:p w14:paraId="5B4673B0" w14:textId="77777777" w:rsidR="004E4988" w:rsidRPr="004E4988" w:rsidRDefault="004E4988" w:rsidP="004E4988">
      <w:pPr>
        <w:pStyle w:val="Bibliography"/>
        <w:rPr>
          <w:rFonts w:ascii="Calibri" w:hAnsi="Calibri" w:cs="Calibri"/>
        </w:rPr>
      </w:pPr>
      <w:r w:rsidRPr="004E4988">
        <w:rPr>
          <w:rFonts w:ascii="Calibri" w:hAnsi="Calibri" w:cs="Calibri"/>
        </w:rPr>
        <w:t xml:space="preserve">30. </w:t>
      </w:r>
      <w:r w:rsidRPr="004E4988">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38D104C0" w14:textId="77777777" w:rsidR="004E4988" w:rsidRPr="004E4988" w:rsidRDefault="004E4988" w:rsidP="004E4988">
      <w:pPr>
        <w:pStyle w:val="Bibliography"/>
        <w:rPr>
          <w:rFonts w:ascii="Calibri" w:hAnsi="Calibri" w:cs="Calibri"/>
        </w:rPr>
      </w:pPr>
      <w:r w:rsidRPr="004E4988">
        <w:rPr>
          <w:rFonts w:ascii="Calibri" w:hAnsi="Calibri" w:cs="Calibri"/>
        </w:rPr>
        <w:t xml:space="preserve">31. </w:t>
      </w:r>
      <w:r w:rsidRPr="004E4988">
        <w:rPr>
          <w:rFonts w:ascii="Calibri" w:hAnsi="Calibri" w:cs="Calibri"/>
        </w:rPr>
        <w:tab/>
        <w:t xml:space="preserve">Bridges D, Mulcahy MC, Redd JR. Insulin Tolerance Test. </w:t>
      </w:r>
      <w:r w:rsidRPr="004E4988">
        <w:rPr>
          <w:rFonts w:ascii="Calibri" w:hAnsi="Calibri" w:cs="Calibri"/>
          <w:i/>
          <w:iCs/>
        </w:rPr>
        <w:t>protocols.io</w:t>
      </w:r>
      <w:r w:rsidRPr="004E4988">
        <w:rPr>
          <w:rFonts w:ascii="Calibri" w:hAnsi="Calibri" w:cs="Calibri"/>
        </w:rPr>
        <w:t xml:space="preserve"> 2022. Available at: dx.doi.org/10.17504/protocols.io.b5zxq77n. Accessed May 16, 2022.</w:t>
      </w:r>
    </w:p>
    <w:p w14:paraId="45AFFD1C" w14:textId="77777777" w:rsidR="004E4988" w:rsidRPr="004E4988" w:rsidRDefault="004E4988" w:rsidP="004E4988">
      <w:pPr>
        <w:pStyle w:val="Bibliography"/>
        <w:rPr>
          <w:rFonts w:ascii="Calibri" w:hAnsi="Calibri" w:cs="Calibri"/>
        </w:rPr>
      </w:pPr>
      <w:r w:rsidRPr="004E4988">
        <w:rPr>
          <w:rFonts w:ascii="Calibri" w:hAnsi="Calibri" w:cs="Calibri"/>
        </w:rPr>
        <w:t xml:space="preserve">32. </w:t>
      </w:r>
      <w:r w:rsidRPr="004E4988">
        <w:rPr>
          <w:rFonts w:ascii="Calibri" w:hAnsi="Calibri" w:cs="Calibri"/>
        </w:rPr>
        <w:tab/>
        <w:t xml:space="preserve">Boston WS, Bleck GT, Conroy JC, Wheeler MB, Miller DJ. Short Communication: Effects of Increased Expression of α-Lactalbumin In Transgenic Mice on Milk Yield and Pup Growth. </w:t>
      </w:r>
      <w:r w:rsidRPr="004E4988">
        <w:rPr>
          <w:rFonts w:ascii="Calibri" w:hAnsi="Calibri" w:cs="Calibri"/>
          <w:i/>
          <w:iCs/>
        </w:rPr>
        <w:t>Journal of Dairy Science</w:t>
      </w:r>
      <w:r w:rsidRPr="004E4988">
        <w:rPr>
          <w:rFonts w:ascii="Calibri" w:hAnsi="Calibri" w:cs="Calibri"/>
        </w:rPr>
        <w:t xml:space="preserve"> 2001;84(3):620–622.</w:t>
      </w:r>
    </w:p>
    <w:p w14:paraId="0B8E0054" w14:textId="77777777" w:rsidR="004E4988" w:rsidRPr="004E4988" w:rsidRDefault="004E4988" w:rsidP="004E4988">
      <w:pPr>
        <w:pStyle w:val="Bibliography"/>
        <w:rPr>
          <w:rFonts w:ascii="Calibri" w:hAnsi="Calibri" w:cs="Calibri"/>
        </w:rPr>
      </w:pPr>
      <w:r w:rsidRPr="004E4988">
        <w:rPr>
          <w:rFonts w:ascii="Calibri" w:hAnsi="Calibri" w:cs="Calibri"/>
        </w:rPr>
        <w:t xml:space="preserve">33. </w:t>
      </w:r>
      <w:r w:rsidRPr="004E4988">
        <w:rPr>
          <w:rFonts w:ascii="Calibri" w:hAnsi="Calibri" w:cs="Calibri"/>
        </w:rPr>
        <w:tab/>
        <w:t>R Core Team. R: A Language and Environment for Statistical Computing. 2021. Available at: https://www.R-project.org/.</w:t>
      </w:r>
    </w:p>
    <w:p w14:paraId="61AF523B" w14:textId="77777777" w:rsidR="004E4988" w:rsidRPr="004E4988" w:rsidRDefault="004E4988" w:rsidP="004E4988">
      <w:pPr>
        <w:pStyle w:val="Bibliography"/>
        <w:rPr>
          <w:rFonts w:ascii="Calibri" w:hAnsi="Calibri" w:cs="Calibri"/>
        </w:rPr>
      </w:pPr>
      <w:r w:rsidRPr="004E4988">
        <w:rPr>
          <w:rFonts w:ascii="Calibri" w:hAnsi="Calibri" w:cs="Calibri"/>
        </w:rPr>
        <w:t xml:space="preserve">34. </w:t>
      </w:r>
      <w:r w:rsidRPr="004E4988">
        <w:rPr>
          <w:rFonts w:ascii="Calibri" w:hAnsi="Calibri" w:cs="Calibri"/>
        </w:rPr>
        <w:tab/>
        <w:t xml:space="preserve">Bates D, Mächler M, Bolker B, Walker S. Fitting Linear Mixed-Effects Models Using lme4. </w:t>
      </w:r>
      <w:r w:rsidRPr="004E4988">
        <w:rPr>
          <w:rFonts w:ascii="Calibri" w:hAnsi="Calibri" w:cs="Calibri"/>
          <w:i/>
          <w:iCs/>
        </w:rPr>
        <w:t>Journal of Statistical Software</w:t>
      </w:r>
      <w:r w:rsidRPr="004E4988">
        <w:rPr>
          <w:rFonts w:ascii="Calibri" w:hAnsi="Calibri" w:cs="Calibri"/>
        </w:rPr>
        <w:t xml:space="preserve"> 2015;67:1–48.</w:t>
      </w:r>
    </w:p>
    <w:p w14:paraId="1DF298B9" w14:textId="77777777" w:rsidR="004E4988" w:rsidRPr="004E4988" w:rsidRDefault="004E4988" w:rsidP="004E4988">
      <w:pPr>
        <w:pStyle w:val="Bibliography"/>
        <w:rPr>
          <w:rFonts w:ascii="Calibri" w:hAnsi="Calibri" w:cs="Calibri"/>
        </w:rPr>
      </w:pPr>
      <w:r w:rsidRPr="004E4988">
        <w:rPr>
          <w:rFonts w:ascii="Calibri" w:hAnsi="Calibri" w:cs="Calibri"/>
        </w:rPr>
        <w:t xml:space="preserve">35. </w:t>
      </w:r>
      <w:r w:rsidRPr="004E4988">
        <w:rPr>
          <w:rFonts w:ascii="Calibri" w:hAnsi="Calibri" w:cs="Calibri"/>
        </w:rPr>
        <w:tab/>
        <w:t xml:space="preserve">Ladyman SR, Carter KM, Grattan DR. Energy homeostasis and running wheel activity during pregnancy in the mouse. </w:t>
      </w:r>
      <w:r w:rsidRPr="004E4988">
        <w:rPr>
          <w:rFonts w:ascii="Calibri" w:hAnsi="Calibri" w:cs="Calibri"/>
          <w:i/>
          <w:iCs/>
        </w:rPr>
        <w:t>Physiology &amp; Behavior</w:t>
      </w:r>
      <w:r w:rsidRPr="004E4988">
        <w:rPr>
          <w:rFonts w:ascii="Calibri" w:hAnsi="Calibri" w:cs="Calibri"/>
        </w:rPr>
        <w:t xml:space="preserve"> 2018;194:83–94.</w:t>
      </w:r>
    </w:p>
    <w:p w14:paraId="7ED9AB46" w14:textId="77777777" w:rsidR="004E4988" w:rsidRPr="004E4988" w:rsidRDefault="004E4988" w:rsidP="004E4988">
      <w:pPr>
        <w:pStyle w:val="Bibliography"/>
        <w:rPr>
          <w:rFonts w:ascii="Calibri" w:hAnsi="Calibri" w:cs="Calibri"/>
        </w:rPr>
      </w:pPr>
      <w:r w:rsidRPr="004E4988">
        <w:rPr>
          <w:rFonts w:ascii="Calibri" w:hAnsi="Calibri" w:cs="Calibri"/>
        </w:rPr>
        <w:t xml:space="preserve">36. </w:t>
      </w:r>
      <w:r w:rsidRPr="004E4988">
        <w:rPr>
          <w:rFonts w:ascii="Calibri" w:hAnsi="Calibri" w:cs="Calibri"/>
        </w:rPr>
        <w:tab/>
        <w:t xml:space="preserve">Musial B, Fernandez-Twinn DS, Vaughan OR, Ozanne SE, Voshol P, Sferruzzi-Perri AN, Fowden AL. Proximity to Delivery Alters Insulin Sensitivity and Glucose Metabolism in Pregnant Mice. </w:t>
      </w:r>
      <w:r w:rsidRPr="004E4988">
        <w:rPr>
          <w:rFonts w:ascii="Calibri" w:hAnsi="Calibri" w:cs="Calibri"/>
          <w:i/>
          <w:iCs/>
        </w:rPr>
        <w:t>Diabetes</w:t>
      </w:r>
      <w:r w:rsidRPr="004E4988">
        <w:rPr>
          <w:rFonts w:ascii="Calibri" w:hAnsi="Calibri" w:cs="Calibri"/>
        </w:rPr>
        <w:t xml:space="preserve"> 2016;65(4):851–860.</w:t>
      </w:r>
    </w:p>
    <w:p w14:paraId="7F8C93DD" w14:textId="77777777" w:rsidR="004E4988" w:rsidRPr="004E4988" w:rsidRDefault="004E4988" w:rsidP="004E4988">
      <w:pPr>
        <w:pStyle w:val="Bibliography"/>
        <w:rPr>
          <w:rFonts w:ascii="Calibri" w:hAnsi="Calibri" w:cs="Calibri"/>
        </w:rPr>
      </w:pPr>
      <w:r w:rsidRPr="004E4988">
        <w:rPr>
          <w:rFonts w:ascii="Calibri" w:hAnsi="Calibri" w:cs="Calibri"/>
        </w:rPr>
        <w:t xml:space="preserve">37. </w:t>
      </w:r>
      <w:r w:rsidRPr="004E4988">
        <w:rPr>
          <w:rFonts w:ascii="Calibri" w:hAnsi="Calibri" w:cs="Calibri"/>
        </w:rPr>
        <w:tab/>
        <w:t xml:space="preserve">Rossi G, Lapaczewski P, Diamond MP, Jacob RJ, Shulman GI, Sherwin RS. Inhibitory effect of pregnancy on counterregulatory hormone responses to hypoglycemia in awake rat. </w:t>
      </w:r>
      <w:r w:rsidRPr="004E4988">
        <w:rPr>
          <w:rFonts w:ascii="Calibri" w:hAnsi="Calibri" w:cs="Calibri"/>
          <w:i/>
          <w:iCs/>
        </w:rPr>
        <w:t>Diabetes</w:t>
      </w:r>
      <w:r w:rsidRPr="004E4988">
        <w:rPr>
          <w:rFonts w:ascii="Calibri" w:hAnsi="Calibri" w:cs="Calibri"/>
        </w:rPr>
        <w:t xml:space="preserve"> 1993;42(10):1440–1445.</w:t>
      </w:r>
    </w:p>
    <w:p w14:paraId="4F1173CE" w14:textId="77777777" w:rsidR="004E4988" w:rsidRPr="004E4988" w:rsidRDefault="004E4988" w:rsidP="004E4988">
      <w:pPr>
        <w:pStyle w:val="Bibliography"/>
        <w:rPr>
          <w:rFonts w:ascii="Calibri" w:hAnsi="Calibri" w:cs="Calibri"/>
        </w:rPr>
      </w:pPr>
      <w:r w:rsidRPr="004E4988">
        <w:rPr>
          <w:rFonts w:ascii="Calibri" w:hAnsi="Calibri" w:cs="Calibri"/>
        </w:rPr>
        <w:t xml:space="preserve">38. </w:t>
      </w:r>
      <w:r w:rsidRPr="004E4988">
        <w:rPr>
          <w:rFonts w:ascii="Calibri" w:hAnsi="Calibri" w:cs="Calibri"/>
        </w:rPr>
        <w:tab/>
        <w:t xml:space="preserve">Zhang Z, Piro AL, Dai FF, Wheeler MB. Adaptive Changes in Glucose Homeostasis and Islet Function During Pregnancy: A Targeted Metabolomics Study in Mice. </w:t>
      </w:r>
      <w:r w:rsidRPr="004E4988">
        <w:rPr>
          <w:rFonts w:ascii="Calibri" w:hAnsi="Calibri" w:cs="Calibri"/>
          <w:i/>
          <w:iCs/>
        </w:rPr>
        <w:t>Front. Endocrinol.</w:t>
      </w:r>
      <w:r w:rsidRPr="004E4988">
        <w:rPr>
          <w:rFonts w:ascii="Calibri" w:hAnsi="Calibri" w:cs="Calibri"/>
        </w:rPr>
        <w:t xml:space="preserve"> 2022;13. doi:10.3389/fendo.2022.852149.</w:t>
      </w:r>
    </w:p>
    <w:p w14:paraId="6B947CAD" w14:textId="77777777" w:rsidR="004E4988" w:rsidRPr="004E4988" w:rsidRDefault="004E4988" w:rsidP="004E4988">
      <w:pPr>
        <w:pStyle w:val="Bibliography"/>
        <w:rPr>
          <w:rFonts w:ascii="Calibri" w:hAnsi="Calibri" w:cs="Calibri"/>
        </w:rPr>
      </w:pPr>
      <w:r w:rsidRPr="004E4988">
        <w:rPr>
          <w:rFonts w:ascii="Calibri" w:hAnsi="Calibri" w:cs="Calibri"/>
        </w:rPr>
        <w:lastRenderedPageBreak/>
        <w:t xml:space="preserve">39. </w:t>
      </w:r>
      <w:r w:rsidRPr="004E4988">
        <w:rPr>
          <w:rFonts w:ascii="Calibri" w:hAnsi="Calibri" w:cs="Calibri"/>
        </w:rPr>
        <w:tab/>
        <w:t xml:space="preserve">Gunder LC, Harvey I, Redd JR, Davis CS, AL-Tamimi A, Brooks SV, Bridges D. Obesity Augments Glucocorticoid-Dependent Muscle Atrophy in Male C57BL/6J Mice. </w:t>
      </w:r>
      <w:r w:rsidRPr="004E4988">
        <w:rPr>
          <w:rFonts w:ascii="Calibri" w:hAnsi="Calibri" w:cs="Calibri"/>
          <w:i/>
          <w:iCs/>
        </w:rPr>
        <w:t>Biomedicines</w:t>
      </w:r>
      <w:r w:rsidRPr="004E4988">
        <w:rPr>
          <w:rFonts w:ascii="Calibri" w:hAnsi="Calibri" w:cs="Calibri"/>
        </w:rPr>
        <w:t xml:space="preserve"> 2020;8(10):420.</w:t>
      </w:r>
    </w:p>
    <w:p w14:paraId="3A7FE6B1" w14:textId="77777777" w:rsidR="004E4988" w:rsidRPr="004E4988" w:rsidRDefault="004E4988" w:rsidP="004E4988">
      <w:pPr>
        <w:pStyle w:val="Bibliography"/>
        <w:rPr>
          <w:rFonts w:ascii="Calibri" w:hAnsi="Calibri" w:cs="Calibri"/>
        </w:rPr>
      </w:pPr>
      <w:r w:rsidRPr="004E4988">
        <w:rPr>
          <w:rFonts w:ascii="Calibri" w:hAnsi="Calibri" w:cs="Calibri"/>
        </w:rPr>
        <w:t xml:space="preserve">40. </w:t>
      </w:r>
      <w:r w:rsidRPr="004E4988">
        <w:rPr>
          <w:rFonts w:ascii="Calibri" w:hAnsi="Calibri" w:cs="Calibri"/>
        </w:rPr>
        <w:tab/>
        <w:t xml:space="preserve">Harvey I, Stephenson EJ, Redd JR, Tran QT, Hochberg I, Qi N, Bridges D. Glucocorticoid-Induced Metabolic Disturbances Are Exacerbated in Obese Male Mice. </w:t>
      </w:r>
      <w:r w:rsidRPr="004E4988">
        <w:rPr>
          <w:rFonts w:ascii="Calibri" w:hAnsi="Calibri" w:cs="Calibri"/>
          <w:i/>
          <w:iCs/>
        </w:rPr>
        <w:t>Endocrinology</w:t>
      </w:r>
      <w:r w:rsidRPr="004E4988">
        <w:rPr>
          <w:rFonts w:ascii="Calibri" w:hAnsi="Calibri" w:cs="Calibri"/>
        </w:rPr>
        <w:t xml:space="preserve"> 2018;159(6):2275–2287.</w:t>
      </w:r>
    </w:p>
    <w:p w14:paraId="57C1F93A" w14:textId="77777777" w:rsidR="004E4988" w:rsidRPr="004E4988" w:rsidRDefault="004E4988" w:rsidP="004E4988">
      <w:pPr>
        <w:pStyle w:val="Bibliography"/>
        <w:rPr>
          <w:rFonts w:ascii="Calibri" w:hAnsi="Calibri" w:cs="Calibri"/>
        </w:rPr>
      </w:pPr>
      <w:r w:rsidRPr="004E4988">
        <w:rPr>
          <w:rFonts w:ascii="Calibri" w:hAnsi="Calibri" w:cs="Calibri"/>
        </w:rPr>
        <w:t xml:space="preserve">41. </w:t>
      </w:r>
      <w:r w:rsidRPr="004E4988">
        <w:rPr>
          <w:rFonts w:ascii="Calibri" w:hAnsi="Calibri" w:cs="Calibri"/>
        </w:rPr>
        <w:tab/>
        <w:t xml:space="preserve">Wang P, Ma W, Zhou Y, Zhao Y, Shi H, Yang Q, Zhang Y. Circulating metal concentrations, inflammatory cytokines and gestational weight gain: Shanghai MCPC cohort. </w:t>
      </w:r>
      <w:r w:rsidRPr="004E4988">
        <w:rPr>
          <w:rFonts w:ascii="Calibri" w:hAnsi="Calibri" w:cs="Calibri"/>
          <w:i/>
          <w:iCs/>
        </w:rPr>
        <w:t>Ecotoxicology and Environmental Safety</w:t>
      </w:r>
      <w:r w:rsidRPr="004E4988">
        <w:rPr>
          <w:rFonts w:ascii="Calibri" w:hAnsi="Calibri" w:cs="Calibri"/>
        </w:rPr>
        <w:t xml:space="preserve"> 2020;199:110697.</w:t>
      </w:r>
    </w:p>
    <w:p w14:paraId="4783199C" w14:textId="77777777" w:rsidR="004E4988" w:rsidRPr="004E4988" w:rsidRDefault="004E4988" w:rsidP="004E4988">
      <w:pPr>
        <w:pStyle w:val="Bibliography"/>
        <w:rPr>
          <w:rFonts w:ascii="Calibri" w:hAnsi="Calibri" w:cs="Calibri"/>
        </w:rPr>
      </w:pPr>
      <w:r w:rsidRPr="004E4988">
        <w:rPr>
          <w:rFonts w:ascii="Calibri" w:hAnsi="Calibri" w:cs="Calibri"/>
        </w:rPr>
        <w:t xml:space="preserve">42. </w:t>
      </w:r>
      <w:r w:rsidRPr="004E4988">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4E4988">
        <w:rPr>
          <w:rFonts w:ascii="Calibri" w:hAnsi="Calibri" w:cs="Calibri"/>
          <w:i/>
          <w:iCs/>
        </w:rPr>
        <w:t>PLoS One</w:t>
      </w:r>
      <w:r w:rsidRPr="004E4988">
        <w:rPr>
          <w:rFonts w:ascii="Calibri" w:hAnsi="Calibri" w:cs="Calibri"/>
        </w:rPr>
        <w:t xml:space="preserve"> 2016;11(1):e0146518.</w:t>
      </w:r>
    </w:p>
    <w:p w14:paraId="0B7A52F6" w14:textId="77777777" w:rsidR="004E4988" w:rsidRPr="004E4988" w:rsidRDefault="004E4988" w:rsidP="004E4988">
      <w:pPr>
        <w:pStyle w:val="Bibliography"/>
        <w:rPr>
          <w:rFonts w:ascii="Calibri" w:hAnsi="Calibri" w:cs="Calibri"/>
        </w:rPr>
      </w:pPr>
      <w:r w:rsidRPr="004E4988">
        <w:rPr>
          <w:rFonts w:ascii="Calibri" w:hAnsi="Calibri" w:cs="Calibri"/>
        </w:rPr>
        <w:t xml:space="preserve">43. </w:t>
      </w:r>
      <w:r w:rsidRPr="004E4988">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4E4988">
        <w:rPr>
          <w:rFonts w:ascii="Calibri" w:hAnsi="Calibri" w:cs="Calibri"/>
          <w:i/>
          <w:iCs/>
        </w:rPr>
        <w:t>Gene</w:t>
      </w:r>
      <w:r w:rsidRPr="004E4988">
        <w:rPr>
          <w:rFonts w:ascii="Calibri" w:hAnsi="Calibri" w:cs="Calibri"/>
        </w:rPr>
        <w:t xml:space="preserve"> 1999;237(1):105–111.</w:t>
      </w:r>
    </w:p>
    <w:p w14:paraId="6ECD604F" w14:textId="77777777" w:rsidR="004E4988" w:rsidRPr="004E4988" w:rsidRDefault="004E4988" w:rsidP="004E4988">
      <w:pPr>
        <w:pStyle w:val="Bibliography"/>
        <w:rPr>
          <w:rFonts w:ascii="Calibri" w:hAnsi="Calibri" w:cs="Calibri"/>
        </w:rPr>
      </w:pPr>
      <w:r w:rsidRPr="004E4988">
        <w:rPr>
          <w:rFonts w:ascii="Calibri" w:hAnsi="Calibri" w:cs="Calibri"/>
        </w:rPr>
        <w:t xml:space="preserve">44. </w:t>
      </w:r>
      <w:r w:rsidRPr="004E4988">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4E4988">
        <w:rPr>
          <w:rFonts w:ascii="Calibri" w:hAnsi="Calibri" w:cs="Calibri"/>
          <w:i/>
          <w:iCs/>
        </w:rPr>
        <w:t>Cell Metabolism</w:t>
      </w:r>
      <w:r w:rsidRPr="004E4988">
        <w:rPr>
          <w:rFonts w:ascii="Calibri" w:hAnsi="Calibri" w:cs="Calibri"/>
        </w:rPr>
        <w:t xml:space="preserve"> 2019;29(3):707-718.e8.</w:t>
      </w:r>
    </w:p>
    <w:p w14:paraId="57F4B8B3" w14:textId="77777777" w:rsidR="004E4988" w:rsidRPr="004E4988" w:rsidRDefault="004E4988" w:rsidP="004E4988">
      <w:pPr>
        <w:pStyle w:val="Bibliography"/>
        <w:rPr>
          <w:rFonts w:ascii="Calibri" w:hAnsi="Calibri" w:cs="Calibri"/>
        </w:rPr>
      </w:pPr>
      <w:r w:rsidRPr="004E4988">
        <w:rPr>
          <w:rFonts w:ascii="Calibri" w:hAnsi="Calibri" w:cs="Calibri"/>
        </w:rPr>
        <w:t xml:space="preserve">45. </w:t>
      </w:r>
      <w:r w:rsidRPr="004E4988">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4E4988">
        <w:rPr>
          <w:rFonts w:ascii="Calibri" w:hAnsi="Calibri" w:cs="Calibri"/>
          <w:i/>
          <w:iCs/>
        </w:rPr>
        <w:t>American Journal of Physiology-Endocrinology and Metabolism</w:t>
      </w:r>
      <w:r w:rsidRPr="004E4988">
        <w:rPr>
          <w:rFonts w:ascii="Calibri" w:hAnsi="Calibri" w:cs="Calibri"/>
        </w:rPr>
        <w:t xml:space="preserve"> 2023;325(4):E303–E309.</w:t>
      </w:r>
    </w:p>
    <w:p w14:paraId="625E8A8F" w14:textId="77777777" w:rsidR="004E4988" w:rsidRPr="004E4988" w:rsidRDefault="004E4988" w:rsidP="004E4988">
      <w:pPr>
        <w:pStyle w:val="Bibliography"/>
        <w:rPr>
          <w:rFonts w:ascii="Calibri" w:hAnsi="Calibri" w:cs="Calibri"/>
        </w:rPr>
      </w:pPr>
      <w:r w:rsidRPr="004E4988">
        <w:rPr>
          <w:rFonts w:ascii="Calibri" w:hAnsi="Calibri" w:cs="Calibri"/>
        </w:rPr>
        <w:t xml:space="preserve">46. </w:t>
      </w:r>
      <w:r w:rsidRPr="004E4988">
        <w:rPr>
          <w:rFonts w:ascii="Calibri" w:hAnsi="Calibri" w:cs="Calibri"/>
        </w:rPr>
        <w:tab/>
        <w:t xml:space="preserve">Schmidt A, Morales-Prieto DM, Pastuschek J, Fröhlich K, Markert UR. Only humans have human placentas: molecular differences between mice and humans. </w:t>
      </w:r>
      <w:r w:rsidRPr="004E4988">
        <w:rPr>
          <w:rFonts w:ascii="Calibri" w:hAnsi="Calibri" w:cs="Calibri"/>
          <w:i/>
          <w:iCs/>
        </w:rPr>
        <w:t>Journal of Reproductive Immunology</w:t>
      </w:r>
      <w:r w:rsidRPr="004E4988">
        <w:rPr>
          <w:rFonts w:ascii="Calibri" w:hAnsi="Calibri" w:cs="Calibri"/>
        </w:rPr>
        <w:t xml:space="preserve"> 2015;108:65–71.</w:t>
      </w:r>
    </w:p>
    <w:p w14:paraId="4CA6E760" w14:textId="0EAC34DF"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t>
      </w:r>
      <w:proofErr w:type="gramStart"/>
      <w:r w:rsidRPr="003C0FFC">
        <w:rPr>
          <w:rFonts w:ascii="Times New Roman" w:hAnsi="Times New Roman" w:cs="Times New Roman"/>
        </w:rPr>
        <w:t>was</w:t>
      </w:r>
      <w:proofErr w:type="gramEnd"/>
      <w:r w:rsidRPr="003C0FFC">
        <w:rPr>
          <w:rFonts w:ascii="Times New Roman" w:hAnsi="Times New Roman" w:cs="Times New Roman"/>
        </w:rPr>
        <w:t xml:space="preserve">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6C3ACE3"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 w:name="_Hlk172037327"/>
      <w:r w:rsidRPr="003C0FFC">
        <w:rPr>
          <w:rFonts w:ascii="Times New Roman" w:hAnsi="Times New Roman" w:cs="Times New Roman"/>
        </w:rPr>
        <w:t>. C</w:t>
      </w:r>
      <w:r>
        <w:rPr>
          <w:rFonts w:ascii="Times New Roman" w:hAnsi="Times New Roman" w:cs="Times New Roman"/>
        </w:rPr>
        <w:t xml:space="preserve">) GDF15 levels at ZT1 </w:t>
      </w:r>
      <w:r w:rsidR="00E26479">
        <w:rPr>
          <w:rFonts w:ascii="Times New Roman" w:hAnsi="Times New Roman" w:cs="Times New Roman"/>
        </w:rPr>
        <w:t xml:space="preserve">and ZT13 </w:t>
      </w:r>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r w:rsidR="00E26479">
        <w:rPr>
          <w:rFonts w:ascii="Times New Roman" w:hAnsi="Times New Roman" w:cs="Times New Roman"/>
        </w:rPr>
        <w:t>by two</w:t>
      </w:r>
      <w:r w:rsidR="00911560">
        <w:rPr>
          <w:rFonts w:ascii="Times New Roman" w:hAnsi="Times New Roman" w:cs="Times New Roman"/>
        </w:rPr>
        <w:t>-</w:t>
      </w:r>
      <w:r w:rsidR="00E26479">
        <w:rPr>
          <w:rFonts w:ascii="Times New Roman" w:hAnsi="Times New Roman" w:cs="Times New Roman"/>
        </w:rPr>
        <w:t xml:space="preserve">way </w:t>
      </w:r>
      <w:r w:rsidR="00911560">
        <w:rPr>
          <w:rFonts w:ascii="Times New Roman" w:hAnsi="Times New Roman" w:cs="Times New Roman"/>
        </w:rPr>
        <w:t>ANOVA</w:t>
      </w:r>
      <w:r w:rsidR="00E26479">
        <w:rPr>
          <w:rFonts w:ascii="Times New Roman" w:hAnsi="Times New Roman" w:cs="Times New Roman"/>
        </w:rPr>
        <w:t xml:space="preserve"> </w:t>
      </w:r>
      <w:r w:rsidR="00884EE2">
        <w:rPr>
          <w:rFonts w:ascii="Times New Roman" w:hAnsi="Times New Roman" w:cs="Times New Roman"/>
        </w:rPr>
        <w:t xml:space="preserve">testing </w:t>
      </w:r>
      <w:r w:rsidR="00E26479">
        <w:rPr>
          <w:rFonts w:ascii="Times New Roman" w:hAnsi="Times New Roman" w:cs="Times New Roman"/>
        </w:rPr>
        <w:t>for effect</w:t>
      </w:r>
      <w:r w:rsidR="00884EE2">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 xml:space="preserve">. </w:t>
      </w:r>
      <w:bookmarkEnd w:id="3"/>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r w:rsidR="00E26479">
        <w:rPr>
          <w:rFonts w:ascii="Times New Roman" w:hAnsi="Times New Roman" w:cs="Times New Roman"/>
        </w:rPr>
        <w:t xml:space="preserve">by two-way </w:t>
      </w:r>
      <w:r w:rsidR="00237154">
        <w:rPr>
          <w:rFonts w:ascii="Times New Roman" w:hAnsi="Times New Roman" w:cs="Times New Roman"/>
        </w:rPr>
        <w:t>ANOVA</w:t>
      </w:r>
      <w:r w:rsidR="00E26479">
        <w:rPr>
          <w:rFonts w:ascii="Times New Roman" w:hAnsi="Times New Roman" w:cs="Times New Roman"/>
        </w:rPr>
        <w:t xml:space="preserve"> </w:t>
      </w:r>
      <w:r w:rsidR="00237154">
        <w:rPr>
          <w:rFonts w:ascii="Times New Roman" w:hAnsi="Times New Roman" w:cs="Times New Roman"/>
        </w:rPr>
        <w:t xml:space="preserve">testing </w:t>
      </w:r>
      <w:r w:rsidR="00E26479">
        <w:rPr>
          <w:rFonts w:ascii="Times New Roman" w:hAnsi="Times New Roman" w:cs="Times New Roman"/>
        </w:rPr>
        <w:t xml:space="preserve">for </w:t>
      </w:r>
      <w:r w:rsidR="00237154">
        <w:rPr>
          <w:rFonts w:ascii="Times New Roman" w:hAnsi="Times New Roman" w:cs="Times New Roman"/>
        </w:rPr>
        <w:t xml:space="preserve">the </w:t>
      </w:r>
      <w:r w:rsidR="00E26479">
        <w:rPr>
          <w:rFonts w:ascii="Times New Roman" w:hAnsi="Times New Roman" w:cs="Times New Roman"/>
        </w:rPr>
        <w:t>effect</w:t>
      </w:r>
      <w:r w:rsidR="00237154">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r w:rsidR="00E25264">
        <w:rPr>
          <w:rFonts w:ascii="Times New Roman" w:hAnsi="Times New Roman" w:cs="Times New Roman"/>
        </w:rPr>
        <w:t xml:space="preserve"> </w:t>
      </w:r>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w:t>
      </w:r>
      <w:proofErr w:type="gramStart"/>
      <w:r w:rsidRPr="003C0FFC">
        <w:rPr>
          <w:rFonts w:ascii="Times New Roman" w:hAnsi="Times New Roman" w:cs="Times New Roman"/>
        </w:rPr>
        <w:t>t test</w:t>
      </w:r>
      <w:proofErr w:type="gramEnd"/>
      <w:r w:rsidRPr="003C0FFC">
        <w:rPr>
          <w:rFonts w:ascii="Times New Roman" w:hAnsi="Times New Roman" w:cs="Times New Roman"/>
        </w:rPr>
        <w:t xml:space="preserve">.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Total mass (in grams) lost by dam during the suckling period of the </w:t>
      </w:r>
      <w:proofErr w:type="gramStart"/>
      <w:r w:rsidRPr="003C0FFC">
        <w:rPr>
          <w:rFonts w:ascii="Times New Roman" w:hAnsi="Times New Roman" w:cs="Times New Roman"/>
        </w:rPr>
        <w:t>weigh</w:t>
      </w:r>
      <w:proofErr w:type="gramEnd"/>
      <w:r w:rsidRPr="003C0FFC">
        <w:rPr>
          <w:rFonts w:ascii="Times New Roman" w:hAnsi="Times New Roman" w:cs="Times New Roman"/>
        </w:rPr>
        <w:t>-suckle-weigh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5C10A" w14:textId="77777777" w:rsidR="00E61D59" w:rsidRDefault="00E61D59" w:rsidP="00283B15">
      <w:r>
        <w:separator/>
      </w:r>
    </w:p>
  </w:endnote>
  <w:endnote w:type="continuationSeparator" w:id="0">
    <w:p w14:paraId="48A89BD4" w14:textId="77777777" w:rsidR="00E61D59" w:rsidRDefault="00E61D59"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9CE75" w14:textId="77777777" w:rsidR="00E61D59" w:rsidRDefault="00E61D59" w:rsidP="00283B15">
      <w:r>
        <w:separator/>
      </w:r>
    </w:p>
  </w:footnote>
  <w:footnote w:type="continuationSeparator" w:id="0">
    <w:p w14:paraId="1B18E693" w14:textId="77777777" w:rsidR="00E61D59" w:rsidRDefault="00E61D59"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678"/>
    <w:rsid w:val="00062E9C"/>
    <w:rsid w:val="00066319"/>
    <w:rsid w:val="00071010"/>
    <w:rsid w:val="00071C6A"/>
    <w:rsid w:val="0007477C"/>
    <w:rsid w:val="00075527"/>
    <w:rsid w:val="00076A5D"/>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0FA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0F7D"/>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4988"/>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375F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49BA"/>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7FB"/>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1AD"/>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3A4"/>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2EE1"/>
    <w:rsid w:val="00D551EF"/>
    <w:rsid w:val="00D56DA1"/>
    <w:rsid w:val="00D656F0"/>
    <w:rsid w:val="00D671B1"/>
    <w:rsid w:val="00D719EA"/>
    <w:rsid w:val="00D7524F"/>
    <w:rsid w:val="00D755F4"/>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1D59"/>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5A07"/>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idgesLab/Developmental-Obes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crunch.org/resolver/IMSR_JAX:000664"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31046</Words>
  <Characters>176966</Characters>
  <Application>Microsoft Office Word</Application>
  <DocSecurity>0</DocSecurity>
  <Lines>1474</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47</cp:revision>
  <dcterms:created xsi:type="dcterms:W3CDTF">2024-07-16T19:24:00Z</dcterms:created>
  <dcterms:modified xsi:type="dcterms:W3CDTF">2024-08-05T21:09:00Z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id="ZlhItMkU"/&gt;&lt;style id="http://www.zotero.org/styles/endocrinology" hasBibliography="1" bibliographyStyleHasBeenSet="1"/&gt;&lt;prefs&gt;&lt;pref name="fieldType" value="Field"/&gt;&lt;/prefs&gt;&lt;/data&gt;</vt:lpwstr>
  </property>
</Properties>
</file>