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F165" w14:textId="61D7D419" w:rsidR="005E751B" w:rsidRPr="005E751B" w:rsidRDefault="005E751B" w:rsidP="005E751B">
      <w:pPr>
        <w:shd w:val="clear" w:color="auto" w:fill="FFFFFF"/>
        <w:spacing w:before="100" w:beforeAutospacing="1" w:after="100" w:afterAutospacing="1" w:line="240" w:lineRule="auto"/>
        <w:ind w:left="360"/>
        <w:jc w:val="both"/>
      </w:pPr>
      <w:r>
        <w:t>We thank the reviewers for their time and expertise considering this study. We appreciate your insights and have made the recommended adjustments to aid in clarity of findings and in rationale for the work. The revisions include A&lt;B&lt;C&lt;D&lt;E&lt;F. The specific requests are listed by reviewer below</w:t>
      </w:r>
    </w:p>
    <w:p w14:paraId="6279A727" w14:textId="3365C232" w:rsidR="005E751B" w:rsidRDefault="005E751B"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TO DO BEFORE RESUBMISSION</w:t>
      </w:r>
    </w:p>
    <w:p w14:paraId="0670DCC6" w14:textId="76136E41"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our point-by-point rebuttal responding to each question must be posted as a separate document.</w:t>
      </w:r>
    </w:p>
    <w:p w14:paraId="32D257D8"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Two versions of your revised manuscript. (1) </w:t>
      </w:r>
      <w:r w:rsidRPr="00F339A9">
        <w:rPr>
          <w:rFonts w:ascii="Segoe UI" w:eastAsia="Times New Roman" w:hAnsi="Segoe UI" w:cs="Segoe UI"/>
          <w:color w:val="242424"/>
          <w:kern w:val="0"/>
          <w:sz w:val="23"/>
          <w:szCs w:val="23"/>
          <w:highlight w:val="yellow"/>
          <w14:ligatures w14:val="none"/>
        </w:rPr>
        <w:t>A marked-up copy</w:t>
      </w:r>
      <w:r w:rsidRPr="00F339A9">
        <w:rPr>
          <w:rFonts w:ascii="Segoe UI" w:eastAsia="Times New Roman" w:hAnsi="Segoe UI" w:cs="Segoe UI"/>
          <w:color w:val="242424"/>
          <w:kern w:val="0"/>
          <w:sz w:val="23"/>
          <w:szCs w:val="23"/>
          <w14:ligatures w14:val="none"/>
        </w:rPr>
        <w:t xml:space="preserve"> to be used for editor and reviewer purposes that indicates all changes made to the text with either highlighting, colored text, or </w:t>
      </w:r>
      <w:r w:rsidRPr="00F339A9">
        <w:rPr>
          <w:rFonts w:ascii="Segoe UI" w:eastAsia="Times New Roman" w:hAnsi="Segoe UI" w:cs="Segoe UI"/>
          <w:color w:val="242424"/>
          <w:kern w:val="0"/>
          <w:sz w:val="23"/>
          <w:szCs w:val="23"/>
          <w:highlight w:val="yellow"/>
          <w14:ligatures w14:val="none"/>
        </w:rPr>
        <w:t>tracked changes</w:t>
      </w:r>
      <w:r w:rsidRPr="00F339A9">
        <w:rPr>
          <w:rFonts w:ascii="Segoe UI" w:eastAsia="Times New Roman" w:hAnsi="Segoe UI" w:cs="Segoe UI"/>
          <w:color w:val="242424"/>
          <w:kern w:val="0"/>
          <w:sz w:val="23"/>
          <w:szCs w:val="23"/>
          <w14:ligatures w14:val="none"/>
        </w:rPr>
        <w:t xml:space="preserve"> and (2</w:t>
      </w:r>
      <w:r w:rsidRPr="00F339A9">
        <w:rPr>
          <w:rFonts w:ascii="Segoe UI" w:eastAsia="Times New Roman" w:hAnsi="Segoe UI" w:cs="Segoe UI"/>
          <w:color w:val="242424"/>
          <w:kern w:val="0"/>
          <w:sz w:val="23"/>
          <w:szCs w:val="23"/>
          <w:highlight w:val="yellow"/>
          <w14:ligatures w14:val="none"/>
        </w:rPr>
        <w:t>) A “clean”, un-marked copy that has all color and mark-up removed</w:t>
      </w:r>
      <w:r w:rsidRPr="00F339A9">
        <w:rPr>
          <w:rFonts w:ascii="Segoe UI" w:eastAsia="Times New Roman" w:hAnsi="Segoe UI" w:cs="Segoe UI"/>
          <w:color w:val="242424"/>
          <w:kern w:val="0"/>
          <w:sz w:val="23"/>
          <w:szCs w:val="23"/>
          <w14:ligatures w14:val="none"/>
        </w:rPr>
        <w:t xml:space="preserve"> that will be used by production, should your manuscript be accepted.</w:t>
      </w:r>
    </w:p>
    <w:p w14:paraId="4A80D0FC" w14:textId="77777777" w:rsidR="00F339A9" w:rsidRPr="00F339A9" w:rsidRDefault="00F339A9" w:rsidP="00F339A9">
      <w:pPr>
        <w:numPr>
          <w:ilvl w:val="1"/>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Please note that aside from one copy showing color or mark-up, the two copies of your manuscript should be identical and include all revisions. The “clean” copy should contain all revisions reflected in the marked-up </w:t>
      </w:r>
      <w:proofErr w:type="gramStart"/>
      <w:r w:rsidRPr="00F339A9">
        <w:rPr>
          <w:rFonts w:ascii="Segoe UI" w:eastAsia="Times New Roman" w:hAnsi="Segoe UI" w:cs="Segoe UI"/>
          <w:color w:val="242424"/>
          <w:kern w:val="0"/>
          <w:sz w:val="23"/>
          <w:szCs w:val="23"/>
          <w14:ligatures w14:val="none"/>
        </w:rPr>
        <w:t>version, but</w:t>
      </w:r>
      <w:proofErr w:type="gramEnd"/>
      <w:r w:rsidRPr="00F339A9">
        <w:rPr>
          <w:rFonts w:ascii="Segoe UI" w:eastAsia="Times New Roman" w:hAnsi="Segoe UI" w:cs="Segoe UI"/>
          <w:color w:val="242424"/>
          <w:kern w:val="0"/>
          <w:sz w:val="23"/>
          <w:szCs w:val="23"/>
          <w14:ligatures w14:val="none"/>
        </w:rPr>
        <w:t xml:space="preserve"> have tracked changes accepted and highlighting/colored text reverted to black and white.</w:t>
      </w:r>
    </w:p>
    <w:p w14:paraId="4ADE3361"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A </w:t>
      </w:r>
      <w:r w:rsidRPr="00F339A9">
        <w:rPr>
          <w:rFonts w:ascii="Segoe UI" w:eastAsia="Times New Roman" w:hAnsi="Segoe UI" w:cs="Segoe UI"/>
          <w:color w:val="242424"/>
          <w:kern w:val="0"/>
          <w:sz w:val="23"/>
          <w:szCs w:val="23"/>
          <w:highlight w:val="yellow"/>
          <w14:ligatures w14:val="none"/>
        </w:rPr>
        <w:t>disclosure statement summarizing</w:t>
      </w:r>
      <w:r w:rsidRPr="00F339A9">
        <w:rPr>
          <w:rFonts w:ascii="Segoe UI" w:eastAsia="Times New Roman" w:hAnsi="Segoe UI" w:cs="Segoe UI"/>
          <w:color w:val="242424"/>
          <w:kern w:val="0"/>
          <w:sz w:val="23"/>
          <w:szCs w:val="23"/>
          <w14:ligatures w14:val="none"/>
        </w:rPr>
        <w:t xml:space="preserve"> any possible conflicts of interest that relate to the current study must be included on the title page of the revision.</w:t>
      </w:r>
    </w:p>
    <w:p w14:paraId="67A65DDB"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highlight w:val="yellow"/>
          <w14:ligatures w14:val="none"/>
        </w:rPr>
        <w:t>Keywords must be listed on the title page</w:t>
      </w:r>
      <w:r w:rsidRPr="00F339A9">
        <w:rPr>
          <w:rFonts w:ascii="Segoe UI" w:eastAsia="Times New Roman" w:hAnsi="Segoe UI" w:cs="Segoe UI"/>
          <w:color w:val="242424"/>
          <w:kern w:val="0"/>
          <w:sz w:val="23"/>
          <w:szCs w:val="23"/>
          <w14:ligatures w14:val="none"/>
        </w:rPr>
        <w:t>. </w:t>
      </w:r>
    </w:p>
    <w:p w14:paraId="746B86C1"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References must be </w:t>
      </w:r>
      <w:r w:rsidRPr="00F339A9">
        <w:rPr>
          <w:rFonts w:ascii="Segoe UI" w:eastAsia="Times New Roman" w:hAnsi="Segoe UI" w:cs="Segoe UI"/>
          <w:color w:val="242424"/>
          <w:kern w:val="0"/>
          <w:sz w:val="23"/>
          <w:szCs w:val="23"/>
          <w:highlight w:val="yellow"/>
          <w14:ligatures w14:val="none"/>
        </w:rPr>
        <w:t>in correct, AMA format</w:t>
      </w:r>
      <w:r w:rsidRPr="00F339A9">
        <w:rPr>
          <w:rFonts w:ascii="Segoe UI" w:eastAsia="Times New Roman" w:hAnsi="Segoe UI" w:cs="Segoe UI"/>
          <w:color w:val="242424"/>
          <w:kern w:val="0"/>
          <w:sz w:val="23"/>
          <w:szCs w:val="23"/>
          <w14:ligatures w14:val="none"/>
        </w:rPr>
        <w:t>.</w:t>
      </w:r>
    </w:p>
    <w:p w14:paraId="5C1D7F0A" w14:textId="77777777" w:rsidR="00F339A9" w:rsidRPr="00F339A9" w:rsidRDefault="00F339A9" w:rsidP="00F339A9">
      <w:pPr>
        <w:numPr>
          <w:ilvl w:val="0"/>
          <w:numId w:val="1"/>
        </w:numPr>
        <w:shd w:val="clear" w:color="auto" w:fill="FFFFFF"/>
        <w:spacing w:beforeAutospacing="1" w:after="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Please also ensure that you have checked the reference citations in the body of the manuscript to ensure that they follow journal style, specifically that they are in numeric order. Should your manuscript be accepted, we will not be able to send it to production until all in-text citations are numbered in order of appearance, including any in the figures and tables. Please see our author guidelines for additional details: </w:t>
      </w:r>
      <w:hyperlink r:id="rId5" w:history="1">
        <w:r w:rsidRPr="00F339A9">
          <w:rPr>
            <w:rFonts w:ascii="Segoe UI" w:eastAsia="Times New Roman" w:hAnsi="Segoe UI" w:cs="Segoe UI"/>
            <w:color w:val="0000FF"/>
            <w:kern w:val="0"/>
            <w:sz w:val="23"/>
            <w:szCs w:val="23"/>
            <w:u w:val="single"/>
            <w:bdr w:val="none" w:sz="0" w:space="0" w:color="auto" w:frame="1"/>
            <w14:ligatures w14:val="none"/>
          </w:rPr>
          <w:t>https://academic.oup.com/endo/pages/Author_Guidelines#references</w:t>
        </w:r>
      </w:hyperlink>
      <w:hyperlink r:id="rId6" w:history="1">
        <w:r w:rsidRPr="00F339A9">
          <w:rPr>
            <w:rFonts w:ascii="Segoe UI" w:eastAsia="Times New Roman" w:hAnsi="Segoe UI" w:cs="Segoe UI"/>
            <w:b/>
            <w:bCs/>
            <w:color w:val="0000FF"/>
            <w:kern w:val="0"/>
            <w:sz w:val="23"/>
            <w:szCs w:val="23"/>
            <w:u w:val="single"/>
            <w:bdr w:val="none" w:sz="0" w:space="0" w:color="auto" w:frame="1"/>
            <w14:ligatures w14:val="none"/>
          </w:rPr>
          <w:t>​</w:t>
        </w:r>
      </w:hyperlink>
    </w:p>
    <w:p w14:paraId="729F963F"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Manuscript sections in correct order: </w:t>
      </w:r>
      <w:r w:rsidRPr="00F339A9">
        <w:rPr>
          <w:rFonts w:ascii="Segoe UI" w:eastAsia="Times New Roman" w:hAnsi="Segoe UI" w:cs="Segoe UI"/>
          <w:color w:val="242424"/>
          <w:kern w:val="0"/>
          <w:sz w:val="23"/>
          <w:szCs w:val="23"/>
          <w:highlight w:val="yellow"/>
          <w14:ligatures w14:val="none"/>
        </w:rPr>
        <w:t>Title Page, Abstract, Introduction, Materials and Methods, Results, Discussion, Data Availability Statement, References, Figure Legends, Tables, Figures.</w:t>
      </w:r>
      <w:r w:rsidRPr="00F339A9">
        <w:rPr>
          <w:rFonts w:ascii="Segoe UI" w:eastAsia="Times New Roman" w:hAnsi="Segoe UI" w:cs="Segoe UI"/>
          <w:color w:val="242424"/>
          <w:kern w:val="0"/>
          <w:sz w:val="23"/>
          <w:szCs w:val="23"/>
          <w14:ligatures w14:val="none"/>
        </w:rPr>
        <w:t> (Alternatively, References may be provided after Figure Legends and Tables).  Please do not combine Results and Discussion sections.</w:t>
      </w:r>
    </w:p>
    <w:p w14:paraId="6F53D323"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It is required for acceptance that </w:t>
      </w:r>
      <w:r w:rsidRPr="00F339A9">
        <w:rPr>
          <w:rFonts w:ascii="Segoe UI" w:eastAsia="Times New Roman" w:hAnsi="Segoe UI" w:cs="Segoe UI"/>
          <w:color w:val="242424"/>
          <w:kern w:val="0"/>
          <w:sz w:val="23"/>
          <w:szCs w:val="23"/>
          <w:highlight w:val="yellow"/>
          <w14:ligatures w14:val="none"/>
        </w:rPr>
        <w:t>all authors respond to the authorship verification email that will be sent to them individually upon re-submission unless they</w:t>
      </w:r>
      <w:r w:rsidRPr="00F339A9">
        <w:rPr>
          <w:rFonts w:ascii="Segoe UI" w:eastAsia="Times New Roman" w:hAnsi="Segoe UI" w:cs="Segoe UI"/>
          <w:color w:val="242424"/>
          <w:kern w:val="0"/>
          <w:sz w:val="23"/>
          <w:szCs w:val="23"/>
          <w14:ligatures w14:val="none"/>
        </w:rPr>
        <w:t xml:space="preserve"> responded to a previous authorship verification email. Please ensure that all email addresses are correct.</w:t>
      </w:r>
    </w:p>
    <w:p w14:paraId="7DD7E76A"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If the article type permits figures and tables, please review the table and figure formats in the Author Guidelines and adhere to the number of allowed figures and tables per paper.</w:t>
      </w:r>
    </w:p>
    <w:p w14:paraId="5ED5B788"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Check to make certain your figures are </w:t>
      </w:r>
      <w:r w:rsidRPr="00F339A9">
        <w:rPr>
          <w:rFonts w:ascii="Segoe UI" w:eastAsia="Times New Roman" w:hAnsi="Segoe UI" w:cs="Segoe UI"/>
          <w:color w:val="242424"/>
          <w:kern w:val="0"/>
          <w:sz w:val="23"/>
          <w:szCs w:val="23"/>
          <w:highlight w:val="yellow"/>
          <w14:ligatures w14:val="none"/>
        </w:rPr>
        <w:t>in .eps or .</w:t>
      </w:r>
      <w:proofErr w:type="spellStart"/>
      <w:r w:rsidRPr="00F339A9">
        <w:rPr>
          <w:rFonts w:ascii="Segoe UI" w:eastAsia="Times New Roman" w:hAnsi="Segoe UI" w:cs="Segoe UI"/>
          <w:color w:val="242424"/>
          <w:kern w:val="0"/>
          <w:sz w:val="23"/>
          <w:szCs w:val="23"/>
          <w:highlight w:val="yellow"/>
          <w14:ligatures w14:val="none"/>
        </w:rPr>
        <w:t>tif</w:t>
      </w:r>
      <w:proofErr w:type="spellEnd"/>
      <w:r w:rsidRPr="00F339A9">
        <w:rPr>
          <w:rFonts w:ascii="Segoe UI" w:eastAsia="Times New Roman" w:hAnsi="Segoe UI" w:cs="Segoe UI"/>
          <w:color w:val="242424"/>
          <w:kern w:val="0"/>
          <w:sz w:val="23"/>
          <w:szCs w:val="23"/>
          <w:highlight w:val="yellow"/>
          <w14:ligatures w14:val="none"/>
        </w:rPr>
        <w:t xml:space="preserve"> format</w:t>
      </w:r>
      <w:r w:rsidRPr="00F339A9">
        <w:rPr>
          <w:rFonts w:ascii="Segoe UI" w:eastAsia="Times New Roman" w:hAnsi="Segoe UI" w:cs="Segoe UI"/>
          <w:color w:val="242424"/>
          <w:kern w:val="0"/>
          <w:sz w:val="23"/>
          <w:szCs w:val="23"/>
          <w14:ligatures w14:val="none"/>
        </w:rPr>
        <w:t xml:space="preserve">. We recommend a minimum resolution of 300 dpi for color figures and a minimum resolution of 1200 </w:t>
      </w:r>
      <w:r w:rsidRPr="00F339A9">
        <w:rPr>
          <w:rFonts w:ascii="Segoe UI" w:eastAsia="Times New Roman" w:hAnsi="Segoe UI" w:cs="Segoe UI"/>
          <w:color w:val="242424"/>
          <w:kern w:val="0"/>
          <w:sz w:val="23"/>
          <w:szCs w:val="23"/>
          <w14:ligatures w14:val="none"/>
        </w:rPr>
        <w:lastRenderedPageBreak/>
        <w:t>dpi for half-tone figures in .</w:t>
      </w:r>
      <w:proofErr w:type="spellStart"/>
      <w:r w:rsidRPr="00F339A9">
        <w:rPr>
          <w:rFonts w:ascii="Segoe UI" w:eastAsia="Times New Roman" w:hAnsi="Segoe UI" w:cs="Segoe UI"/>
          <w:color w:val="242424"/>
          <w:kern w:val="0"/>
          <w:sz w:val="23"/>
          <w:szCs w:val="23"/>
          <w14:ligatures w14:val="none"/>
        </w:rPr>
        <w:t>tif</w:t>
      </w:r>
      <w:proofErr w:type="spellEnd"/>
      <w:r w:rsidRPr="00F339A9">
        <w:rPr>
          <w:rFonts w:ascii="Segoe UI" w:eastAsia="Times New Roman" w:hAnsi="Segoe UI" w:cs="Segoe UI"/>
          <w:color w:val="242424"/>
          <w:kern w:val="0"/>
          <w:sz w:val="23"/>
          <w:szCs w:val="23"/>
          <w14:ligatures w14:val="none"/>
        </w:rPr>
        <w:t xml:space="preserve"> or eps format. Please ensure your figures appear clear at 300% zoom.</w:t>
      </w:r>
    </w:p>
    <w:p w14:paraId="47EEB725"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b/>
          <w:bCs/>
          <w:color w:val="242424"/>
          <w:kern w:val="0"/>
          <w:sz w:val="23"/>
          <w:szCs w:val="23"/>
          <w14:ligatures w14:val="none"/>
        </w:rPr>
        <w:t>If you are removing authors, you must submit a letter approving the deletions signed by all authors, including the authors being removed.</w:t>
      </w:r>
    </w:p>
    <w:p w14:paraId="41C5C199" w14:textId="77777777" w:rsidR="005E751B" w:rsidRDefault="00F339A9" w:rsidP="00F339A9">
      <w:pPr>
        <w:rPr>
          <w:rFonts w:ascii="Segoe UI" w:hAnsi="Segoe UI" w:cs="Segoe UI"/>
          <w:color w:val="242424"/>
          <w:sz w:val="23"/>
          <w:szCs w:val="23"/>
          <w:shd w:val="clear" w:color="auto" w:fill="FFFFFF"/>
        </w:rPr>
      </w:pPr>
      <w:r>
        <w:rPr>
          <w:rStyle w:val="Strong"/>
          <w:rFonts w:ascii="Segoe UI" w:hAnsi="Segoe UI" w:cs="Segoe UI"/>
          <w:color w:val="242424"/>
          <w:sz w:val="23"/>
          <w:szCs w:val="23"/>
          <w:shd w:val="clear" w:color="auto" w:fill="FFFFFF"/>
        </w:rPr>
        <w:t>Reviewer 1</w:t>
      </w:r>
      <w:r>
        <w:rPr>
          <w:rFonts w:ascii="Segoe UI" w:hAnsi="Segoe UI" w:cs="Segoe UI"/>
          <w:color w:val="242424"/>
          <w:sz w:val="23"/>
          <w:szCs w:val="23"/>
          <w:shd w:val="clear" w:color="auto" w:fill="FFFFFF"/>
        </w:rPr>
        <w:t xml:space="preserve">: </w:t>
      </w:r>
    </w:p>
    <w:p w14:paraId="1360C40E" w14:textId="5DA812A3" w:rsidR="00532D43" w:rsidRPr="00325746" w:rsidRDefault="00F339A9" w:rsidP="005B2A1D">
      <w:pPr>
        <w:rPr>
          <w:rFonts w:ascii="Segoe UI" w:hAnsi="Segoe UI" w:cs="Segoe UI"/>
          <w:color w:val="242424"/>
          <w:sz w:val="23"/>
          <w:szCs w:val="23"/>
          <w:shd w:val="clear" w:color="auto" w:fill="FFFFFF"/>
        </w:rPr>
      </w:pPr>
      <w:r w:rsidRPr="005E751B">
        <w:rPr>
          <w:rFonts w:ascii="Segoe UI" w:hAnsi="Segoe UI" w:cs="Segoe UI"/>
          <w:color w:val="242424"/>
          <w:sz w:val="23"/>
          <w:szCs w:val="23"/>
          <w:shd w:val="clear" w:color="auto" w:fill="FFFFFF"/>
        </w:rPr>
        <w:t xml:space="preserve">This is an interesting study that examined the effect of GDF-15 deficiency on multiple pregnancy -related outcomes in GDF-15 KO mice. </w:t>
      </w:r>
      <w:r w:rsidR="000635DC" w:rsidRPr="005E751B">
        <w:rPr>
          <w:rFonts w:ascii="Segoe UI" w:hAnsi="Segoe UI" w:cs="Segoe UI"/>
          <w:color w:val="242424"/>
          <w:sz w:val="23"/>
          <w:szCs w:val="23"/>
          <w:shd w:val="clear" w:color="auto" w:fill="FFFFFF"/>
        </w:rPr>
        <w:t>Surprisingly</w:t>
      </w:r>
      <w:r w:rsidRPr="005E751B">
        <w:rPr>
          <w:rFonts w:ascii="Segoe UI" w:hAnsi="Segoe UI" w:cs="Segoe UI"/>
          <w:color w:val="242424"/>
          <w:sz w:val="23"/>
          <w:szCs w:val="23"/>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5E751B">
        <w:rPr>
          <w:rFonts w:ascii="Segoe UI" w:hAnsi="Segoe UI" w:cs="Segoe UI"/>
          <w:color w:val="242424"/>
          <w:sz w:val="23"/>
          <w:szCs w:val="23"/>
        </w:rPr>
        <w:br/>
      </w:r>
      <w:r w:rsidRPr="005E751B">
        <w:rPr>
          <w:rFonts w:ascii="Segoe UI" w:hAnsi="Segoe UI" w:cs="Segoe UI"/>
          <w:color w:val="242424"/>
          <w:sz w:val="23"/>
          <w:szCs w:val="23"/>
          <w:shd w:val="clear" w:color="auto" w:fill="FFFFFF"/>
        </w:rPr>
        <w:t>A few comments to the authors:</w:t>
      </w:r>
      <w:r w:rsidRPr="005E751B">
        <w:rPr>
          <w:rFonts w:ascii="Segoe UI" w:hAnsi="Segoe UI" w:cs="Segoe UI"/>
          <w:color w:val="242424"/>
          <w:sz w:val="23"/>
          <w:szCs w:val="23"/>
        </w:rPr>
        <w:br/>
      </w:r>
      <w:r w:rsidRPr="005B2A1D">
        <w:rPr>
          <w:rFonts w:ascii="Segoe UI" w:hAnsi="Segoe UI" w:cs="Segoe UI"/>
          <w:b/>
          <w:bCs/>
          <w:color w:val="242424"/>
          <w:sz w:val="23"/>
          <w:szCs w:val="23"/>
          <w:shd w:val="clear" w:color="auto" w:fill="FFFFFF"/>
        </w:rPr>
        <w:t>1. Figure 2A &amp; B: If insulin tolerance is reduced in pregnancy why does fasting glucose tend to be lower?</w:t>
      </w:r>
    </w:p>
    <w:p w14:paraId="09094DA5" w14:textId="77777777" w:rsidR="0054230C" w:rsidRDefault="00870C7A" w:rsidP="005B2A1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Insulin resistance and lower blood glucose, both f</w:t>
      </w:r>
      <w:r w:rsidR="00532D43">
        <w:rPr>
          <w:rFonts w:ascii="Segoe UI" w:hAnsi="Segoe UI" w:cs="Segoe UI"/>
          <w:color w:val="242424"/>
          <w:sz w:val="23"/>
          <w:szCs w:val="23"/>
          <w:shd w:val="clear" w:color="auto" w:fill="FFFFFF"/>
        </w:rPr>
        <w:t>asting</w:t>
      </w:r>
      <w:r w:rsidR="00A17617">
        <w:rPr>
          <w:rFonts w:ascii="Segoe UI" w:hAnsi="Segoe UI" w:cs="Segoe UI"/>
          <w:color w:val="242424"/>
          <w:sz w:val="23"/>
          <w:szCs w:val="23"/>
          <w:shd w:val="clear" w:color="auto" w:fill="FFFFFF"/>
        </w:rPr>
        <w:t xml:space="preserve"> and fed</w:t>
      </w:r>
      <w:r>
        <w:rPr>
          <w:rFonts w:ascii="Segoe UI" w:hAnsi="Segoe UI" w:cs="Segoe UI"/>
          <w:color w:val="242424"/>
          <w:sz w:val="23"/>
          <w:szCs w:val="23"/>
          <w:shd w:val="clear" w:color="auto" w:fill="FFFFFF"/>
        </w:rPr>
        <w:t xml:space="preserve">, during pregnancy </w:t>
      </w:r>
      <w:r w:rsidR="00A17617">
        <w:rPr>
          <w:rFonts w:ascii="Segoe UI" w:hAnsi="Segoe UI" w:cs="Segoe UI"/>
          <w:color w:val="242424"/>
          <w:sz w:val="23"/>
          <w:szCs w:val="23"/>
          <w:shd w:val="clear" w:color="auto" w:fill="FFFFFF"/>
        </w:rPr>
        <w:t xml:space="preserve">compared to </w:t>
      </w:r>
      <w:r>
        <w:rPr>
          <w:rFonts w:ascii="Segoe UI" w:hAnsi="Segoe UI" w:cs="Segoe UI"/>
          <w:color w:val="242424"/>
          <w:sz w:val="23"/>
          <w:szCs w:val="23"/>
          <w:shd w:val="clear" w:color="auto" w:fill="FFFFFF"/>
        </w:rPr>
        <w:t>non-pregnant</w:t>
      </w:r>
      <w:r w:rsidR="00A17617">
        <w:rPr>
          <w:rFonts w:ascii="Segoe UI" w:hAnsi="Segoe UI" w:cs="Segoe UI"/>
          <w:color w:val="242424"/>
          <w:sz w:val="23"/>
          <w:szCs w:val="23"/>
          <w:shd w:val="clear" w:color="auto" w:fill="FFFFFF"/>
        </w:rPr>
        <w:t xml:space="preserve"> mice</w:t>
      </w:r>
      <w:r>
        <w:rPr>
          <w:rFonts w:ascii="Segoe UI" w:hAnsi="Segoe UI" w:cs="Segoe UI"/>
          <w:color w:val="242424"/>
          <w:sz w:val="23"/>
          <w:szCs w:val="23"/>
          <w:shd w:val="clear" w:color="auto" w:fill="FFFFFF"/>
        </w:rPr>
        <w:t xml:space="preserve"> are well-documented phenomemons</w:t>
      </w:r>
      <w:r>
        <w:rPr>
          <w:rFonts w:ascii="Segoe UI" w:hAnsi="Segoe UI" w:cs="Segoe UI"/>
          <w:color w:val="242424"/>
          <w:sz w:val="23"/>
          <w:szCs w:val="23"/>
          <w:shd w:val="clear" w:color="auto" w:fill="FFFFFF"/>
        </w:rPr>
        <w:fldChar w:fldCharType="begin"/>
      </w:r>
      <w:r>
        <w:rPr>
          <w:rFonts w:ascii="Segoe UI" w:hAnsi="Segoe UI" w:cs="Segoe UI"/>
          <w:color w:val="242424"/>
          <w:sz w:val="23"/>
          <w:szCs w:val="23"/>
          <w:shd w:val="clear" w:color="auto" w:fill="FFFFFF"/>
        </w:rPr>
        <w:instrText xml:space="preserve"> ADDIN ZOTERO_ITEM CSL_CITATION {"citationID":"9bwLx1Tc","properties":{"formattedCitation":"\\super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Pr>
          <w:rFonts w:ascii="Segoe UI" w:hAnsi="Segoe UI" w:cs="Segoe UI"/>
          <w:color w:val="242424"/>
          <w:sz w:val="23"/>
          <w:szCs w:val="23"/>
          <w:shd w:val="clear" w:color="auto" w:fill="FFFFFF"/>
        </w:rPr>
        <w:fldChar w:fldCharType="separate"/>
      </w:r>
      <w:r w:rsidRPr="00870C7A">
        <w:rPr>
          <w:rFonts w:ascii="Segoe UI" w:hAnsi="Segoe UI" w:cs="Segoe UI"/>
          <w:kern w:val="0"/>
          <w:sz w:val="23"/>
          <w:vertAlign w:val="superscript"/>
        </w:rPr>
        <w:t>1,2</w:t>
      </w:r>
      <w:r>
        <w:rPr>
          <w:rFonts w:ascii="Segoe UI" w:hAnsi="Segoe UI" w:cs="Segoe UI"/>
          <w:color w:val="242424"/>
          <w:sz w:val="23"/>
          <w:szCs w:val="23"/>
          <w:shd w:val="clear" w:color="auto" w:fill="FFFFFF"/>
        </w:rPr>
        <w:fldChar w:fldCharType="end"/>
      </w:r>
      <w:r w:rsidR="00191A10">
        <w:rPr>
          <w:rFonts w:ascii="Segoe UI" w:hAnsi="Segoe UI" w:cs="Segoe UI"/>
          <w:color w:val="242424"/>
          <w:sz w:val="23"/>
          <w:szCs w:val="23"/>
          <w:shd w:val="clear" w:color="auto" w:fill="FFFFFF"/>
        </w:rPr>
        <w:t xml:space="preserve">. </w:t>
      </w:r>
      <w:r>
        <w:rPr>
          <w:rFonts w:ascii="Segoe UI" w:hAnsi="Segoe UI" w:cs="Segoe UI"/>
          <w:color w:val="242424"/>
          <w:sz w:val="23"/>
          <w:szCs w:val="23"/>
          <w:shd w:val="clear" w:color="auto" w:fill="FFFFFF"/>
        </w:rPr>
        <w:t xml:space="preserve">A combination of </w:t>
      </w:r>
      <w:r w:rsidR="00191A10">
        <w:rPr>
          <w:rFonts w:ascii="Segoe UI" w:hAnsi="Segoe UI" w:cs="Segoe UI"/>
          <w:color w:val="242424"/>
          <w:sz w:val="23"/>
          <w:szCs w:val="23"/>
          <w:shd w:val="clear" w:color="auto" w:fill="FFFFFF"/>
        </w:rPr>
        <w:t>placentally derived hormones, such as placental lactogens</w:t>
      </w:r>
      <w:r>
        <w:rPr>
          <w:rFonts w:ascii="Segoe UI" w:hAnsi="Segoe UI" w:cs="Segoe UI"/>
          <w:color w:val="242424"/>
          <w:sz w:val="23"/>
          <w:szCs w:val="23"/>
          <w:shd w:val="clear" w:color="auto" w:fill="FFFFFF"/>
        </w:rPr>
        <w:t xml:space="preserve">, reduced </w:t>
      </w:r>
      <w:r w:rsidR="005B2A1D">
        <w:rPr>
          <w:rFonts w:ascii="Segoe UI" w:hAnsi="Segoe UI" w:cs="Segoe UI"/>
          <w:color w:val="242424"/>
          <w:sz w:val="23"/>
          <w:szCs w:val="23"/>
          <w:shd w:val="clear" w:color="auto" w:fill="FFFFFF"/>
        </w:rPr>
        <w:t xml:space="preserve">hypoglycemic </w:t>
      </w:r>
      <w:r>
        <w:rPr>
          <w:rFonts w:ascii="Segoe UI" w:hAnsi="Segoe UI" w:cs="Segoe UI"/>
          <w:color w:val="242424"/>
          <w:sz w:val="23"/>
          <w:szCs w:val="23"/>
          <w:shd w:val="clear" w:color="auto" w:fill="FFFFFF"/>
        </w:rPr>
        <w:t xml:space="preserve">counter-regulatory measures in the islet, and large </w:t>
      </w:r>
      <w:proofErr w:type="spellStart"/>
      <w:r>
        <w:rPr>
          <w:rFonts w:ascii="Segoe UI" w:hAnsi="Segoe UI" w:cs="Segoe UI"/>
          <w:color w:val="242424"/>
          <w:sz w:val="23"/>
          <w:szCs w:val="23"/>
          <w:shd w:val="clear" w:color="auto" w:fill="FFFFFF"/>
        </w:rPr>
        <w:t>feto</w:t>
      </w:r>
      <w:proofErr w:type="spellEnd"/>
      <w:r>
        <w:rPr>
          <w:rFonts w:ascii="Segoe UI" w:hAnsi="Segoe UI" w:cs="Segoe UI"/>
          <w:color w:val="242424"/>
          <w:sz w:val="23"/>
          <w:szCs w:val="23"/>
          <w:shd w:val="clear" w:color="auto" w:fill="FFFFFF"/>
        </w:rPr>
        <w:t xml:space="preserve">-placental demand for glucose </w:t>
      </w:r>
      <w:r w:rsidR="00674514">
        <w:rPr>
          <w:rFonts w:ascii="Segoe UI" w:hAnsi="Segoe UI" w:cs="Segoe UI"/>
          <w:color w:val="242424"/>
          <w:sz w:val="23"/>
          <w:szCs w:val="23"/>
          <w:shd w:val="clear" w:color="auto" w:fill="FFFFFF"/>
        </w:rPr>
        <w:t xml:space="preserve">result in lower glucose levels for dams. We believe that our data provide strong evidence that our model is consistent with other rigorous pregnancy related glycemia studies. </w:t>
      </w:r>
      <w:r w:rsidR="0054230C">
        <w:rPr>
          <w:rFonts w:ascii="Segoe UI" w:hAnsi="Segoe UI" w:cs="Segoe UI"/>
          <w:color w:val="242424"/>
          <w:sz w:val="23"/>
          <w:szCs w:val="23"/>
          <w:shd w:val="clear" w:color="auto" w:fill="FFFFFF"/>
        </w:rPr>
        <w:t>To address this in the manuscript, we made the following change:</w:t>
      </w:r>
    </w:p>
    <w:p w14:paraId="1CF80C89" w14:textId="77777777" w:rsidR="009A5DE8" w:rsidRPr="009A5DE8" w:rsidRDefault="0054230C" w:rsidP="000E6C16">
      <w:pPr>
        <w:ind w:left="720"/>
        <w:rPr>
          <w:rFonts w:ascii="Segoe UI" w:hAnsi="Segoe UI" w:cs="Segoe UI"/>
          <w:color w:val="FF0000"/>
          <w:sz w:val="23"/>
          <w:szCs w:val="23"/>
        </w:rPr>
      </w:pPr>
      <w:r w:rsidRPr="009A5DE8">
        <w:rPr>
          <w:rFonts w:ascii="Segoe UI" w:hAnsi="Segoe UI" w:cs="Segoe UI"/>
          <w:color w:val="FF0000"/>
          <w:sz w:val="23"/>
          <w:szCs w:val="23"/>
        </w:rPr>
        <w:t>Lines 198-199: “Consistent with other murine models of pregnant, fasting blood glucose in pregnant dams tended to be lower than non-pregnant females</w:t>
      </w:r>
      <w:r w:rsidR="00E15B24" w:rsidRPr="009A5DE8">
        <w:rPr>
          <w:rFonts w:ascii="Segoe UI" w:hAnsi="Segoe UI" w:cs="Segoe UI"/>
          <w:color w:val="FF0000"/>
          <w:sz w:val="23"/>
          <w:szCs w:val="23"/>
        </w:rPr>
        <w:t xml:space="preserve"> (Figure 2B, p=0.20) (35,36).”</w:t>
      </w:r>
    </w:p>
    <w:p w14:paraId="69D84868" w14:textId="557C4F38" w:rsidR="005B2A1D" w:rsidRDefault="00F339A9" w:rsidP="005B2A1D">
      <w:pPr>
        <w:rPr>
          <w:rFonts w:ascii="Segoe UI" w:hAnsi="Segoe UI" w:cs="Segoe UI"/>
          <w:b/>
          <w:bCs/>
          <w:color w:val="242424"/>
          <w:sz w:val="23"/>
          <w:szCs w:val="23"/>
          <w:shd w:val="clear" w:color="auto" w:fill="FFFFFF"/>
        </w:rPr>
      </w:pPr>
      <w:r w:rsidRPr="005E751B">
        <w:rPr>
          <w:rFonts w:ascii="Segoe UI" w:hAnsi="Segoe UI" w:cs="Segoe UI"/>
          <w:color w:val="242424"/>
          <w:sz w:val="23"/>
          <w:szCs w:val="23"/>
        </w:rPr>
        <w:br/>
      </w:r>
      <w:r w:rsidRPr="005B2A1D">
        <w:rPr>
          <w:rFonts w:ascii="Segoe UI" w:hAnsi="Segoe UI" w:cs="Segoe UI"/>
          <w:b/>
          <w:bCs/>
          <w:color w:val="242424"/>
          <w:sz w:val="23"/>
          <w:szCs w:val="23"/>
          <w:shd w:val="clear" w:color="auto" w:fill="FFFFFF"/>
        </w:rPr>
        <w:t xml:space="preserve">2. </w:t>
      </w:r>
      <w:commentRangeStart w:id="0"/>
      <w:commentRangeStart w:id="1"/>
      <w:r w:rsidRPr="005B2A1D">
        <w:rPr>
          <w:rFonts w:ascii="Segoe UI" w:hAnsi="Segoe UI" w:cs="Segoe UI"/>
          <w:b/>
          <w:bCs/>
          <w:color w:val="242424"/>
          <w:sz w:val="23"/>
          <w:szCs w:val="23"/>
          <w:shd w:val="clear" w:color="auto" w:fill="FFFFFF"/>
        </w:rPr>
        <w:t>Figure 2 D &amp; E: If dexamethasone in drinking water reduces insulin tolerance why does fasting glucose tend to be lower?</w:t>
      </w:r>
      <w:commentRangeEnd w:id="0"/>
      <w:r w:rsidR="005B2A1D">
        <w:rPr>
          <w:rStyle w:val="CommentReference"/>
        </w:rPr>
        <w:commentReference w:id="0"/>
      </w:r>
      <w:commentRangeEnd w:id="1"/>
      <w:r w:rsidR="007273BF">
        <w:rPr>
          <w:rStyle w:val="CommentReference"/>
        </w:rPr>
        <w:commentReference w:id="1"/>
      </w:r>
    </w:p>
    <w:p w14:paraId="6BD1AB6D" w14:textId="6D8DA07F" w:rsidR="005E751B" w:rsidRPr="00EA3FC2" w:rsidRDefault="005B2A1D" w:rsidP="005B2A1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The poorer glycemic health and peripheral glucose disposal in response to exogenous insulin delivery is consistent with previously published work on dexamethasone treated animals from our group</w:t>
      </w:r>
      <w:r>
        <w:rPr>
          <w:rFonts w:ascii="Segoe UI" w:hAnsi="Segoe UI" w:cs="Segoe UI"/>
          <w:color w:val="242424"/>
          <w:sz w:val="23"/>
          <w:szCs w:val="23"/>
          <w:shd w:val="clear" w:color="auto" w:fill="FFFFFF"/>
        </w:rPr>
        <w:fldChar w:fldCharType="begin"/>
      </w:r>
      <w:r>
        <w:rPr>
          <w:rFonts w:ascii="Segoe UI" w:hAnsi="Segoe UI" w:cs="Segoe UI"/>
          <w:color w:val="242424"/>
          <w:sz w:val="23"/>
          <w:szCs w:val="23"/>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Pr>
          <w:rFonts w:ascii="Segoe UI" w:hAnsi="Segoe UI" w:cs="Segoe UI"/>
          <w:color w:val="242424"/>
          <w:sz w:val="23"/>
          <w:szCs w:val="23"/>
          <w:shd w:val="clear" w:color="auto" w:fill="FFFFFF"/>
        </w:rPr>
        <w:fldChar w:fldCharType="separate"/>
      </w:r>
      <w:r w:rsidRPr="005B2A1D">
        <w:rPr>
          <w:rFonts w:ascii="Segoe UI" w:hAnsi="Segoe UI" w:cs="Segoe UI"/>
          <w:kern w:val="0"/>
          <w:sz w:val="23"/>
          <w:vertAlign w:val="superscript"/>
        </w:rPr>
        <w:t>3</w:t>
      </w:r>
      <w:r>
        <w:rPr>
          <w:rFonts w:ascii="Segoe UI" w:hAnsi="Segoe UI" w:cs="Segoe UI"/>
          <w:color w:val="242424"/>
          <w:sz w:val="23"/>
          <w:szCs w:val="23"/>
          <w:shd w:val="clear" w:color="auto" w:fill="FFFFFF"/>
        </w:rPr>
        <w:fldChar w:fldCharType="end"/>
      </w:r>
      <w:r>
        <w:rPr>
          <w:rFonts w:ascii="Segoe UI" w:hAnsi="Segoe UI" w:cs="Segoe UI"/>
          <w:color w:val="242424"/>
          <w:sz w:val="23"/>
          <w:szCs w:val="23"/>
          <w:shd w:val="clear" w:color="auto" w:fill="FFFFFF"/>
        </w:rPr>
        <w:t xml:space="preserve">. We believe the reduced glucose </w:t>
      </w:r>
      <w:proofErr w:type="gramStart"/>
      <w:r>
        <w:rPr>
          <w:rFonts w:ascii="Segoe UI" w:hAnsi="Segoe UI" w:cs="Segoe UI"/>
          <w:color w:val="242424"/>
          <w:sz w:val="23"/>
          <w:szCs w:val="23"/>
          <w:shd w:val="clear" w:color="auto" w:fill="FFFFFF"/>
        </w:rPr>
        <w:t xml:space="preserve">is a reflection </w:t>
      </w:r>
      <w:r w:rsidR="0054230C">
        <w:rPr>
          <w:rFonts w:ascii="Segoe UI" w:hAnsi="Segoe UI" w:cs="Segoe UI"/>
          <w:color w:val="242424"/>
          <w:sz w:val="23"/>
          <w:szCs w:val="23"/>
          <w:shd w:val="clear" w:color="auto" w:fill="FFFFFF"/>
        </w:rPr>
        <w:t>of</w:t>
      </w:r>
      <w:proofErr w:type="gramEnd"/>
      <w:r w:rsidR="0054230C">
        <w:rPr>
          <w:rFonts w:ascii="Segoe UI" w:hAnsi="Segoe UI" w:cs="Segoe UI"/>
          <w:color w:val="242424"/>
          <w:sz w:val="23"/>
          <w:szCs w:val="23"/>
          <w:shd w:val="clear" w:color="auto" w:fill="FFFFFF"/>
        </w:rPr>
        <w:t xml:space="preserve"> </w:t>
      </w:r>
      <w:r w:rsidR="00C54F67">
        <w:rPr>
          <w:rFonts w:ascii="Segoe UI" w:hAnsi="Segoe UI" w:cs="Segoe UI"/>
          <w:color w:val="242424"/>
          <w:sz w:val="23"/>
          <w:szCs w:val="23"/>
          <w:shd w:val="clear" w:color="auto" w:fill="FFFFFF"/>
        </w:rPr>
        <w:t>reduced insulin-resistance associated postprandial glycogen accretion in the fed state, resulting in mild hypoglycemia in the fasted state.</w:t>
      </w:r>
    </w:p>
    <w:p w14:paraId="5704F195" w14:textId="77777777" w:rsidR="005E751B" w:rsidRDefault="00F339A9" w:rsidP="005E751B">
      <w:pPr>
        <w:rPr>
          <w:rFonts w:ascii="Segoe UI" w:hAnsi="Segoe UI" w:cs="Segoe UI"/>
          <w:color w:val="242424"/>
          <w:sz w:val="23"/>
          <w:szCs w:val="23"/>
          <w:shd w:val="clear" w:color="auto" w:fill="FFFFFF"/>
        </w:rPr>
      </w:pPr>
      <w:r w:rsidRPr="005E751B">
        <w:rPr>
          <w:rStyle w:val="Strong"/>
          <w:rFonts w:ascii="Segoe UI" w:hAnsi="Segoe UI" w:cs="Segoe UI"/>
          <w:color w:val="242424"/>
          <w:sz w:val="23"/>
          <w:szCs w:val="23"/>
          <w:shd w:val="clear" w:color="auto" w:fill="FFFFFF"/>
        </w:rPr>
        <w:t>Reviewer 2:</w:t>
      </w:r>
      <w:r w:rsidRPr="005E751B">
        <w:rPr>
          <w:rFonts w:ascii="Segoe UI" w:hAnsi="Segoe UI" w:cs="Segoe UI"/>
          <w:color w:val="242424"/>
          <w:sz w:val="23"/>
          <w:szCs w:val="23"/>
          <w:shd w:val="clear" w:color="auto" w:fill="FFFFFF"/>
        </w:rPr>
        <w:t> </w:t>
      </w:r>
    </w:p>
    <w:p w14:paraId="51669B0F" w14:textId="77777777" w:rsidR="00EA3FC2" w:rsidRDefault="00F339A9" w:rsidP="005E751B">
      <w:pPr>
        <w:rPr>
          <w:rFonts w:ascii="Segoe UI" w:hAnsi="Segoe UI" w:cs="Segoe UI"/>
          <w:color w:val="242424"/>
          <w:sz w:val="23"/>
          <w:szCs w:val="23"/>
          <w:shd w:val="clear" w:color="auto" w:fill="FFFFFF"/>
        </w:rPr>
      </w:pPr>
      <w:r w:rsidRPr="005E751B">
        <w:rPr>
          <w:rFonts w:ascii="Segoe UI" w:hAnsi="Segoe UI" w:cs="Segoe UI"/>
          <w:color w:val="242424"/>
          <w:sz w:val="23"/>
          <w:szCs w:val="23"/>
          <w:shd w:val="clear" w:color="auto" w:fill="FFFFFF"/>
        </w:rPr>
        <w:t xml:space="preserve">The paper GDF15 knockout does not substantially impact perinatal body weight or neonatal outcomes in mice by Mulcahy et al sets out to establish how loss of GDF15 from the </w:t>
      </w:r>
      <w:r w:rsidRPr="005E751B">
        <w:rPr>
          <w:rFonts w:ascii="Segoe UI" w:hAnsi="Segoe UI" w:cs="Segoe UI"/>
          <w:color w:val="242424"/>
          <w:sz w:val="23"/>
          <w:szCs w:val="23"/>
          <w:shd w:val="clear" w:color="auto" w:fill="FFFFFF"/>
        </w:rPr>
        <w:lastRenderedPageBreak/>
        <w:t xml:space="preserve">maternal-fetal dyad affects pregnancy and pup development. The subject of this paper is timely. The physiology and/or pathophysiology of rise in GDF15 that occurs in pregnancy is unknown, and understanding this is critical 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w:t>
      </w:r>
      <w:proofErr w:type="gramStart"/>
      <w:r w:rsidRPr="005E751B">
        <w:rPr>
          <w:rFonts w:ascii="Segoe UI" w:hAnsi="Segoe UI" w:cs="Segoe UI"/>
          <w:color w:val="242424"/>
          <w:sz w:val="23"/>
          <w:szCs w:val="23"/>
          <w:shd w:val="clear" w:color="auto" w:fill="FFFFFF"/>
        </w:rPr>
        <w:t>unclear</w:t>
      </w:r>
      <w:proofErr w:type="gramEnd"/>
      <w:r w:rsidRPr="005E751B">
        <w:rPr>
          <w:rFonts w:ascii="Segoe UI" w:hAnsi="Segoe UI" w:cs="Segoe UI"/>
          <w:color w:val="242424"/>
          <w:sz w:val="23"/>
          <w:szCs w:val="23"/>
          <w:shd w:val="clear" w:color="auto" w:fill="FFFFFF"/>
        </w:rPr>
        <w:t xml:space="preserve"> and the findings are of much less interest. I commend the authors on their careful design of the GDF15 KO pregnancy studies.</w:t>
      </w:r>
      <w:r w:rsidRPr="005E751B">
        <w:rPr>
          <w:rFonts w:ascii="Segoe UI" w:hAnsi="Segoe UI" w:cs="Segoe UI"/>
          <w:color w:val="242424"/>
          <w:sz w:val="23"/>
          <w:szCs w:val="23"/>
        </w:rPr>
        <w:br/>
      </w:r>
    </w:p>
    <w:p w14:paraId="0F6950D4" w14:textId="77777777" w:rsidR="00EA3FC2" w:rsidRPr="001C2618" w:rsidRDefault="00F339A9" w:rsidP="00EA3FC2">
      <w:pPr>
        <w:pStyle w:val="ListParagraph"/>
        <w:numPr>
          <w:ilvl w:val="0"/>
          <w:numId w:val="3"/>
        </w:numPr>
        <w:rPr>
          <w:b/>
          <w:bCs/>
        </w:rPr>
      </w:pPr>
      <w:commentRangeStart w:id="2"/>
      <w:r w:rsidRPr="00A3113E">
        <w:rPr>
          <w:rFonts w:ascii="Segoe UI" w:hAnsi="Segoe UI" w:cs="Segoe UI"/>
          <w:b/>
          <w:bCs/>
          <w:color w:val="242424"/>
          <w:sz w:val="23"/>
          <w:szCs w:val="23"/>
          <w:shd w:val="clear" w:color="auto" w:fill="FFFFFF"/>
        </w:rPr>
        <w:t>The rationale for use of dexamethasone (</w:t>
      </w:r>
      <w:proofErr w:type="spellStart"/>
      <w:r w:rsidRPr="00A3113E">
        <w:rPr>
          <w:rFonts w:ascii="Segoe UI" w:hAnsi="Segoe UI" w:cs="Segoe UI"/>
          <w:b/>
          <w:bCs/>
          <w:color w:val="242424"/>
          <w:sz w:val="23"/>
          <w:szCs w:val="23"/>
          <w:shd w:val="clear" w:color="auto" w:fill="FFFFFF"/>
        </w:rPr>
        <w:t>dex</w:t>
      </w:r>
      <w:proofErr w:type="spellEnd"/>
      <w:r w:rsidRPr="00A3113E">
        <w:rPr>
          <w:rFonts w:ascii="Segoe UI" w:hAnsi="Segoe UI" w:cs="Segoe UI"/>
          <w:b/>
          <w:bCs/>
          <w:color w:val="242424"/>
          <w:sz w:val="23"/>
          <w:szCs w:val="23"/>
          <w:shd w:val="clear" w:color="auto" w:fill="FFFFFF"/>
        </w:rPr>
        <w:t xml:space="preserve">)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A3113E">
        <w:rPr>
          <w:rFonts w:ascii="Segoe UI" w:hAnsi="Segoe UI" w:cs="Segoe UI"/>
          <w:b/>
          <w:bCs/>
          <w:color w:val="242424"/>
          <w:sz w:val="23"/>
          <w:szCs w:val="23"/>
          <w:shd w:val="clear" w:color="auto" w:fill="FFFFFF"/>
        </w:rPr>
        <w:t>pregnancy,</w:t>
      </w:r>
      <w:proofErr w:type="gramEnd"/>
      <w:r w:rsidRPr="00A3113E">
        <w:rPr>
          <w:rFonts w:ascii="Segoe UI" w:hAnsi="Segoe UI" w:cs="Segoe UI"/>
          <w:b/>
          <w:bCs/>
          <w:color w:val="242424"/>
          <w:sz w:val="23"/>
          <w:szCs w:val="23"/>
          <w:shd w:val="clear" w:color="auto" w:fill="FFFFFF"/>
        </w:rPr>
        <w:t xml:space="preserve"> however this is generally secondary to obesity in the human population, and as such a diet induced obese model would seem more appropriate for this study.</w:t>
      </w:r>
      <w:commentRangeEnd w:id="2"/>
      <w:r w:rsidR="001C2618">
        <w:rPr>
          <w:rStyle w:val="CommentReference"/>
        </w:rPr>
        <w:commentReference w:id="2"/>
      </w:r>
    </w:p>
    <w:p w14:paraId="1F9731C9" w14:textId="4B608676" w:rsidR="007E18CE" w:rsidRDefault="001C2618" w:rsidP="001C2618">
      <w:r w:rsidRPr="009712CC">
        <w:t xml:space="preserve">We thank </w:t>
      </w:r>
      <w:r w:rsidR="006E43B6">
        <w:t>the reviewer</w:t>
      </w:r>
      <w:r w:rsidRPr="009712CC">
        <w:t xml:space="preserve"> for </w:t>
      </w:r>
      <w:r w:rsidR="006E43B6">
        <w:t>suggesting we provide more robust</w:t>
      </w:r>
      <w:r w:rsidRPr="009712CC">
        <w:t xml:space="preserve"> rationale</w:t>
      </w:r>
      <w:r w:rsidR="009712CC">
        <w:t>. We were interested in the contribution of GDF15 levels in relation to insulin resistance of pregnancy</w:t>
      </w:r>
      <w:r w:rsidR="00325746">
        <w:t xml:space="preserve"> before we investigated the effect of genetic knockouts</w:t>
      </w:r>
      <w:r w:rsidR="009712CC">
        <w:t xml:space="preserve">. To establish the </w:t>
      </w:r>
      <w:r w:rsidR="00325746">
        <w:t>contribution</w:t>
      </w:r>
      <w:r w:rsidR="009712CC">
        <w:t xml:space="preserve"> of physiological state</w:t>
      </w:r>
      <w:r w:rsidR="00325746">
        <w:t xml:space="preserve"> to GDF15 levels and insulin sensitivity</w:t>
      </w:r>
      <w:r w:rsidR="009712CC">
        <w:t xml:space="preserve">, we evaluated pregnant vs non-pregnant females. </w:t>
      </w:r>
      <w:r w:rsidR="00325746">
        <w:t xml:space="preserve">We then wanted to examine the contribution of the stress of  pregnancy alone in contrast with known elevated stressors in the context of pregnancy. We anticipated pregnancy would raise GDF15 levels, but thought pregnancies </w:t>
      </w:r>
      <w:r w:rsidR="000E6C16">
        <w:t>associated with chronic stress could</w:t>
      </w:r>
      <w:r w:rsidR="00325746">
        <w:t xml:space="preserve"> have an additive</w:t>
      </w:r>
      <w:r w:rsidR="000E6C16">
        <w:t xml:space="preserve"> on GDF15</w:t>
      </w:r>
      <w:r w:rsidR="00325746">
        <w:t xml:space="preserve">. Although we agree a DIO model would be insightful, we felt evaluating GDF15 in the frame of stress was </w:t>
      </w:r>
      <w:r w:rsidR="000E6C16">
        <w:t xml:space="preserve">a </w:t>
      </w:r>
      <w:r w:rsidR="00325746">
        <w:t xml:space="preserve">more important </w:t>
      </w:r>
      <w:r w:rsidR="000E6C16">
        <w:t xml:space="preserve">first step </w:t>
      </w:r>
      <w:r w:rsidR="00325746">
        <w:t>for our argument</w:t>
      </w:r>
      <w:r w:rsidR="00234134">
        <w:t xml:space="preserve"> and was cogent with the current literature suggesting GDF15 acts as a sentinel of somatic stress</w:t>
      </w:r>
      <w:r w:rsidR="00325746">
        <w:t xml:space="preserve">. We agree with the reviewer that dexamethasone is rarely given except in the case of pre-term delivery for lung maturation. However, our </w:t>
      </w:r>
      <w:r w:rsidR="000E6C16">
        <w:t xml:space="preserve">team </w:t>
      </w:r>
      <w:r w:rsidR="00325746">
        <w:t>has previously used dexamethasone</w:t>
      </w:r>
      <w:r w:rsidR="000E6C16">
        <w:t xml:space="preserve"> as it is a more specific GR agonist, and not subject to HPA downregulation (such as models of chronic intermittent stress).  Therefore we consider this</w:t>
      </w:r>
      <w:r w:rsidR="00234134">
        <w:t xml:space="preserve"> a more consistent </w:t>
      </w:r>
      <w:r w:rsidR="00325746">
        <w:t xml:space="preserve">model </w:t>
      </w:r>
      <w:r w:rsidR="00234134">
        <w:t xml:space="preserve">for </w:t>
      </w:r>
      <w:r w:rsidR="000E6C16">
        <w:t>maternal</w:t>
      </w:r>
      <w:r w:rsidR="00325746">
        <w:t xml:space="preserve"> stress </w:t>
      </w:r>
      <w:r w:rsidR="000E6C16">
        <w:t>and its</w:t>
      </w:r>
      <w:r w:rsidR="007E18CE">
        <w:t xml:space="preserve"> effect</w:t>
      </w:r>
      <w:r w:rsidR="000E6C16">
        <w:t>s</w:t>
      </w:r>
      <w:r w:rsidR="009712CC">
        <w:t xml:space="preserve"> </w:t>
      </w:r>
      <w:r w:rsidR="007E18CE">
        <w:t xml:space="preserve">on </w:t>
      </w:r>
      <w:r w:rsidR="009712CC">
        <w:t>pregnancy outcomes</w:t>
      </w:r>
      <w:r w:rsidR="009712CC">
        <w:fldChar w:fldCharType="begin"/>
      </w:r>
      <w:r w:rsidR="009712CC">
        <w:instrText xml:space="preserve"> ADDIN ZOTERO_ITEM CSL_CITATION {"citationID":"2lNDrvT4","properties":{"formattedCitation":"\\super 4\\nosupersub{}","plainCitation":"4","noteIndex":0},"citationItems":[{"id":65,"uris":["http://zotero.org/users/5073745/items/ZNSDCBWG"],"itemData":{"id":65,"type":"article-journal","abstract":"The placenta is the primary organ responsible for deactivating maternal glucocorticoids and reducing fetal exposure. Glucocorticoid use during pregnancy is a common treatment for asthma, allergies, and COVID-19. Several studies have reported adverse effects including intrauterine growth restriction as a result of glucocorticoid exposure, yet little is known about the mechanisms by which short and long-term maternal glucocorticoid exposures affect placental biology and fetal development. To better understand the role of glucocorticoids on placental and fetal outcomes, we used a mouse model exposed to the synthetic glucocorticoid, dexamethasone (Dex), prior to and throughout gestation. We conducted a randomized controlled trial in mice with a treatment arm of Dex exposure and water exposure as control. Virgin C57Bl/6J female mice were single-housed at 11 weeks of age, and Dex was introduced in the drinking water as a 1mg/kg/day dose. After one week of treatment, mice were bred with age-matched virgin males. Dam body composition, food, and water intake were monitored weekly. Maternal insulin sensitivity, pup survival rate, litter size, and pup birth weight at postnatal day (PND) 0.5 were also assessed. Dams treated with Dex lost significant lean mass after one week of treatment. Dex treatment did not appear to affect the dams’ ability to get pregnant, as both groups carried pups to term with similar lengths of gestation (p=0.838). Water and Dex-treated dams gained comparable weight during the first and second trimesters of pregnancy, however, the Dex group gained less lean mass than the water group during the third trimester. At PND0.5, Dex dams had fewer pups with a 40% reduction in litter size (p=0.01) and lighter pups with a 37% reduction in offspring weight (p&amp;lt;0.001), indicating substantial intrauterine growth restriction. All pups of Dex-treated dams died by PND1. Attempts to rescue pups of Dex-dams by cross-fostering with water-treated nursing dams or by feeding the pups 10% glucose at PND0.5 failed by PND1. These results demonstrate a novel finding regarding the chronic use of glucocorticoids before and during conception and pregnancy. The reduction in both pup weight and late-pregnancy maternal weight gain suggests potential growth restriction or placental insufficiency. Further molecular studies during multiple time points of gestation will help elucidate the mechanisms at play.","container-title":"Journal of the Endocrine Society","DOI":"10.1210/jendso/bvab048.1522","ISSN":"2472-1972","issue":"Supplement_1","journalAbbreviation":"Journal of the Endocrine Society","page":"A748-A749","source":"Silverchair","title":"Effects of Dexamethasone on Offspring Survival and Intrauterine Growth Restriction","volume":"5","author":[{"family":"El Habbal","given":"Noura"},{"family":"Mulcahy","given":"Molly C"},{"family":"Redd","given":"JeAnna R"},{"family":"Bridges","given":"Dave"}],"issued":{"date-parts":[["2021",5,1]]}}}],"schema":"https://github.com/citation-style-language/schema/raw/master/csl-citation.json"} </w:instrText>
      </w:r>
      <w:r w:rsidR="009712CC">
        <w:fldChar w:fldCharType="separate"/>
      </w:r>
      <w:r w:rsidR="009712CC" w:rsidRPr="009712CC">
        <w:rPr>
          <w:rFonts w:ascii="Aptos" w:hAnsi="Aptos" w:cs="Times New Roman"/>
          <w:kern w:val="0"/>
          <w:vertAlign w:val="superscript"/>
        </w:rPr>
        <w:t>4</w:t>
      </w:r>
      <w:r w:rsidR="009712CC">
        <w:fldChar w:fldCharType="end"/>
      </w:r>
      <w:r w:rsidR="009712CC">
        <w:t>.</w:t>
      </w:r>
      <w:r w:rsidR="007E18CE">
        <w:t xml:space="preserve"> Dexamethasone treatment (both injected and orally administered) </w:t>
      </w:r>
      <w:r w:rsidR="00234134">
        <w:t>has been used for decades to understand the</w:t>
      </w:r>
      <w:r w:rsidR="007E18CE">
        <w:t xml:space="preserve"> effect of stress on gestational</w:t>
      </w:r>
      <w:r w:rsidR="007E18CE">
        <w:fldChar w:fldCharType="begin"/>
      </w:r>
      <w:r w:rsidR="007E18CE">
        <w:instrText xml:space="preserve"> ADDIN ZOTERO_ITEM CSL_CITATION {"citationID":"cgmTae31","properties":{"formattedCitation":"\\super 5\\nosupersub{}","plainCitation":"5","noteIndex":0},"citationItems":[{"id":2334,"uris":["http://zotero.org/users/5073745/items/QC8AZG3H"],"itemData":{"id":2334,"type":"article-journal","abstract":"Objective\nIn the present study, we aimed to evaluate the effects of high doses of dexamethasone (DEX) in early pregnancy on pregnancy outcomes.\n\nMethods\nPregnant BALB/c mice were treated with high-dose DEX in the experimental group or saline in the control group on gestational days (GDs) 0.5 to 4.5. Pregnant mice were sacrificed on GDs 7.5, 13.5, or 18.5 and their peripheral blood, placentas, fetuses, and uterine tissue were collected. Decidual and placenta cell supernatants were examined to evaluate the effect of DEX on the proliferation of mononuclear cells, the quantity of uterine macrophages and uterine natural killer (uNK) cells, and levels of progesterone and 17β-estradiol, as determined by an 3-(4,5-dimethylthiazole-2-yl)-2,5-diphenyltetrazolium bromide assay, immunohistochemistry, and enzyme-linked immunosorbent assay, respectively. We also were measured fetal and placental growth parameters on GD 18.5.\n\nResults\nWe found that high doses of DEX were associated with an increased abortion rate, enhancement of the immunosuppressive effect of the decidua, alterations in placental growth parameters, decreased progesterone and 17β-estradiol levels, and a reduced frequency of macrophages and uNK cells.\n\nConclusion\nOur data suggest that the high-dose administration of DEX during early pregnancy negatively affected pregnancy outcomes.","container-title":"Clinical and Experimental Reproductive Medicine","DOI":"10.5653/cerm.2016.43.1.15","ISSN":"2233-8233","issue":"1","journalAbbreviation":"Clin Exp Reprod Med","note":"PMID: 27104153\nPMCID: PMC4838577","page":"15-25","source":"PubMed Central","title":"Pregnancy outcomes following the administration of high doses of dexamethasone in early pregnancy","volume":"43","author":[{"family":"Namdar Ahmadabad","given":"Hasan"},{"family":"Kayvan Jafari","given":"Sabah"},{"family":"Nezafat Firizi","given":"Maryam"},{"family":"Abbaspour","given":"Ali Reza"},{"family":"Ghafoori Gharib","given":"Fahime"},{"family":"Ghobadi","given":"Yusef"},{"family":"Gholizadeh","given":"Samira"}],"issued":{"date-parts":[["2016",3]]}}}],"schema":"https://github.com/citation-style-language/schema/raw/master/csl-citation.json"} </w:instrText>
      </w:r>
      <w:r w:rsidR="007E18CE">
        <w:fldChar w:fldCharType="separate"/>
      </w:r>
      <w:r w:rsidR="007E18CE" w:rsidRPr="007E18CE">
        <w:rPr>
          <w:rFonts w:ascii="Aptos" w:hAnsi="Aptos" w:cs="Times New Roman"/>
          <w:kern w:val="0"/>
          <w:vertAlign w:val="superscript"/>
        </w:rPr>
        <w:t>5</w:t>
      </w:r>
      <w:r w:rsidR="007E18CE">
        <w:fldChar w:fldCharType="end"/>
      </w:r>
      <w:r w:rsidR="007E18CE">
        <w:t>, placental</w:t>
      </w:r>
      <w:r w:rsidR="007E18CE">
        <w:fldChar w:fldCharType="begin"/>
      </w:r>
      <w:r w:rsidR="007E18CE">
        <w:instrText xml:space="preserve"> ADDIN ZOTERO_ITEM CSL_CITATION {"citationID":"KVAHyhWM","properties":{"formattedCitation":"\\super 6,7\\nosupersub{}","plainCitation":"6,7","noteIndex":0},"citationItems":[{"id":2337,"uris":["http://zotero.org/users/5073745/items/DW2G779M"],"itemData":{"id":2337,"type":"article-journal","abstract":"Prenatal treatment of dexamethasone, a synthetic stress hormone, leads to low birth weight and affects adult pathophysiology. Because fetal growth and survival are critically dependent on successful placental development, we aimed to investigate the effects of prenatal dexamethasone exposure on placental growth and function, particularly focusing on issues surrounding the time of stress exposure in a developmental context. Dexamethasone was administered at a dosage of 1 mg/kg BW (DEX1) or 10 mg/kg BW (DEX10) intraperitoneally at gestational d 7.5, 8.5, and 9.5 in pregnant mice. Placentas were then dissected at gestational d 11.5 and 18.5. Placental size and weight were reduced at d 11.5 in a dose-dependent manner (P = 0.11 for saline vs. DEX1 and P &amp;lt; 0.001 for DEX1 vs. DEX10 in size; P = 0.34 for saline vs. DEX1 and P &amp;lt; 0.01 for DEX1 vs. DEX10 in weight). In contrast, a considerable heterogeneity was shown at d 18.5, especially in DEX10-treated mice. Some placentas were small and malformed whereas some were enlarged with structural abnormalities in spongiotrophoblasts and labyrinth layers. Although placental overgrowth under such condition seemed to compromise fetal demand for nutrient supply, disorganized cell structure with reduced fetal vasculature observed in large placentas suggests that prenatal stress exposure during the early gestational period negatively affects placental development and efficiency.","container-title":"Journal of Animal Science","DOI":"10.2527/jas.2012-5090","ISSN":"0021-8812","issue":"13","journalAbbreviation":"Journal of Animal Science","page":"4846-4856","source":"Silverchair","title":"Prenatal administration of dexamethasone during early pregnancy negatively affects placental development and function in mice1","volume":"90","author":[{"family":"Lee","given":"J.-Y."},{"family":"Park","given":"S. J."},{"family":"Kim","given":"S. H."},{"family":"Kim","given":"M. H."}],"issued":{"date-parts":[["2012",12,1]]}}},{"id":2341,"uris":["http://zotero.org/users/5073745/items/EKT9UEWI"],"itemData":{"id":2341,"type":"article-journal","abstract":"Synthetic glucocorticoids, like dexamethasone (dex), restrict growth of the fetus and program its adult physiology, in part by altering placental phenotype. The route and timing of dex administration determine the fetal and adult outcomes, but whether these factors affect placental phenotype remains unknown. This study compared placental morphology, amino acid transport, and gene expression in mice given dex orally or by subcutaneous injection over the periods of most rapid placental (Days [D] 11–16) or fetal (D14–19) growth (term is D21). Compared with untreated and saline-injected controls, both dex treatments reduced placental weight at D16 and 19 and fetal weight and total labyrinthine volume at D19 to a similar extent. Only oral dex treatment from D11 to D16 reduced labyrinthine fetal capillary volume on D16 and increased placental 14C-methylaminoisobutyric acid (MeAIB) clearance at D19, 3 days after treatment ended. Neither route of dex treatment altered placental expression of Slc38a, Hsd11b, or the glucocorticoid receptor, Nr3c1, at D16. In contrast, both routes of dex treatment from D14 to D19 increased placental Hsd11b2 expression and labyrinthine maternal vessel volume. Furthermore, injection per se altered placental expression of Nr3c1, Hsd11b1, and specific Slc38a isoforms in an age-related manner. Overall, MeAIB clearance was not related to Slc38a transporter expression but was correlated inversely with maternal corticosterone concentrations when dex was undetectable in maternal plasma at D19. The effects of dex on placental phenotype, therefore, depend on both the route and timing of administration and may relate to local glucocorticoid availability during and after the treatment period.","container-title":"Biology of Reproduction","DOI":"10.1095/biolreprod.113.109678","ISSN":"0006-3363","issue":"4","journalAbbreviation":"Biology of Reproduction","page":"80, 1-12","source":"Silverchair","title":"Adaptations in Placental Phenotype Depend on Route and Timing of Maternal Dexamethasone Administration in Mice1","volume":"89","author":[{"family":"Vaughan","given":"Owen R."},{"family":"Sferruzzi-Perri","given":"Amanda N."},{"family":"Coan","given":"Philip M."},{"family":"Fowden","given":"Abigail L."}],"issued":{"date-parts":[["2013",10,1]]}}}],"schema":"https://github.com/citation-style-language/schema/raw/master/csl-citation.json"} </w:instrText>
      </w:r>
      <w:r w:rsidR="007E18CE">
        <w:fldChar w:fldCharType="separate"/>
      </w:r>
      <w:r w:rsidR="007E18CE" w:rsidRPr="007E18CE">
        <w:rPr>
          <w:rFonts w:ascii="Aptos" w:hAnsi="Aptos" w:cs="Times New Roman"/>
          <w:kern w:val="0"/>
          <w:vertAlign w:val="superscript"/>
        </w:rPr>
        <w:t>6,7</w:t>
      </w:r>
      <w:r w:rsidR="007E18CE">
        <w:fldChar w:fldCharType="end"/>
      </w:r>
      <w:r w:rsidR="007E18CE">
        <w:t>, and offspring health</w:t>
      </w:r>
      <w:r w:rsidR="007E18CE">
        <w:fldChar w:fldCharType="begin"/>
      </w:r>
      <w:r w:rsidR="007E18CE">
        <w:instrText xml:space="preserve"> ADDIN ZOTERO_ITEM CSL_CITATION {"citationID":"AFatG1H1","properties":{"formattedCitation":"\\super 8\\nosupersub{}","plainCitation":"8","noteIndex":0},"citationItems":[{"id":2339,"uris":["http://zotero.org/users/5073745/items/HZH6HCYB"],"itemData":{"id":2339,"type":"article-journal","abstract":"Dexamethasone treatment of F0 pregnant rodents alters F1 placental function and adult cardiometabolic phenotype. The adult phenotype is transmitted to the F2 generation without further intervention, but whether F2 placental function is altered by F0 dexamethasone treatment remains unknown. In the present study, F0 mice were untreated or received dexamethasone (0.2 µg g–1 day–1, s.c.) over Days 11–15 or 14–18 of pregnancy (term Day 21). Depending on the period of F0 dexamethasone treatment, F1 offspring were lighter at birth or grew more slowly until weaning (P &lt; 0.05). Glucose tolerance (1 g kg–1, i.p.) of adult F1 males was abnormal. Mating F1 males exposed prenatally to dexamethasone with untreated females had no effect on F2 placental function on Day 19 of pregnancy. In contrast, when F1 females were mated with untreated males, F2 placental clearance of the amino acid analogue 14C-methylaminoisobutyric acid was increased by 75% on Day 19 specifically in dams prenatally exposed to dexamethasone on Days 14–18 (P &lt; 0.05). Maternal plasma corticosterone was also increased, but F2 placental Slc38a4 expression was decreased in these dams (P &lt; 0.05). F0 dexamethasone treatment had no effect on F2 fetal or placental weights, regardless of lineage. Therefore, the effects of F0 dexamethasone exposure are transmitted intergenerationally to the F2 placenta via the maternal, but not paternal, line.","container-title":"Reproduction, Fertility and Development","DOI":"10.1071/RD14285","ISSN":"1448-5990","issue":"4","journalAbbreviation":"Reprod. Fertil. Dev.","language":"en","note":"publisher: CSIRO PUBLISHING","page":"704-711","source":"www-publish-csiro-au.ezproxy.library.wisc.edu","title":"Dexamethasone treatment of pregnant F0 mice leads to parent of origin-specific changes in placental function of the F2 generation","volume":"27","author":[{"family":"Vaughan","given":"O. R."},{"family":"Phillips","given":"H. M."},{"family":"Everden","given":"A. J."},{"family":"Sferruzzi-Perri","given":"A. N."},{"family":"Fowden","given":"A. L."}],"issued":{"date-parts":[["2015",5,8]]}}}],"schema":"https://github.com/citation-style-language/schema/raw/master/csl-citation.json"} </w:instrText>
      </w:r>
      <w:r w:rsidR="007E18CE">
        <w:fldChar w:fldCharType="separate"/>
      </w:r>
      <w:r w:rsidR="007E18CE" w:rsidRPr="007E18CE">
        <w:rPr>
          <w:rFonts w:ascii="Aptos" w:hAnsi="Aptos" w:cs="Times New Roman"/>
          <w:kern w:val="0"/>
          <w:vertAlign w:val="superscript"/>
        </w:rPr>
        <w:t>8</w:t>
      </w:r>
      <w:r w:rsidR="007E18CE">
        <w:fldChar w:fldCharType="end"/>
      </w:r>
      <w:r w:rsidR="007E18CE">
        <w:t xml:space="preserve">. We made the following changes to the body of the manuscript to better </w:t>
      </w:r>
      <w:r w:rsidR="005B4C16">
        <w:t>articulate</w:t>
      </w:r>
      <w:r w:rsidR="007E18CE">
        <w:t xml:space="preserve"> this rationale.</w:t>
      </w:r>
    </w:p>
    <w:p w14:paraId="27D4C062" w14:textId="3237EDF2" w:rsidR="007E18CE" w:rsidRDefault="007E18CE" w:rsidP="001C2618">
      <w:r>
        <w:t>Line 67-</w:t>
      </w:r>
      <w:r w:rsidR="007E61FB">
        <w:t>75:</w:t>
      </w:r>
    </w:p>
    <w:p w14:paraId="4E5A3382" w14:textId="2152C9A9" w:rsidR="007E61FB" w:rsidRPr="009712CC" w:rsidRDefault="003C4EF7" w:rsidP="005B4C16">
      <w:pPr>
        <w:ind w:left="360"/>
      </w:pPr>
      <w:commentRangeStart w:id="3"/>
      <w:r>
        <w:rPr>
          <w:rFonts w:ascii="Times New Roman" w:hAnsi="Times New Roman" w:cs="Times New Roman"/>
          <w:color w:val="00B0F0"/>
        </w:rPr>
        <w:t>“</w:t>
      </w:r>
      <w:r w:rsidR="007E61FB" w:rsidRPr="007E61FB">
        <w:rPr>
          <w:rFonts w:ascii="Times New Roman" w:hAnsi="Times New Roman" w:cs="Times New Roman"/>
          <w:color w:val="00B0F0"/>
        </w:rPr>
        <w:t>GDF15 elevations in circulation are thought to be sentinels of stressors present in the body. Comparisons between non-pregnant and pregnant individuals and between healthy versus chronic stress during pregnancy (like dexamethasone administration) are understudied in murine models</w:t>
      </w:r>
      <w:r w:rsidR="007E61FB">
        <w:rPr>
          <w:rFonts w:ascii="Times New Roman" w:hAnsi="Times New Roman" w:cs="Times New Roman"/>
        </w:rPr>
        <w:t xml:space="preserve"> Given the sometimes-conflicting human data </w:t>
      </w:r>
      <w:r w:rsidR="007E61FB" w:rsidRPr="007E61FB">
        <w:rPr>
          <w:rFonts w:ascii="Times New Roman" w:hAnsi="Times New Roman" w:cs="Times New Roman"/>
          <w:color w:val="00B0F0"/>
        </w:rPr>
        <w:t xml:space="preserve">and lack of evaluation of physiological state and chronic </w:t>
      </w:r>
      <w:r w:rsidR="007E61FB" w:rsidRPr="007E61FB">
        <w:rPr>
          <w:rFonts w:ascii="Times New Roman" w:hAnsi="Times New Roman" w:cs="Times New Roman"/>
          <w:color w:val="00B0F0"/>
        </w:rPr>
        <w:lastRenderedPageBreak/>
        <w:t xml:space="preserve">stress compounding physiological state, we sought to characterize GDF15 in circulation comparing pregnant, non-pregnant, and stressed pregnant females while assessing glycemic health. We also sought to </w:t>
      </w:r>
      <w:r w:rsidR="007E61FB">
        <w:rPr>
          <w:rFonts w:ascii="Times New Roman" w:hAnsi="Times New Roman" w:cs="Times New Roman"/>
        </w:rPr>
        <w:t xml:space="preserve">define the effects of </w:t>
      </w:r>
      <w:r w:rsidR="007E61FB" w:rsidRPr="0089053B">
        <w:rPr>
          <w:rFonts w:ascii="Times New Roman" w:hAnsi="Times New Roman" w:cs="Times New Roman"/>
          <w:i/>
          <w:iCs/>
        </w:rPr>
        <w:t>Gdf15</w:t>
      </w:r>
      <w:r w:rsidR="007E61FB">
        <w:rPr>
          <w:rFonts w:ascii="Times New Roman" w:hAnsi="Times New Roman" w:cs="Times New Roman"/>
        </w:rPr>
        <w:t xml:space="preserve"> loss of function </w:t>
      </w:r>
      <w:proofErr w:type="gramStart"/>
      <w:r w:rsidR="007E61FB">
        <w:rPr>
          <w:rFonts w:ascii="Times New Roman" w:hAnsi="Times New Roman" w:cs="Times New Roman"/>
        </w:rPr>
        <w:t>during the course of</w:t>
      </w:r>
      <w:proofErr w:type="gramEnd"/>
      <w:r w:rsidR="007E61FB">
        <w:rPr>
          <w:rFonts w:ascii="Times New Roman" w:hAnsi="Times New Roman" w:cs="Times New Roman"/>
        </w:rPr>
        <w:t xml:space="preserve"> </w:t>
      </w:r>
      <w:r w:rsidR="007E61FB" w:rsidRPr="007E61FB">
        <w:rPr>
          <w:rFonts w:ascii="Times New Roman" w:hAnsi="Times New Roman" w:cs="Times New Roman"/>
          <w:color w:val="00B0F0"/>
        </w:rPr>
        <w:t>healthy</w:t>
      </w:r>
      <w:r w:rsidR="007E61FB">
        <w:rPr>
          <w:rFonts w:ascii="Times New Roman" w:hAnsi="Times New Roman" w:cs="Times New Roman"/>
        </w:rPr>
        <w:t xml:space="preserve"> murine pregnancy, including effects on weight gain, food intake, insulin sensitivity, and neonatal outcomes.</w:t>
      </w:r>
      <w:r>
        <w:rPr>
          <w:rFonts w:ascii="Times New Roman" w:hAnsi="Times New Roman" w:cs="Times New Roman"/>
        </w:rPr>
        <w:t>”</w:t>
      </w:r>
      <w:commentRangeEnd w:id="3"/>
      <w:r w:rsidR="005B4C16">
        <w:rPr>
          <w:rStyle w:val="CommentReference"/>
        </w:rPr>
        <w:commentReference w:id="3"/>
      </w:r>
    </w:p>
    <w:p w14:paraId="37E613BA" w14:textId="77777777" w:rsidR="001C2618" w:rsidRPr="001C2618" w:rsidRDefault="001C2618" w:rsidP="001C2618">
      <w:pPr>
        <w:rPr>
          <w:b/>
          <w:bCs/>
        </w:rPr>
      </w:pPr>
    </w:p>
    <w:p w14:paraId="1FA5E6A0" w14:textId="77777777" w:rsidR="00EA3FC2" w:rsidRPr="00A3113E" w:rsidRDefault="00F339A9" w:rsidP="00EA3FC2">
      <w:pPr>
        <w:pStyle w:val="ListParagraph"/>
        <w:numPr>
          <w:ilvl w:val="0"/>
          <w:numId w:val="3"/>
        </w:numPr>
        <w:rPr>
          <w:b/>
          <w:bCs/>
        </w:rPr>
      </w:pPr>
      <w:commentRangeStart w:id="4"/>
      <w:commentRangeStart w:id="5"/>
      <w:commentRangeStart w:id="6"/>
      <w:r w:rsidRPr="00A3113E">
        <w:rPr>
          <w:rFonts w:ascii="Segoe UI" w:hAnsi="Segoe UI" w:cs="Segoe UI"/>
          <w:b/>
          <w:bCs/>
          <w:color w:val="242424"/>
          <w:sz w:val="23"/>
          <w:szCs w:val="23"/>
          <w:shd w:val="clear" w:color="auto" w:fill="FFFFFF"/>
        </w:rPr>
        <w:t xml:space="preserve">Specific comments relating to Fig 2: Why are the ITTs expressed as % of baseline and not mmol/l or mg/dl as </w:t>
      </w:r>
      <w:proofErr w:type="spellStart"/>
      <w:r w:rsidRPr="00A3113E">
        <w:rPr>
          <w:rFonts w:ascii="Segoe UI" w:hAnsi="Segoe UI" w:cs="Segoe UI"/>
          <w:b/>
          <w:bCs/>
          <w:color w:val="242424"/>
          <w:sz w:val="23"/>
          <w:szCs w:val="23"/>
          <w:shd w:val="clear" w:color="auto" w:fill="FFFFFF"/>
        </w:rPr>
        <w:t>as</w:t>
      </w:r>
      <w:proofErr w:type="spellEnd"/>
      <w:r w:rsidRPr="00A3113E">
        <w:rPr>
          <w:rFonts w:ascii="Segoe UI" w:hAnsi="Segoe UI" w:cs="Segoe UI"/>
          <w:b/>
          <w:bCs/>
          <w:color w:val="242424"/>
          <w:sz w:val="23"/>
          <w:szCs w:val="23"/>
          <w:shd w:val="clear" w:color="auto" w:fill="FFFFFF"/>
        </w:rPr>
        <w:t xml:space="preserve"> is the convention? Expressing as mg/dl would remove the need for fig 2B and </w:t>
      </w:r>
      <w:proofErr w:type="gramStart"/>
      <w:r w:rsidRPr="00A3113E">
        <w:rPr>
          <w:rFonts w:ascii="Segoe UI" w:hAnsi="Segoe UI" w:cs="Segoe UI"/>
          <w:b/>
          <w:bCs/>
          <w:color w:val="242424"/>
          <w:sz w:val="23"/>
          <w:szCs w:val="23"/>
          <w:shd w:val="clear" w:color="auto" w:fill="FFFFFF"/>
        </w:rPr>
        <w:t>2E, and</w:t>
      </w:r>
      <w:proofErr w:type="gramEnd"/>
      <w:r w:rsidRPr="00A3113E">
        <w:rPr>
          <w:rFonts w:ascii="Segoe UI" w:hAnsi="Segoe UI" w:cs="Segoe UI"/>
          <w:b/>
          <w:bCs/>
          <w:color w:val="242424"/>
          <w:sz w:val="23"/>
          <w:szCs w:val="23"/>
          <w:shd w:val="clear" w:color="auto" w:fill="FFFFFF"/>
        </w:rPr>
        <w:t xml:space="preserve"> allow for interpretation of the actual glycemic state of the mice. </w:t>
      </w:r>
      <w:commentRangeEnd w:id="4"/>
      <w:r w:rsidR="00676503">
        <w:rPr>
          <w:rStyle w:val="CommentReference"/>
        </w:rPr>
        <w:commentReference w:id="4"/>
      </w:r>
      <w:commentRangeEnd w:id="5"/>
      <w:r w:rsidR="00974FD1">
        <w:rPr>
          <w:rStyle w:val="CommentReference"/>
        </w:rPr>
        <w:commentReference w:id="5"/>
      </w:r>
      <w:commentRangeEnd w:id="6"/>
      <w:r w:rsidR="00974FD1">
        <w:rPr>
          <w:rStyle w:val="CommentReference"/>
        </w:rPr>
        <w:commentReference w:id="6"/>
      </w:r>
    </w:p>
    <w:p w14:paraId="7943E1F8" w14:textId="77777777" w:rsidR="00EA3FC2" w:rsidRPr="00CB34EE" w:rsidRDefault="00F339A9" w:rsidP="00EA3FC2">
      <w:pPr>
        <w:pStyle w:val="ListParagraph"/>
        <w:numPr>
          <w:ilvl w:val="0"/>
          <w:numId w:val="3"/>
        </w:numPr>
        <w:rPr>
          <w:b/>
          <w:bCs/>
        </w:rPr>
      </w:pPr>
      <w:commentRangeStart w:id="7"/>
      <w:r w:rsidRPr="00A3113E">
        <w:rPr>
          <w:rFonts w:ascii="Segoe UI" w:hAnsi="Segoe UI" w:cs="Segoe UI"/>
          <w:b/>
          <w:bCs/>
          <w:color w:val="242424"/>
          <w:sz w:val="23"/>
          <w:szCs w:val="23"/>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commentRangeEnd w:id="7"/>
      <w:r w:rsidR="00564961">
        <w:rPr>
          <w:rStyle w:val="CommentReference"/>
        </w:rPr>
        <w:commentReference w:id="7"/>
      </w:r>
    </w:p>
    <w:p w14:paraId="2737D2F0" w14:textId="7D5FDF52" w:rsidR="00CB34EE" w:rsidRPr="00CB34EE" w:rsidRDefault="00CB34EE" w:rsidP="00CB34EE">
      <w:r w:rsidRPr="00CB34EE">
        <w:t xml:space="preserve">The method used in 2C is two-way </w:t>
      </w:r>
      <w:r w:rsidR="005B4C16">
        <w:t>ANOVA</w:t>
      </w:r>
      <w:r w:rsidRPr="00CB34EE">
        <w:t>, assessing the effect of time of collection (ZT1 vs ZT 13) and pregnancy status. The test revealed a significant effect of pregnancy (</w:t>
      </w:r>
      <w:r>
        <w:t>p=0.007</w:t>
      </w:r>
      <w:r w:rsidRPr="00CB34EE">
        <w:t>), but not of time (</w:t>
      </w:r>
      <w:r>
        <w:t>p=0.</w:t>
      </w:r>
      <w:commentRangeStart w:id="8"/>
      <w:r>
        <w:t>98</w:t>
      </w:r>
      <w:commentRangeEnd w:id="8"/>
      <w:r w:rsidR="005B4C16">
        <w:rPr>
          <w:rStyle w:val="CommentReference"/>
        </w:rPr>
        <w:commentReference w:id="8"/>
      </w:r>
      <w:r w:rsidRPr="00CB34EE">
        <w:t xml:space="preserve">). </w:t>
      </w:r>
      <w:r>
        <w:t xml:space="preserve">We changed the language of the passage </w:t>
      </w:r>
      <w:r w:rsidR="00132817">
        <w:t xml:space="preserve">from results and from the figure legend </w:t>
      </w:r>
      <w:r>
        <w:t>below,</w:t>
      </w:r>
      <w:r>
        <w:br/>
        <w:t>“</w:t>
      </w:r>
      <w:r>
        <w:rPr>
          <w:rFonts w:ascii="Times New Roman" w:hAnsi="Times New Roman" w:cs="Times New Roman"/>
        </w:rPr>
        <w:t xml:space="preserve">We found that GDF15 is 49% (54 ±18.8 </w:t>
      </w:r>
      <w:proofErr w:type="spellStart"/>
      <w:r>
        <w:rPr>
          <w:rFonts w:ascii="Times New Roman" w:hAnsi="Times New Roman" w:cs="Times New Roman"/>
        </w:rPr>
        <w:t>pg</w:t>
      </w:r>
      <w:proofErr w:type="spellEnd"/>
      <w:r>
        <w:rPr>
          <w:rFonts w:ascii="Times New Roman" w:hAnsi="Times New Roman" w:cs="Times New Roman"/>
        </w:rPr>
        <w:t>/dL) elevated in pregnant animals compared to non-pregnant mice (</w:t>
      </w:r>
      <w:r w:rsidRPr="00BC742F">
        <w:rPr>
          <w:rFonts w:ascii="Times New Roman" w:hAnsi="Times New Roman" w:cs="Times New Roman"/>
          <w:b/>
          <w:bCs/>
        </w:rPr>
        <w:t xml:space="preserve">Figure </w:t>
      </w:r>
      <w:r>
        <w:rPr>
          <w:rFonts w:ascii="Times New Roman" w:hAnsi="Times New Roman" w:cs="Times New Roman"/>
          <w:b/>
          <w:bCs/>
        </w:rPr>
        <w:t>2C</w:t>
      </w:r>
      <w:r w:rsidRPr="00BC742F">
        <w:rPr>
          <w:rFonts w:ascii="Times New Roman" w:hAnsi="Times New Roman" w:cs="Times New Roman"/>
          <w:b/>
          <w:bCs/>
        </w:rPr>
        <w:t xml:space="preserve">, </w:t>
      </w:r>
      <w:r>
        <w:rPr>
          <w:rFonts w:ascii="Times New Roman" w:hAnsi="Times New Roman" w:cs="Times New Roman"/>
        </w:rPr>
        <w:t>p=</w:t>
      </w:r>
      <w:r w:rsidRPr="007864CD">
        <w:rPr>
          <w:rFonts w:ascii="Times New Roman" w:hAnsi="Times New Roman" w:cs="Times New Roman"/>
        </w:rPr>
        <w:t>0.007</w:t>
      </w:r>
      <w:r>
        <w:rPr>
          <w:rFonts w:ascii="Times New Roman" w:hAnsi="Times New Roman" w:cs="Times New Roman"/>
        </w:rPr>
        <w:t xml:space="preserve">), </w:t>
      </w:r>
      <w:r w:rsidRPr="00132817">
        <w:rPr>
          <w:rFonts w:ascii="Times New Roman" w:hAnsi="Times New Roman" w:cs="Times New Roman"/>
          <w:color w:val="00B0F0"/>
        </w:rPr>
        <w:t>but does not differ based on collection time (p=0.98).</w:t>
      </w:r>
      <w:r w:rsidRPr="00132817">
        <w:rPr>
          <w:color w:val="00B0F0"/>
        </w:rPr>
        <w:t>”</w:t>
      </w:r>
      <w:r w:rsidR="00132817" w:rsidRPr="00132817">
        <w:rPr>
          <w:color w:val="00B0F0"/>
        </w:rPr>
        <w:t xml:space="preserve"> </w:t>
      </w:r>
      <w:r w:rsidR="00132817">
        <w:rPr>
          <w:color w:val="4C94D8" w:themeColor="text2" w:themeTint="80"/>
        </w:rPr>
        <w:br/>
      </w:r>
      <w:r w:rsidR="00132817">
        <w:t>“</w:t>
      </w:r>
      <w:r w:rsidR="00132817">
        <w:rPr>
          <w:rFonts w:ascii="Times New Roman" w:hAnsi="Times New Roman" w:cs="Times New Roman"/>
        </w:rPr>
        <w:t>Figure 2</w:t>
      </w:r>
      <w:r w:rsidR="00132817" w:rsidRPr="003C0FFC">
        <w:rPr>
          <w:rFonts w:ascii="Times New Roman" w:hAnsi="Times New Roman" w:cs="Times New Roman"/>
        </w:rPr>
        <w:t>C</w:t>
      </w:r>
      <w:r w:rsidR="00132817">
        <w:rPr>
          <w:rFonts w:ascii="Times New Roman" w:hAnsi="Times New Roman" w:cs="Times New Roman"/>
        </w:rPr>
        <w:t xml:space="preserve">) GDF15 levels at ZT1 and ZT13 in pregnant and non-pregnant females, </w:t>
      </w:r>
      <w:r w:rsidR="00132817" w:rsidRPr="003C0FFC">
        <w:rPr>
          <w:rFonts w:ascii="Times New Roman" w:hAnsi="Times New Roman" w:cs="Times New Roman"/>
        </w:rPr>
        <w:t xml:space="preserve">assessed </w:t>
      </w:r>
      <w:r w:rsidR="00132817" w:rsidRPr="00132817">
        <w:rPr>
          <w:rFonts w:ascii="Times New Roman" w:hAnsi="Times New Roman" w:cs="Times New Roman"/>
          <w:color w:val="00B0F0"/>
        </w:rPr>
        <w:t xml:space="preserve">by </w:t>
      </w:r>
      <w:proofErr w:type="gramStart"/>
      <w:r w:rsidR="00132817" w:rsidRPr="00132817">
        <w:rPr>
          <w:rFonts w:ascii="Times New Roman" w:hAnsi="Times New Roman" w:cs="Times New Roman"/>
          <w:color w:val="00B0F0"/>
        </w:rPr>
        <w:t>two way</w:t>
      </w:r>
      <w:proofErr w:type="gramEnd"/>
      <w:r w:rsidR="00132817" w:rsidRPr="00132817">
        <w:rPr>
          <w:rFonts w:ascii="Times New Roman" w:hAnsi="Times New Roman" w:cs="Times New Roman"/>
          <w:color w:val="00B0F0"/>
        </w:rPr>
        <w:t xml:space="preserve"> </w:t>
      </w:r>
      <w:proofErr w:type="spellStart"/>
      <w:r w:rsidR="00132817" w:rsidRPr="00132817">
        <w:rPr>
          <w:rFonts w:ascii="Times New Roman" w:hAnsi="Times New Roman" w:cs="Times New Roman"/>
          <w:color w:val="00B0F0"/>
        </w:rPr>
        <w:t>anova</w:t>
      </w:r>
      <w:proofErr w:type="spellEnd"/>
      <w:r w:rsidR="00132817" w:rsidRPr="00132817">
        <w:rPr>
          <w:rFonts w:ascii="Times New Roman" w:hAnsi="Times New Roman" w:cs="Times New Roman"/>
          <w:color w:val="00B0F0"/>
        </w:rPr>
        <w:t xml:space="preserve"> for effect of time and of pregnancy status.</w:t>
      </w:r>
      <w:r w:rsidR="00132817">
        <w:rPr>
          <w:rFonts w:ascii="Times New Roman" w:hAnsi="Times New Roman" w:cs="Times New Roman"/>
        </w:rPr>
        <w:t>”</w:t>
      </w:r>
    </w:p>
    <w:p w14:paraId="4C5EE23B" w14:textId="77777777" w:rsidR="00EA3FC2" w:rsidRPr="00513B72"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281A4682" w14:textId="77777777" w:rsidR="00513B72" w:rsidRPr="00513B72" w:rsidRDefault="00513B72" w:rsidP="00513B72">
      <w:pPr>
        <w:rPr>
          <w:b/>
          <w:bCs/>
        </w:rPr>
      </w:pPr>
    </w:p>
    <w:p w14:paraId="1924B1E0" w14:textId="77777777" w:rsidR="00EA3FC2" w:rsidRPr="00851352"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For fig 3, With regards to fig 3D, I suggest showing this as % change from delivery day - Given the higher body weight and variation in 3F around 20-25 day mark I wonder if this would account for the variability in weight loss.</w:t>
      </w:r>
    </w:p>
    <w:p w14:paraId="00D71A09" w14:textId="77777777" w:rsidR="0013052D" w:rsidRDefault="00851352" w:rsidP="00851352">
      <w:r w:rsidRPr="00851352">
        <w:t xml:space="preserve">We recalculated the postnatal weight loss as a percentage of delivery day and saw that the variability is still </w:t>
      </w:r>
      <w:r>
        <w:t xml:space="preserve">large. We have changed it in the manuscript to, </w:t>
      </w:r>
    </w:p>
    <w:p w14:paraId="5E23B8AF" w14:textId="3CCC3341" w:rsidR="00851352" w:rsidRPr="00851352" w:rsidRDefault="00851352" w:rsidP="00851352">
      <w:r>
        <w:t>“</w:t>
      </w:r>
      <w:r>
        <w:rPr>
          <w:rFonts w:ascii="Times New Roman" w:hAnsi="Times New Roman" w:cs="Times New Roman"/>
        </w:rPr>
        <w:t xml:space="preserve"> </w:t>
      </w: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Pr>
          <w:rFonts w:ascii="Times New Roman" w:hAnsi="Times New Roman" w:cs="Times New Roman"/>
        </w:rPr>
        <w:t xml:space="preserve">dams </w:t>
      </w:r>
      <w:r w:rsidRPr="00851352">
        <w:rPr>
          <w:rFonts w:ascii="Times New Roman" w:hAnsi="Times New Roman" w:cs="Times New Roman"/>
          <w:color w:val="00B0F0"/>
        </w:rPr>
        <w:t xml:space="preserve">had 51% lower percent postnatal weight loss </w:t>
      </w:r>
      <w:r>
        <w:rPr>
          <w:rFonts w:ascii="Times New Roman" w:hAnsi="Times New Roman" w:cs="Times New Roman"/>
        </w:rPr>
        <w:t xml:space="preserve">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with high levels of variability, but this failed to reach statistical significance (</w:t>
      </w:r>
      <w:r w:rsidRPr="005E27E2">
        <w:rPr>
          <w:rFonts w:ascii="Times New Roman" w:hAnsi="Times New Roman" w:cs="Times New Roman"/>
          <w:b/>
          <w:bCs/>
        </w:rPr>
        <w:t>Figure 3D</w:t>
      </w:r>
      <w:r>
        <w:rPr>
          <w:rFonts w:ascii="Times New Roman" w:hAnsi="Times New Roman" w:cs="Times New Roman"/>
        </w:rPr>
        <w:t xml:space="preserve">, p=0.14; </w:t>
      </w:r>
      <w:r w:rsidRPr="00A05F5E">
        <w:rPr>
          <w:rFonts w:ascii="Times New Roman" w:hAnsi="Times New Roman" w:cs="Times New Roman"/>
          <w:b/>
          <w:bCs/>
        </w:rPr>
        <w:t>Figure 3F</w:t>
      </w:r>
      <w:r>
        <w:rPr>
          <w:rFonts w:ascii="Times New Roman" w:hAnsi="Times New Roman" w:cs="Times New Roman"/>
        </w:rPr>
        <w:t>)</w:t>
      </w:r>
      <w:r>
        <w:t>”</w:t>
      </w:r>
    </w:p>
    <w:p w14:paraId="7CFB6F29" w14:textId="77777777" w:rsidR="00EA3FC2" w:rsidRPr="00077FE6"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For fig 5C, what is the p value? Text states p=0.05, figure legend states *p&lt;0.05. Given alpha is set at 0.05, p=0.05 is not actually significant.</w:t>
      </w:r>
    </w:p>
    <w:p w14:paraId="133BD944" w14:textId="06F93C33" w:rsidR="0030481C" w:rsidRDefault="0030481C" w:rsidP="0030481C">
      <w:pPr>
        <w:ind w:left="360"/>
      </w:pPr>
      <w:r>
        <w:t xml:space="preserve">Thank you for pointing out that inconsistency. </w:t>
      </w:r>
      <w:r w:rsidRPr="0030481C">
        <w:t>The p-value is 0</w:t>
      </w:r>
      <w:r>
        <w:t>.</w:t>
      </w:r>
      <w:r w:rsidRPr="0030481C">
        <w:t>05</w:t>
      </w:r>
      <w:r>
        <w:t>, so we have removed the asterisk.</w:t>
      </w:r>
    </w:p>
    <w:p w14:paraId="6854963A" w14:textId="5D6FC2E8" w:rsidR="00283903" w:rsidRPr="00283903" w:rsidRDefault="00283903" w:rsidP="00283903">
      <w:pPr>
        <w:pStyle w:val="ListParagraph"/>
        <w:numPr>
          <w:ilvl w:val="0"/>
          <w:numId w:val="3"/>
        </w:numPr>
        <w:rPr>
          <w:b/>
          <w:bCs/>
        </w:rPr>
      </w:pPr>
      <w:commentRangeStart w:id="9"/>
      <w:r w:rsidRPr="00283903">
        <w:rPr>
          <w:rFonts w:ascii="Segoe UI" w:hAnsi="Segoe UI" w:cs="Segoe UI"/>
          <w:b/>
          <w:bCs/>
          <w:color w:val="242424"/>
          <w:sz w:val="23"/>
          <w:szCs w:val="23"/>
          <w:shd w:val="clear" w:color="auto" w:fill="FFFFFF"/>
        </w:rPr>
        <w:lastRenderedPageBreak/>
        <w:t xml:space="preserve">Overall comments on graphs: x axis labels should be aligned with sampling timepoints within the graphs. </w:t>
      </w:r>
    </w:p>
    <w:p w14:paraId="13D965B8" w14:textId="351E28B0" w:rsidR="00283903" w:rsidRPr="00CD0C99" w:rsidRDefault="00283903" w:rsidP="00283903">
      <w:r w:rsidRPr="00CD0C99">
        <w:t>We updated x-axes for insulin tolerance tests</w:t>
      </w:r>
      <w:r w:rsidR="00CD0C99">
        <w:t>,</w:t>
      </w:r>
      <w:r w:rsidRPr="00CD0C99">
        <w:t xml:space="preserve"> body weight</w:t>
      </w:r>
      <w:r w:rsidR="00CD0C99">
        <w:t>, and food intake</w:t>
      </w:r>
      <w:r w:rsidRPr="00CD0C99">
        <w:t xml:space="preserve"> measurements</w:t>
      </w:r>
      <w:r w:rsidR="00CD0C99">
        <w:t xml:space="preserve"> to better reflect days of collection for data. </w:t>
      </w:r>
    </w:p>
    <w:p w14:paraId="5126700A" w14:textId="77777777" w:rsidR="00EA3FC2" w:rsidRPr="00A3113E" w:rsidRDefault="00F339A9" w:rsidP="00EA3FC2">
      <w:pPr>
        <w:pStyle w:val="ListParagraph"/>
        <w:numPr>
          <w:ilvl w:val="0"/>
          <w:numId w:val="3"/>
        </w:numPr>
        <w:rPr>
          <w:b/>
          <w:bCs/>
        </w:rPr>
      </w:pPr>
      <w:commentRangeStart w:id="10"/>
      <w:r w:rsidRPr="00A3113E">
        <w:rPr>
          <w:rFonts w:ascii="Segoe UI" w:hAnsi="Segoe UI" w:cs="Segoe UI"/>
          <w:b/>
          <w:bCs/>
          <w:color w:val="242424"/>
          <w:sz w:val="23"/>
          <w:szCs w:val="23"/>
          <w:shd w:val="clear" w:color="auto" w:fill="FFFFFF"/>
        </w:rPr>
        <w:t>More</w:t>
      </w:r>
      <w:commentRangeEnd w:id="9"/>
      <w:r w:rsidR="00283903">
        <w:rPr>
          <w:rStyle w:val="CommentReference"/>
        </w:rPr>
        <w:commentReference w:id="9"/>
      </w:r>
      <w:r w:rsidRPr="00A3113E">
        <w:rPr>
          <w:rFonts w:ascii="Segoe UI" w:hAnsi="Segoe UI" w:cs="Segoe UI"/>
          <w:b/>
          <w:bCs/>
          <w:color w:val="242424"/>
          <w:sz w:val="23"/>
          <w:szCs w:val="23"/>
          <w:shd w:val="clear" w:color="auto" w:fill="FFFFFF"/>
        </w:rPr>
        <w:t xml:space="preserve"> complete labelling would be helpful.</w:t>
      </w:r>
      <w:commentRangeEnd w:id="10"/>
      <w:r w:rsidR="008D578D">
        <w:rPr>
          <w:rStyle w:val="CommentReference"/>
        </w:rPr>
        <w:commentReference w:id="10"/>
      </w:r>
      <w:r w:rsidRPr="00A3113E">
        <w:rPr>
          <w:rFonts w:ascii="Segoe UI" w:hAnsi="Segoe UI" w:cs="Segoe UI"/>
          <w:b/>
          <w:bCs/>
          <w:color w:val="242424"/>
          <w:sz w:val="23"/>
          <w:szCs w:val="23"/>
        </w:rPr>
        <w:br/>
      </w:r>
      <w:r w:rsidRPr="00A3113E">
        <w:rPr>
          <w:rFonts w:ascii="Segoe UI" w:hAnsi="Segoe UI" w:cs="Segoe UI"/>
          <w:b/>
          <w:bCs/>
          <w:color w:val="242424"/>
          <w:sz w:val="23"/>
          <w:szCs w:val="23"/>
          <w:shd w:val="clear" w:color="auto" w:fill="FFFFFF"/>
        </w:rPr>
        <w:t xml:space="preserve">I strongly applaud the authors for their use of gender neural language "expectant parents" in the </w:t>
      </w:r>
      <w:proofErr w:type="gramStart"/>
      <w:r w:rsidRPr="00A3113E">
        <w:rPr>
          <w:rFonts w:ascii="Segoe UI" w:hAnsi="Segoe UI" w:cs="Segoe UI"/>
          <w:b/>
          <w:bCs/>
          <w:color w:val="242424"/>
          <w:sz w:val="23"/>
          <w:szCs w:val="23"/>
          <w:shd w:val="clear" w:color="auto" w:fill="FFFFFF"/>
        </w:rPr>
        <w:t>discussion, but</w:t>
      </w:r>
      <w:proofErr w:type="gramEnd"/>
      <w:r w:rsidRPr="00A3113E">
        <w:rPr>
          <w:rFonts w:ascii="Segoe UI" w:hAnsi="Segoe UI" w:cs="Segoe UI"/>
          <w:b/>
          <w:bCs/>
          <w:color w:val="242424"/>
          <w:sz w:val="23"/>
          <w:szCs w:val="23"/>
          <w:shd w:val="clear" w:color="auto" w:fill="FFFFFF"/>
        </w:rPr>
        <w:t xml:space="preserve"> suggest "expectant gestational parents" may be more accurate and avoid confusion.</w:t>
      </w:r>
    </w:p>
    <w:p w14:paraId="3FC5754C" w14:textId="77777777" w:rsidR="00974FD1" w:rsidRDefault="00974FD1" w:rsidP="00A3113E"/>
    <w:p w14:paraId="2DB7F23B" w14:textId="62311EB2" w:rsidR="00974FD1" w:rsidRDefault="00974FD1" w:rsidP="00A3113E">
      <w:r>
        <w:t>Thank you for the positive feedback and the suggestion:</w:t>
      </w:r>
    </w:p>
    <w:p w14:paraId="00E4C3C3" w14:textId="1531AC9E" w:rsidR="00A3113E" w:rsidRPr="00A3113E" w:rsidRDefault="00A3113E" w:rsidP="00A3113E">
      <w:r>
        <w:t xml:space="preserve">Line: 294, “Elevated circulating levels of GDF15 have been documented in </w:t>
      </w:r>
      <w:r w:rsidRPr="00121F3C">
        <w:rPr>
          <w:b/>
          <w:bCs/>
          <w:color w:val="00B0F0"/>
        </w:rPr>
        <w:t>expectant gestational parents</w:t>
      </w:r>
      <w:r w:rsidRPr="00121F3C">
        <w:rPr>
          <w:color w:val="00B0F0"/>
        </w:rPr>
        <w:t xml:space="preserve"> </w:t>
      </w:r>
      <w:r>
        <w:t>with normal weight status compared to those with obesity”</w:t>
      </w:r>
    </w:p>
    <w:p w14:paraId="2273E01D" w14:textId="0D188150" w:rsidR="00CF2457" w:rsidRPr="006E1F63" w:rsidRDefault="00F339A9" w:rsidP="00CF2457">
      <w:pPr>
        <w:pStyle w:val="ListParagraph"/>
        <w:numPr>
          <w:ilvl w:val="0"/>
          <w:numId w:val="3"/>
        </w:numPr>
        <w:rPr>
          <w:b/>
          <w:bCs/>
        </w:rPr>
      </w:pPr>
      <w:commentRangeStart w:id="11"/>
      <w:commentRangeStart w:id="12"/>
      <w:r w:rsidRPr="00A3113E">
        <w:rPr>
          <w:rFonts w:ascii="Segoe UI" w:hAnsi="Segoe UI" w:cs="Segoe UI"/>
          <w:b/>
          <w:bCs/>
          <w:color w:val="242424"/>
          <w:sz w:val="23"/>
          <w:szCs w:val="23"/>
          <w:shd w:val="clear" w:color="auto" w:fill="FFFFFF"/>
        </w:rPr>
        <w:t xml:space="preserve">There are </w:t>
      </w:r>
      <w:proofErr w:type="gramStart"/>
      <w:r w:rsidRPr="00A3113E">
        <w:rPr>
          <w:rFonts w:ascii="Segoe UI" w:hAnsi="Segoe UI" w:cs="Segoe UI"/>
          <w:b/>
          <w:bCs/>
          <w:color w:val="242424"/>
          <w:sz w:val="23"/>
          <w:szCs w:val="23"/>
          <w:shd w:val="clear" w:color="auto" w:fill="FFFFFF"/>
        </w:rPr>
        <w:t>a number of</w:t>
      </w:r>
      <w:proofErr w:type="gramEnd"/>
      <w:r w:rsidRPr="00A3113E">
        <w:rPr>
          <w:rFonts w:ascii="Segoe UI" w:hAnsi="Segoe UI" w:cs="Segoe UI"/>
          <w:b/>
          <w:bCs/>
          <w:color w:val="242424"/>
          <w:sz w:val="23"/>
          <w:szCs w:val="23"/>
          <w:shd w:val="clear" w:color="auto" w:fill="FFFFFF"/>
        </w:rPr>
        <w:t xml:space="preserve"> sentences in both the discussion and introduction that could be edited for clarity of thought.</w:t>
      </w:r>
      <w:commentRangeEnd w:id="11"/>
      <w:r w:rsidR="008D1124">
        <w:rPr>
          <w:rStyle w:val="CommentReference"/>
        </w:rPr>
        <w:commentReference w:id="11"/>
      </w:r>
      <w:commentRangeEnd w:id="12"/>
      <w:r w:rsidR="00974FD1">
        <w:rPr>
          <w:rStyle w:val="CommentReference"/>
        </w:rPr>
        <w:commentReference w:id="12"/>
      </w:r>
    </w:p>
    <w:p w14:paraId="78FEF074" w14:textId="77777777" w:rsidR="006E1F63" w:rsidRDefault="006E1F63" w:rsidP="006E1F63">
      <w:pPr>
        <w:rPr>
          <w:b/>
          <w:bCs/>
        </w:rPr>
      </w:pPr>
    </w:p>
    <w:p w14:paraId="7833692F" w14:textId="77777777" w:rsidR="006E1F63" w:rsidRPr="006E1F63" w:rsidRDefault="006E1F63" w:rsidP="006E1F63">
      <w:pPr>
        <w:pStyle w:val="Bibliography"/>
        <w:rPr>
          <w:rFonts w:ascii="Aptos" w:hAnsi="Aptos"/>
        </w:rPr>
      </w:pPr>
      <w:r>
        <w:rPr>
          <w:b/>
          <w:bCs/>
        </w:rPr>
        <w:fldChar w:fldCharType="begin"/>
      </w:r>
      <w:r>
        <w:rPr>
          <w:b/>
          <w:bCs/>
        </w:rPr>
        <w:instrText xml:space="preserve"> ADDIN ZOTERO_BIBL {"uncited":[],"omitted":[],"custom":[]} CSL_BIBLIOGRAPHY </w:instrText>
      </w:r>
      <w:r>
        <w:rPr>
          <w:b/>
          <w:bCs/>
        </w:rPr>
        <w:fldChar w:fldCharType="separate"/>
      </w:r>
      <w:r w:rsidRPr="006E1F63">
        <w:rPr>
          <w:rFonts w:ascii="Aptos" w:hAnsi="Aptos"/>
        </w:rPr>
        <w:t xml:space="preserve">1. </w:t>
      </w:r>
      <w:r w:rsidRPr="006E1F63">
        <w:rPr>
          <w:rFonts w:ascii="Aptos" w:hAnsi="Aptos"/>
        </w:rPr>
        <w:tab/>
        <w:t xml:space="preserve">Rossi G, Lapaczewski P, Diamond MP, Jacob RJ, Shulman GI, Sherwin RS. Inhibitory effect of pregnancy on counterregulatory hormone responses to hypoglycemia in awake rat. </w:t>
      </w:r>
      <w:r w:rsidRPr="006E1F63">
        <w:rPr>
          <w:rFonts w:ascii="Aptos" w:hAnsi="Aptos"/>
          <w:i/>
          <w:iCs/>
        </w:rPr>
        <w:t>Diabetes</w:t>
      </w:r>
      <w:r w:rsidRPr="006E1F63">
        <w:rPr>
          <w:rFonts w:ascii="Aptos" w:hAnsi="Aptos"/>
        </w:rPr>
        <w:t>. 1993;42(10):1440-1445. doi:10.2337/diab.42.10.1440</w:t>
      </w:r>
    </w:p>
    <w:p w14:paraId="67572A6E" w14:textId="77777777" w:rsidR="006E1F63" w:rsidRPr="006E1F63" w:rsidRDefault="006E1F63" w:rsidP="006E1F63">
      <w:pPr>
        <w:pStyle w:val="Bibliography"/>
        <w:rPr>
          <w:rFonts w:ascii="Aptos" w:hAnsi="Aptos"/>
        </w:rPr>
      </w:pPr>
      <w:r w:rsidRPr="006E1F63">
        <w:rPr>
          <w:rFonts w:ascii="Aptos" w:hAnsi="Aptos"/>
        </w:rPr>
        <w:t xml:space="preserve">2. </w:t>
      </w:r>
      <w:r w:rsidRPr="006E1F63">
        <w:rPr>
          <w:rFonts w:ascii="Aptos" w:hAnsi="Aptos"/>
        </w:rPr>
        <w:tab/>
        <w:t xml:space="preserve">Zhang Z, Piro AL, Dai FF, Wheeler MB. Adaptive Changes in Glucose Homeostasis and Islet Function During Pregnancy: A Targeted Metabolomics Study in Mice. </w:t>
      </w:r>
      <w:r w:rsidRPr="006E1F63">
        <w:rPr>
          <w:rFonts w:ascii="Aptos" w:hAnsi="Aptos"/>
          <w:i/>
          <w:iCs/>
        </w:rPr>
        <w:t>Front Endocrinol</w:t>
      </w:r>
      <w:r w:rsidRPr="006E1F63">
        <w:rPr>
          <w:rFonts w:ascii="Aptos" w:hAnsi="Aptos"/>
        </w:rPr>
        <w:t>. 2022;13. doi:10.3389/fendo.2022.852149</w:t>
      </w:r>
    </w:p>
    <w:p w14:paraId="1603AFA1" w14:textId="77777777" w:rsidR="006E1F63" w:rsidRPr="006E1F63" w:rsidRDefault="006E1F63" w:rsidP="006E1F63">
      <w:pPr>
        <w:pStyle w:val="Bibliography"/>
        <w:rPr>
          <w:rFonts w:ascii="Aptos" w:hAnsi="Aptos"/>
        </w:rPr>
      </w:pPr>
      <w:r w:rsidRPr="006E1F63">
        <w:rPr>
          <w:rFonts w:ascii="Aptos" w:hAnsi="Aptos"/>
        </w:rPr>
        <w:t xml:space="preserve">3. </w:t>
      </w:r>
      <w:r w:rsidRPr="006E1F63">
        <w:rPr>
          <w:rFonts w:ascii="Aptos" w:hAnsi="Aptos"/>
        </w:rPr>
        <w:tab/>
        <w:t xml:space="preserve">Harvey I, Stephenson EJ, Redd JR, Tran QT, Hochberg I, Qi N, Bridges D. Glucocorticoid-Induced Metabolic Disturbances Are Exacerbated in Obese Male Mice. </w:t>
      </w:r>
      <w:r w:rsidRPr="006E1F63">
        <w:rPr>
          <w:rFonts w:ascii="Aptos" w:hAnsi="Aptos"/>
          <w:i/>
          <w:iCs/>
        </w:rPr>
        <w:t>Endocrinology</w:t>
      </w:r>
      <w:r w:rsidRPr="006E1F63">
        <w:rPr>
          <w:rFonts w:ascii="Aptos" w:hAnsi="Aptos"/>
        </w:rPr>
        <w:t>. 2018;159(6):2275-2287. doi:10.1210/en.2018-00147</w:t>
      </w:r>
    </w:p>
    <w:p w14:paraId="26757C05" w14:textId="77777777" w:rsidR="006E1F63" w:rsidRPr="006E1F63" w:rsidRDefault="006E1F63" w:rsidP="006E1F63">
      <w:pPr>
        <w:pStyle w:val="Bibliography"/>
        <w:rPr>
          <w:rFonts w:ascii="Aptos" w:hAnsi="Aptos"/>
        </w:rPr>
      </w:pPr>
      <w:r w:rsidRPr="006E1F63">
        <w:rPr>
          <w:rFonts w:ascii="Aptos" w:hAnsi="Aptos"/>
        </w:rPr>
        <w:t xml:space="preserve">4. </w:t>
      </w:r>
      <w:r w:rsidRPr="006E1F63">
        <w:rPr>
          <w:rFonts w:ascii="Aptos" w:hAnsi="Aptos"/>
        </w:rPr>
        <w:tab/>
        <w:t xml:space="preserve">El Habbal N, Mulcahy MC, Redd JR, Bridges D. Effects of Dexamethasone on Offspring Survival and Intrauterine Growth Restriction. </w:t>
      </w:r>
      <w:r w:rsidRPr="006E1F63">
        <w:rPr>
          <w:rFonts w:ascii="Aptos" w:hAnsi="Aptos"/>
          <w:i/>
          <w:iCs/>
        </w:rPr>
        <w:t>Journal of the Endocrine Society</w:t>
      </w:r>
      <w:r w:rsidRPr="006E1F63">
        <w:rPr>
          <w:rFonts w:ascii="Aptos" w:hAnsi="Aptos"/>
        </w:rPr>
        <w:t>. 2021;5(Supplement_1):A748-A749. doi:10.1210/jendso/bvab048.1522</w:t>
      </w:r>
    </w:p>
    <w:p w14:paraId="04239F11" w14:textId="77777777" w:rsidR="006E1F63" w:rsidRPr="006E1F63" w:rsidRDefault="006E1F63" w:rsidP="006E1F63">
      <w:pPr>
        <w:pStyle w:val="Bibliography"/>
        <w:rPr>
          <w:rFonts w:ascii="Aptos" w:hAnsi="Aptos"/>
        </w:rPr>
      </w:pPr>
      <w:r w:rsidRPr="006E1F63">
        <w:rPr>
          <w:rFonts w:ascii="Aptos" w:hAnsi="Aptos"/>
        </w:rPr>
        <w:t xml:space="preserve">5. </w:t>
      </w:r>
      <w:r w:rsidRPr="006E1F63">
        <w:rPr>
          <w:rFonts w:ascii="Aptos" w:hAnsi="Aptos"/>
        </w:rPr>
        <w:tab/>
        <w:t xml:space="preserve">Namdar Ahmadabad H, Kayvan Jafari S, Nezafat Firizi M, Abbaspour AR, Ghafoori Gharib F, Ghobadi Y, Gholizadeh S. Pregnancy outcomes following the administration of high doses of dexamethasone in early pregnancy. </w:t>
      </w:r>
      <w:r w:rsidRPr="006E1F63">
        <w:rPr>
          <w:rFonts w:ascii="Aptos" w:hAnsi="Aptos"/>
          <w:i/>
          <w:iCs/>
        </w:rPr>
        <w:t>Clin Exp Reprod Med</w:t>
      </w:r>
      <w:r w:rsidRPr="006E1F63">
        <w:rPr>
          <w:rFonts w:ascii="Aptos" w:hAnsi="Aptos"/>
        </w:rPr>
        <w:t>. 2016;43(1):15-25. doi:10.5653/cerm.2016.43.1.15</w:t>
      </w:r>
    </w:p>
    <w:p w14:paraId="6599FB15" w14:textId="77777777" w:rsidR="006E1F63" w:rsidRPr="006E1F63" w:rsidRDefault="006E1F63" w:rsidP="006E1F63">
      <w:pPr>
        <w:pStyle w:val="Bibliography"/>
        <w:rPr>
          <w:rFonts w:ascii="Aptos" w:hAnsi="Aptos"/>
        </w:rPr>
      </w:pPr>
      <w:r w:rsidRPr="006E1F63">
        <w:rPr>
          <w:rFonts w:ascii="Aptos" w:hAnsi="Aptos"/>
        </w:rPr>
        <w:t xml:space="preserve">6. </w:t>
      </w:r>
      <w:r w:rsidRPr="006E1F63">
        <w:rPr>
          <w:rFonts w:ascii="Aptos" w:hAnsi="Aptos"/>
        </w:rPr>
        <w:tab/>
        <w:t xml:space="preserve">Lee JY, Park SJ, Kim SH, Kim MH. Prenatal administration of dexamethasone during early pregnancy negatively affects placental development and function in mice1. </w:t>
      </w:r>
      <w:r w:rsidRPr="006E1F63">
        <w:rPr>
          <w:rFonts w:ascii="Aptos" w:hAnsi="Aptos"/>
          <w:i/>
          <w:iCs/>
        </w:rPr>
        <w:t>Journal of Animal Science</w:t>
      </w:r>
      <w:r w:rsidRPr="006E1F63">
        <w:rPr>
          <w:rFonts w:ascii="Aptos" w:hAnsi="Aptos"/>
        </w:rPr>
        <w:t>. 2012;90(13):4846-4856. doi:10.2527/jas.2012-5090</w:t>
      </w:r>
    </w:p>
    <w:p w14:paraId="5F423F66" w14:textId="77777777" w:rsidR="006E1F63" w:rsidRPr="006E1F63" w:rsidRDefault="006E1F63" w:rsidP="006E1F63">
      <w:pPr>
        <w:pStyle w:val="Bibliography"/>
        <w:rPr>
          <w:rFonts w:ascii="Aptos" w:hAnsi="Aptos"/>
        </w:rPr>
      </w:pPr>
      <w:r w:rsidRPr="006E1F63">
        <w:rPr>
          <w:rFonts w:ascii="Aptos" w:hAnsi="Aptos"/>
        </w:rPr>
        <w:lastRenderedPageBreak/>
        <w:t xml:space="preserve">7. </w:t>
      </w:r>
      <w:r w:rsidRPr="006E1F63">
        <w:rPr>
          <w:rFonts w:ascii="Aptos" w:hAnsi="Aptos"/>
        </w:rPr>
        <w:tab/>
        <w:t xml:space="preserve">Vaughan OR, Sferruzzi-Perri AN, Coan PM, Fowden AL. Adaptations in Placental Phenotype Depend on Route and Timing of Maternal Dexamethasone Administration in Mice1. </w:t>
      </w:r>
      <w:r w:rsidRPr="006E1F63">
        <w:rPr>
          <w:rFonts w:ascii="Aptos" w:hAnsi="Aptos"/>
          <w:i/>
          <w:iCs/>
        </w:rPr>
        <w:t>Biology of Reproduction</w:t>
      </w:r>
      <w:r w:rsidRPr="006E1F63">
        <w:rPr>
          <w:rFonts w:ascii="Aptos" w:hAnsi="Aptos"/>
        </w:rPr>
        <w:t>. 2013;89(4):80, 1-12. doi:10.1095/biolreprod.113.109678</w:t>
      </w:r>
    </w:p>
    <w:p w14:paraId="0B87260B" w14:textId="77777777" w:rsidR="006E1F63" w:rsidRPr="006E1F63" w:rsidRDefault="006E1F63" w:rsidP="006E1F63">
      <w:pPr>
        <w:pStyle w:val="Bibliography"/>
        <w:rPr>
          <w:rFonts w:ascii="Aptos" w:hAnsi="Aptos"/>
        </w:rPr>
      </w:pPr>
      <w:r w:rsidRPr="006E1F63">
        <w:rPr>
          <w:rFonts w:ascii="Aptos" w:hAnsi="Aptos"/>
        </w:rPr>
        <w:t xml:space="preserve">8. </w:t>
      </w:r>
      <w:r w:rsidRPr="006E1F63">
        <w:rPr>
          <w:rFonts w:ascii="Aptos" w:hAnsi="Aptos"/>
        </w:rPr>
        <w:tab/>
        <w:t xml:space="preserve">Vaughan OR, Phillips HM, Everden AJ, Sferruzzi-Perri AN, Fowden AL. Dexamethasone treatment of pregnant F0 mice leads to parent of origin-specific changes in placental function of the F2 generation. </w:t>
      </w:r>
      <w:r w:rsidRPr="006E1F63">
        <w:rPr>
          <w:rFonts w:ascii="Aptos" w:hAnsi="Aptos"/>
          <w:i/>
          <w:iCs/>
        </w:rPr>
        <w:t>Reprod Fertil Dev</w:t>
      </w:r>
      <w:r w:rsidRPr="006E1F63">
        <w:rPr>
          <w:rFonts w:ascii="Aptos" w:hAnsi="Aptos"/>
        </w:rPr>
        <w:t>. 2015;27(4):704-711. doi:10.1071/RD14285</w:t>
      </w:r>
    </w:p>
    <w:p w14:paraId="3D588AEF" w14:textId="2B0CA810" w:rsidR="006E1F63" w:rsidRPr="006E1F63" w:rsidRDefault="006E1F63" w:rsidP="006E1F63">
      <w:pPr>
        <w:rPr>
          <w:b/>
          <w:bCs/>
        </w:rPr>
      </w:pPr>
      <w:r>
        <w:rPr>
          <w:b/>
          <w:bCs/>
        </w:rPr>
        <w:fldChar w:fldCharType="end"/>
      </w:r>
    </w:p>
    <w:sectPr w:rsidR="006E1F63" w:rsidRPr="006E1F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 MULCAHY" w:date="2024-07-16T14:09:00Z" w:initials="MM">
    <w:p w14:paraId="2BC3882F" w14:textId="77777777" w:rsidR="005B2A1D" w:rsidRDefault="005B2A1D" w:rsidP="005B2A1D">
      <w:pPr>
        <w:pStyle w:val="CommentText"/>
      </w:pPr>
      <w:r>
        <w:rPr>
          <w:rStyle w:val="CommentReference"/>
        </w:rPr>
        <w:annotationRef/>
      </w:r>
      <w:r>
        <w:t>Could use some help on this one</w:t>
      </w:r>
    </w:p>
  </w:comment>
  <w:comment w:id="1" w:author="Dave Bridges" w:date="2024-07-20T11:09:00Z" w:initials="DB">
    <w:p w14:paraId="31D4DC09" w14:textId="77777777" w:rsidR="007273BF" w:rsidRDefault="007273BF" w:rsidP="007273BF">
      <w:r>
        <w:rPr>
          <w:rStyle w:val="CommentReference"/>
        </w:rPr>
        <w:annotationRef/>
      </w:r>
      <w:r>
        <w:rPr>
          <w:color w:val="000000"/>
          <w:sz w:val="20"/>
          <w:szCs w:val="20"/>
        </w:rPr>
        <w:t>I think its more likely to be glycogen</w:t>
      </w:r>
    </w:p>
  </w:comment>
  <w:comment w:id="2" w:author="Molly C. MULCAHY" w:date="2024-07-17T15:52:00Z" w:initials="MM">
    <w:p w14:paraId="178B49C3" w14:textId="1466E242" w:rsidR="001C2618" w:rsidRDefault="001C2618" w:rsidP="001C2618">
      <w:pPr>
        <w:pStyle w:val="CommentText"/>
      </w:pPr>
      <w:r>
        <w:rPr>
          <w:rStyle w:val="CommentReference"/>
        </w:rPr>
        <w:annotationRef/>
      </w:r>
      <w:r>
        <w:t>I would love your perspective here.</w:t>
      </w:r>
    </w:p>
  </w:comment>
  <w:comment w:id="3" w:author="Dave Bridges" w:date="2024-07-20T13:20:00Z" w:initials="DB">
    <w:p w14:paraId="51133B47" w14:textId="77777777" w:rsidR="005B4C16" w:rsidRDefault="005B4C16" w:rsidP="005B4C16">
      <w:r>
        <w:rPr>
          <w:rStyle w:val="CommentReference"/>
        </w:rPr>
        <w:annotationRef/>
      </w:r>
      <w:r>
        <w:rPr>
          <w:color w:val="000000"/>
          <w:sz w:val="20"/>
          <w:szCs w:val="20"/>
        </w:rPr>
        <w:t>Lets be consistent with coloring and mark that at the beginning of the response (red or blue)</w:t>
      </w:r>
    </w:p>
  </w:comment>
  <w:comment w:id="4" w:author="Molly C. MULCAHY" w:date="2024-07-19T15:09:00Z" w:initials="MM">
    <w:p w14:paraId="624A1ABB" w14:textId="1026BF74" w:rsidR="00676503" w:rsidRDefault="00676503" w:rsidP="00676503">
      <w:pPr>
        <w:pStyle w:val="CommentText"/>
      </w:pPr>
      <w:r>
        <w:rPr>
          <w:rStyle w:val="CommentReference"/>
        </w:rPr>
        <w:annotationRef/>
      </w:r>
      <w:r>
        <w:t>I might be wrong here, but I don’t feel like there is a strong standard. I see it both ways all the time. What is your thought on this comment?</w:t>
      </w:r>
    </w:p>
  </w:comment>
  <w:comment w:id="5" w:author="Dave Bridges" w:date="2024-07-20T13:24:00Z" w:initials="DB">
    <w:p w14:paraId="2B15E78D" w14:textId="77777777" w:rsidR="00974FD1" w:rsidRDefault="00974FD1" w:rsidP="00974FD1">
      <w:r>
        <w:rPr>
          <w:rStyle w:val="CommentReference"/>
        </w:rPr>
        <w:annotationRef/>
      </w:r>
      <w:r>
        <w:rPr>
          <w:color w:val="000000"/>
          <w:sz w:val="20"/>
          <w:szCs w:val="20"/>
        </w:rPr>
        <w:t>I think we should respond to this separately from point 3</w:t>
      </w:r>
    </w:p>
  </w:comment>
  <w:comment w:id="6" w:author="Dave Bridges" w:date="2024-07-20T13:24:00Z" w:initials="DB">
    <w:p w14:paraId="667557E5" w14:textId="77777777" w:rsidR="00974FD1" w:rsidRDefault="00974FD1" w:rsidP="00974FD1">
      <w:r>
        <w:rPr>
          <w:rStyle w:val="CommentReference"/>
        </w:rPr>
        <w:annotationRef/>
      </w:r>
      <w:r>
        <w:rPr>
          <w:color w:val="000000"/>
          <w:sz w:val="20"/>
          <w:szCs w:val="20"/>
        </w:rPr>
        <w:t>In this case it could help for both to include the revised figures so they can at a glance see what we are talking about</w:t>
      </w:r>
    </w:p>
  </w:comment>
  <w:comment w:id="7" w:author="Molly C. MULCAHY" w:date="2024-07-16T15:50:00Z" w:initials="MM">
    <w:p w14:paraId="56D73295" w14:textId="41C637E7" w:rsidR="00564961" w:rsidRDefault="00564961" w:rsidP="00564961">
      <w:pPr>
        <w:pStyle w:val="CommentText"/>
      </w:pPr>
      <w:r>
        <w:rPr>
          <w:rStyle w:val="CommentReference"/>
        </w:rPr>
        <w:annotationRef/>
      </w:r>
      <w:r>
        <w:t xml:space="preserve">So I looked at this and I ran a linear mixed effects model….Which makes no sense. I reran as a 2-way anova and changed the language and code accordingly. I’m not sure about the 2E comment. Do you think they mean 2C, still? </w:t>
      </w:r>
    </w:p>
  </w:comment>
  <w:comment w:id="8" w:author="Dave Bridges" w:date="2024-07-20T13:21:00Z" w:initials="DB">
    <w:p w14:paraId="62073922" w14:textId="77777777" w:rsidR="005B4C16" w:rsidRDefault="005B4C16" w:rsidP="005B4C16">
      <w:r>
        <w:rPr>
          <w:rStyle w:val="CommentReference"/>
        </w:rPr>
        <w:annotationRef/>
      </w:r>
      <w:r>
        <w:rPr>
          <w:sz w:val="20"/>
          <w:szCs w:val="20"/>
        </w:rPr>
        <w:t>Was there an interaction?  Maybe don’t need to put in the paper but we could put it in the response</w:t>
      </w:r>
    </w:p>
  </w:comment>
  <w:comment w:id="9" w:author="Molly C. MULCAHY" w:date="2024-07-16T16:23:00Z" w:initials="MCM">
    <w:p w14:paraId="1B33A943" w14:textId="243DCC7F" w:rsidR="00283903" w:rsidRDefault="00283903" w:rsidP="00283903">
      <w:pPr>
        <w:pStyle w:val="CommentText"/>
      </w:pPr>
      <w:r>
        <w:rPr>
          <w:rStyle w:val="CommentReference"/>
        </w:rPr>
        <w:annotationRef/>
      </w:r>
      <w:r>
        <w:t>I have updated the code but was having trouble with the adobe illustrator file. Could you take a look at that?</w:t>
      </w:r>
    </w:p>
  </w:comment>
  <w:comment w:id="10" w:author="Molly C. MULCAHY" w:date="2024-07-16T16:35:00Z" w:initials="MCM">
    <w:p w14:paraId="12C04576" w14:textId="77777777" w:rsidR="008D578D" w:rsidRDefault="008D578D" w:rsidP="008D578D">
      <w:pPr>
        <w:pStyle w:val="CommentText"/>
      </w:pPr>
      <w:r>
        <w:rPr>
          <w:rStyle w:val="CommentReference"/>
        </w:rPr>
        <w:annotationRef/>
      </w:r>
      <w:r>
        <w:t>Must re-review with a fine tooth comb.</w:t>
      </w:r>
    </w:p>
  </w:comment>
  <w:comment w:id="11" w:author="Molly C. MULCAHY" w:date="2024-07-19T15:10:00Z" w:initials="MM">
    <w:p w14:paraId="57FDC5B6" w14:textId="77777777" w:rsidR="008D1124" w:rsidRDefault="008D1124" w:rsidP="008D1124">
      <w:pPr>
        <w:pStyle w:val="CommentText"/>
      </w:pPr>
      <w:r>
        <w:rPr>
          <w:rStyle w:val="CommentReference"/>
        </w:rPr>
        <w:annotationRef/>
      </w:r>
      <w:r>
        <w:t xml:space="preserve">I’ll re-read this over the weekend and try to flag which ones they dislike/could be improved. </w:t>
      </w:r>
    </w:p>
  </w:comment>
  <w:comment w:id="12" w:author="Dave Bridges" w:date="2024-07-20T13:23:00Z" w:initials="DB">
    <w:p w14:paraId="117381DC" w14:textId="77777777" w:rsidR="00974FD1" w:rsidRDefault="00974FD1" w:rsidP="00974FD1">
      <w:r>
        <w:rPr>
          <w:rStyle w:val="CommentReference"/>
        </w:rPr>
        <w:annotationRef/>
      </w:r>
      <w:r>
        <w:rPr>
          <w:color w:val="000000"/>
          <w:sz w:val="20"/>
          <w:szCs w:val="20"/>
        </w:rPr>
        <w:t>Could just respond that we have revised in several spaces, since you already noted stuff is changing in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882F" w15:done="0"/>
  <w15:commentEx w15:paraId="31D4DC09" w15:paraIdParent="2BC3882F" w15:done="0"/>
  <w15:commentEx w15:paraId="178B49C3" w15:done="0"/>
  <w15:commentEx w15:paraId="51133B47" w15:done="0"/>
  <w15:commentEx w15:paraId="624A1ABB" w15:done="0"/>
  <w15:commentEx w15:paraId="2B15E78D" w15:paraIdParent="624A1ABB" w15:done="0"/>
  <w15:commentEx w15:paraId="667557E5" w15:paraIdParent="624A1ABB" w15:done="0"/>
  <w15:commentEx w15:paraId="56D73295" w15:done="0"/>
  <w15:commentEx w15:paraId="62073922" w15:done="0"/>
  <w15:commentEx w15:paraId="1B33A943" w15:done="0"/>
  <w15:commentEx w15:paraId="12C04576" w15:done="0"/>
  <w15:commentEx w15:paraId="57FDC5B6" w15:done="0"/>
  <w15:commentEx w15:paraId="117381DC" w15:paraIdParent="57FDC5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279AFC" w16cex:dateUtc="2024-07-16T19:09:00Z"/>
  <w16cex:commentExtensible w16cex:durableId="2725C159" w16cex:dateUtc="2024-07-20T15:09:00Z"/>
  <w16cex:commentExtensible w16cex:durableId="0EB48A5B" w16cex:dateUtc="2024-07-17T20:52:00Z"/>
  <w16cex:commentExtensible w16cex:durableId="16EF7A2E" w16cex:dateUtc="2024-07-20T17:20:00Z"/>
  <w16cex:commentExtensible w16cex:durableId="79AEDF06" w16cex:dateUtc="2024-07-19T20:09:00Z"/>
  <w16cex:commentExtensible w16cex:durableId="77078BDA" w16cex:dateUtc="2024-07-20T17:24:00Z"/>
  <w16cex:commentExtensible w16cex:durableId="68F90F94" w16cex:dateUtc="2024-07-20T17:24:00Z"/>
  <w16cex:commentExtensible w16cex:durableId="10EF76C1" w16cex:dateUtc="2024-07-16T20:50:00Z"/>
  <w16cex:commentExtensible w16cex:durableId="28794B5E" w16cex:dateUtc="2024-07-20T17:21:00Z"/>
  <w16cex:commentExtensible w16cex:durableId="268D108E" w16cex:dateUtc="2024-07-16T21:23:00Z"/>
  <w16cex:commentExtensible w16cex:durableId="78CC39A1" w16cex:dateUtc="2024-07-16T21:35:00Z"/>
  <w16cex:commentExtensible w16cex:durableId="283B66EB" w16cex:dateUtc="2024-07-19T20:10:00Z"/>
  <w16cex:commentExtensible w16cex:durableId="2C1B1BB3" w16cex:dateUtc="2024-07-20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882F" w16cid:durableId="5E279AFC"/>
  <w16cid:commentId w16cid:paraId="31D4DC09" w16cid:durableId="2725C159"/>
  <w16cid:commentId w16cid:paraId="178B49C3" w16cid:durableId="0EB48A5B"/>
  <w16cid:commentId w16cid:paraId="51133B47" w16cid:durableId="16EF7A2E"/>
  <w16cid:commentId w16cid:paraId="624A1ABB" w16cid:durableId="79AEDF06"/>
  <w16cid:commentId w16cid:paraId="2B15E78D" w16cid:durableId="77078BDA"/>
  <w16cid:commentId w16cid:paraId="667557E5" w16cid:durableId="68F90F94"/>
  <w16cid:commentId w16cid:paraId="56D73295" w16cid:durableId="10EF76C1"/>
  <w16cid:commentId w16cid:paraId="62073922" w16cid:durableId="28794B5E"/>
  <w16cid:commentId w16cid:paraId="1B33A943" w16cid:durableId="268D108E"/>
  <w16cid:commentId w16cid:paraId="12C04576" w16cid:durableId="78CC39A1"/>
  <w16cid:commentId w16cid:paraId="57FDC5B6" w16cid:durableId="283B66EB"/>
  <w16cid:commentId w16cid:paraId="117381DC" w16cid:durableId="2C1B1B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B92"/>
    <w:multiLevelType w:val="hybridMultilevel"/>
    <w:tmpl w:val="059A4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635DC"/>
    <w:rsid w:val="00077FE6"/>
    <w:rsid w:val="000E6C16"/>
    <w:rsid w:val="00121F3C"/>
    <w:rsid w:val="0013052D"/>
    <w:rsid w:val="00132817"/>
    <w:rsid w:val="00191A10"/>
    <w:rsid w:val="001C2618"/>
    <w:rsid w:val="001F262F"/>
    <w:rsid w:val="00234134"/>
    <w:rsid w:val="00283903"/>
    <w:rsid w:val="0030481C"/>
    <w:rsid w:val="00325746"/>
    <w:rsid w:val="003C4EF7"/>
    <w:rsid w:val="004443B6"/>
    <w:rsid w:val="004505D7"/>
    <w:rsid w:val="00462B6C"/>
    <w:rsid w:val="00513B72"/>
    <w:rsid w:val="00532D43"/>
    <w:rsid w:val="0054230C"/>
    <w:rsid w:val="00564961"/>
    <w:rsid w:val="00576DB5"/>
    <w:rsid w:val="005B2A1D"/>
    <w:rsid w:val="005B4C16"/>
    <w:rsid w:val="005E751B"/>
    <w:rsid w:val="00674514"/>
    <w:rsid w:val="00676503"/>
    <w:rsid w:val="006E1F63"/>
    <w:rsid w:val="006E43B6"/>
    <w:rsid w:val="007273BF"/>
    <w:rsid w:val="007E18CE"/>
    <w:rsid w:val="007E61FB"/>
    <w:rsid w:val="00851352"/>
    <w:rsid w:val="00870C7A"/>
    <w:rsid w:val="008D1124"/>
    <w:rsid w:val="008D578D"/>
    <w:rsid w:val="008E3E74"/>
    <w:rsid w:val="009712CC"/>
    <w:rsid w:val="00974FD1"/>
    <w:rsid w:val="009A5DE8"/>
    <w:rsid w:val="009D31A3"/>
    <w:rsid w:val="00A17617"/>
    <w:rsid w:val="00A17839"/>
    <w:rsid w:val="00A3113E"/>
    <w:rsid w:val="00A620E6"/>
    <w:rsid w:val="00AE7D5C"/>
    <w:rsid w:val="00B62E22"/>
    <w:rsid w:val="00B80824"/>
    <w:rsid w:val="00C54F67"/>
    <w:rsid w:val="00CB34EE"/>
    <w:rsid w:val="00CD0C99"/>
    <w:rsid w:val="00CF2457"/>
    <w:rsid w:val="00E15B24"/>
    <w:rsid w:val="00E425F6"/>
    <w:rsid w:val="00EA3FC2"/>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 w:type="paragraph" w:styleId="Bibliography">
    <w:name w:val="Bibliography"/>
    <w:basedOn w:val="Normal"/>
    <w:next w:val="Normal"/>
    <w:uiPriority w:val="37"/>
    <w:unhideWhenUsed/>
    <w:rsid w:val="006E1F63"/>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openxmlformats.org/officeDocument/2006/relationships/fontTable" Target="fontTable.xml"/><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4023</TotalTime>
  <Pages>6</Pages>
  <Words>5216</Words>
  <Characters>29736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34883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Dave Bridges</cp:lastModifiedBy>
  <cp:revision>19</cp:revision>
  <dcterms:created xsi:type="dcterms:W3CDTF">2024-07-16T21:36:00Z</dcterms:created>
  <dcterms:modified xsi:type="dcterms:W3CDTF">2024-07-20T17:24:00Z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id="YoP2zsA0"/&gt;&lt;style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