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B2F0" w14:textId="77777777"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79431260" w14:textId="1672045A" w:rsidR="00616AD3" w:rsidRPr="00616AD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br/>
        <w:t>Methods</w:t>
      </w:r>
    </w:p>
    <w:p w14:paraId="4364FCC0" w14:textId="794AA8CD" w:rsidR="00616AD3"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5C30215B" w:rsidR="00F67AA8" w:rsidRDefault="00BE286E" w:rsidP="00616AD3">
      <w:pPr>
        <w:spacing w:line="480" w:lineRule="auto"/>
        <w:rPr>
          <w:rFonts w:ascii="Times New Roman" w:hAnsi="Times New Roman" w:cs="Times New Roman"/>
        </w:rPr>
      </w:pPr>
      <w:r>
        <w:rPr>
          <w:rFonts w:ascii="Times New Roman" w:hAnsi="Times New Roman" w:cs="Times New Roman"/>
        </w:rPr>
        <w:t xml:space="preserve"> Virgin female C57/bl6J mice were obtained from Jackson Laboratory at XX days of age. </w:t>
      </w:r>
      <w:r w:rsidR="00CD1DB4">
        <w:rPr>
          <w:rFonts w:ascii="Times New Roman" w:hAnsi="Times New Roman" w:cs="Times New Roman"/>
        </w:rPr>
        <w:t xml:space="preserve">All animals were maintained on a 12-hour (12 dark:12 light) dark cycle in a temperature and humidity controlled room. </w:t>
      </w:r>
      <w:r>
        <w:rPr>
          <w:rFonts w:ascii="Times New Roman" w:hAnsi="Times New Roman" w:cs="Times New Roman"/>
        </w:rPr>
        <w:t xml:space="preserve">After </w:t>
      </w:r>
      <w:r w:rsidR="00F67AA8">
        <w:rPr>
          <w:rFonts w:ascii="Times New Roman" w:hAnsi="Times New Roman" w:cs="Times New Roman"/>
        </w:rPr>
        <w:t>one</w:t>
      </w:r>
      <w:r>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Pr>
          <w:rFonts w:ascii="Times New Roman" w:hAnsi="Times New Roman" w:cs="Times New Roman"/>
        </w:rPr>
        <w:t>.</w:t>
      </w:r>
      <w:r w:rsidR="00F67AA8">
        <w:rPr>
          <w:rFonts w:ascii="Times New Roman" w:hAnsi="Times New Roman" w:cs="Times New Roman"/>
        </w:rPr>
        <w:t xml:space="preserve"> After one week of dietary treatment, age-matched males were introduced into cages for breeding. Males were kept in the female cage until copulatory plug appeared. The day a </w:t>
      </w:r>
      <w:r w:rsidR="00FA1922">
        <w:rPr>
          <w:rFonts w:ascii="Times New Roman" w:hAnsi="Times New Roman" w:cs="Times New Roman"/>
        </w:rPr>
        <w:t xml:space="preserve">copulatory </w:t>
      </w:r>
      <w:r w:rsidR="00F67AA8">
        <w:rPr>
          <w:rFonts w:ascii="Times New Roman" w:hAnsi="Times New Roman" w:cs="Times New Roman"/>
        </w:rPr>
        <w:t xml:space="preserve">plug appeared was designated gestational day 0.5 (E 0.5). </w:t>
      </w:r>
      <w:r w:rsidR="00A54B1D">
        <w:rPr>
          <w:rFonts w:ascii="Times New Roman" w:hAnsi="Times New Roman" w:cs="Times New Roman"/>
        </w:rPr>
        <w:t xml:space="preserve">Measures of maternal health during pregnancy will be described separately. </w:t>
      </w:r>
      <w:r w:rsidR="00CD1DB4">
        <w:rPr>
          <w:rFonts w:ascii="Times New Roman" w:hAnsi="Times New Roman" w:cs="Times New Roman"/>
        </w:rPr>
        <w:t>After birth (post-natal day, PND 0.5), offspring were weighed multiple times (PND 3</w:t>
      </w:r>
      <w:r w:rsidR="00FA1922">
        <w:rPr>
          <w:rFonts w:ascii="Times New Roman" w:hAnsi="Times New Roman" w:cs="Times New Roman"/>
        </w:rPr>
        <w:t>.5</w:t>
      </w:r>
      <w:r w:rsidR="00CD1DB4">
        <w:rPr>
          <w:rFonts w:ascii="Times New Roman" w:hAnsi="Times New Roman" w:cs="Times New Roman"/>
        </w:rPr>
        <w:t>, 7</w:t>
      </w:r>
      <w:r w:rsidR="00FA1922">
        <w:rPr>
          <w:rFonts w:ascii="Times New Roman" w:hAnsi="Times New Roman" w:cs="Times New Roman"/>
        </w:rPr>
        <w:t>.5</w:t>
      </w:r>
      <w:r w:rsidR="00CD1DB4">
        <w:rPr>
          <w:rFonts w:ascii="Times New Roman" w:hAnsi="Times New Roman" w:cs="Times New Roman"/>
        </w:rPr>
        <w:t>, 14</w:t>
      </w:r>
      <w:r w:rsidR="00FA1922">
        <w:rPr>
          <w:rFonts w:ascii="Times New Roman" w:hAnsi="Times New Roman" w:cs="Times New Roman"/>
        </w:rPr>
        <w:t>.15</w:t>
      </w:r>
      <w:r w:rsidR="00CD1DB4">
        <w:rPr>
          <w:rFonts w:ascii="Times New Roman" w:hAnsi="Times New Roman" w:cs="Times New Roman"/>
        </w:rPr>
        <w:t>)</w:t>
      </w:r>
      <w:r w:rsidR="00FA1922">
        <w:rPr>
          <w:rFonts w:ascii="Times New Roman" w:hAnsi="Times New Roman" w:cs="Times New Roman"/>
        </w:rPr>
        <w:t xml:space="preserve"> </w:t>
      </w:r>
      <w:r w:rsidR="00CD1DB4">
        <w:rPr>
          <w:rFonts w:ascii="Times New Roman" w:hAnsi="Times New Roman" w:cs="Times New Roman"/>
        </w:rPr>
        <w:t xml:space="preserve">before reaching weaning age (PND 21.5). </w:t>
      </w:r>
      <w:r w:rsidR="00FA1922">
        <w:rPr>
          <w:rFonts w:ascii="Times New Roman" w:hAnsi="Times New Roman" w:cs="Times New Roman"/>
        </w:rPr>
        <w:t xml:space="preserve">Litters were culled to 4 pups (2 males, 2 females, when possible) at PND 3.5. </w:t>
      </w:r>
      <w:r w:rsidR="00CD1DB4">
        <w:rPr>
          <w:rFonts w:ascii="Times New Roman" w:hAnsi="Times New Roman" w:cs="Times New Roman"/>
        </w:rPr>
        <w:t xml:space="preserve">At weaning, </w:t>
      </w:r>
      <w:r w:rsidR="009F2C4F">
        <w:rPr>
          <w:rFonts w:ascii="Times New Roman" w:hAnsi="Times New Roman" w:cs="Times New Roman"/>
        </w:rPr>
        <w:t xml:space="preserve">offspring were weaned by sex and maternal feeding regimen and given normal chow diet (NCD) AL until 70 days of age. </w:t>
      </w:r>
    </w:p>
    <w:p w14:paraId="0BF2A9C8" w14:textId="1F1C33CF" w:rsidR="00F67AA8" w:rsidRDefault="00F67AA8" w:rsidP="00616AD3">
      <w:pPr>
        <w:spacing w:line="480" w:lineRule="auto"/>
        <w:rPr>
          <w:rFonts w:ascii="Times New Roman" w:hAnsi="Times New Roman" w:cs="Times New Roman"/>
          <w:i/>
          <w:iCs/>
        </w:rPr>
      </w:pPr>
      <w:r w:rsidRPr="00F67AA8">
        <w:rPr>
          <w:rFonts w:ascii="Times New Roman" w:hAnsi="Times New Roman" w:cs="Times New Roman"/>
          <w:i/>
          <w:iCs/>
        </w:rPr>
        <w:t>Maternal dietary treatment</w:t>
      </w:r>
    </w:p>
    <w:p w14:paraId="17FC4333" w14:textId="109CB6F3" w:rsidR="00F67AA8" w:rsidRDefault="00F67AA8" w:rsidP="00616AD3">
      <w:pPr>
        <w:spacing w:line="480" w:lineRule="auto"/>
        <w:rPr>
          <w:rFonts w:ascii="Times New Roman" w:hAnsi="Times New Roman" w:cs="Times New Roman"/>
        </w:rPr>
      </w:pP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commentRangeStart w:id="0"/>
      <w:r>
        <w:rPr>
          <w:rFonts w:ascii="Times New Roman" w:hAnsi="Times New Roman" w:cs="Times New Roman"/>
        </w:rPr>
        <w:t>(</w:t>
      </w:r>
      <w:r w:rsidR="009F2C4F">
        <w:rPr>
          <w:rFonts w:ascii="Times New Roman" w:hAnsi="Times New Roman" w:cs="Times New Roman"/>
        </w:rPr>
        <w:t>8</w:t>
      </w:r>
      <w:r>
        <w:rPr>
          <w:rFonts w:ascii="Times New Roman" w:hAnsi="Times New Roman" w:cs="Times New Roman"/>
        </w:rPr>
        <w:t xml:space="preserve">= eTRF, </w:t>
      </w:r>
      <w:r w:rsidR="009F2C4F">
        <w:rPr>
          <w:rFonts w:ascii="Times New Roman" w:hAnsi="Times New Roman" w:cs="Times New Roman"/>
        </w:rPr>
        <w:t>9</w:t>
      </w:r>
      <w:r>
        <w:rPr>
          <w:rFonts w:ascii="Times New Roman" w:hAnsi="Times New Roman" w:cs="Times New Roman"/>
        </w:rPr>
        <w:t>=AL)</w:t>
      </w:r>
      <w:commentRangeEnd w:id="0"/>
      <w:r>
        <w:rPr>
          <w:rStyle w:val="CommentReference"/>
        </w:rPr>
        <w:commentReference w:id="0"/>
      </w:r>
      <w:r>
        <w:rPr>
          <w:rFonts w:ascii="Times New Roman" w:hAnsi="Times New Roman" w:cs="Times New Roman"/>
        </w:rPr>
        <w:t>.</w:t>
      </w:r>
      <w:r w:rsidR="00CD1DB4">
        <w:rPr>
          <w:rFonts w:ascii="Times New Roman" w:hAnsi="Times New Roman" w:cs="Times New Roman"/>
        </w:rPr>
        <w:t xml:space="preserve"> Dams fed AL had 24 hour  access to  NCD (Lab diet, 5L0D) and water. Dams fed eTRF had 6 hours of food access over the </w:t>
      </w:r>
      <w:r w:rsidR="002B0CAE">
        <w:rPr>
          <w:rFonts w:ascii="Times New Roman" w:hAnsi="Times New Roman" w:cs="Times New Roman"/>
        </w:rPr>
        <w:t xml:space="preserve">early portion of the </w:t>
      </w:r>
      <w:r w:rsidR="00CD1DB4">
        <w:rPr>
          <w:rFonts w:ascii="Times New Roman" w:hAnsi="Times New Roman" w:cs="Times New Roman"/>
        </w:rPr>
        <w:t>dark cycle</w:t>
      </w:r>
      <w:r w:rsidR="002B0CAE">
        <w:rPr>
          <w:rFonts w:ascii="Times New Roman" w:hAnsi="Times New Roman" w:cs="Times New Roman"/>
        </w:rPr>
        <w:t xml:space="preserve"> (zeitgeber time , ZT 1</w:t>
      </w:r>
      <w:r w:rsidR="009E39BE">
        <w:rPr>
          <w:rFonts w:ascii="Times New Roman" w:hAnsi="Times New Roman" w:cs="Times New Roman"/>
        </w:rPr>
        <w:t>3</w:t>
      </w:r>
      <w:r w:rsidR="002B0CAE">
        <w:rPr>
          <w:rFonts w:ascii="Times New Roman" w:hAnsi="Times New Roman" w:cs="Times New Roman"/>
        </w:rPr>
        <w:t xml:space="preserve">-ZT </w:t>
      </w:r>
      <w:r w:rsidR="009E39BE">
        <w:rPr>
          <w:rFonts w:ascii="Times New Roman" w:hAnsi="Times New Roman" w:cs="Times New Roman"/>
        </w:rPr>
        <w:t>19</w:t>
      </w:r>
      <w:r w:rsidR="002B0CAE">
        <w:rPr>
          <w:rFonts w:ascii="Times New Roman" w:hAnsi="Times New Roman" w:cs="Times New Roman"/>
        </w:rPr>
        <w:t xml:space="preserve">) for the whole of pregnancy. </w:t>
      </w:r>
      <w:r w:rsidR="009E39BE">
        <w:rPr>
          <w:rFonts w:ascii="Times New Roman" w:hAnsi="Times New Roman" w:cs="Times New Roman"/>
        </w:rPr>
        <w:t>Each day, all</w:t>
      </w:r>
      <w:r w:rsidR="002B0CAE">
        <w:rPr>
          <w:rFonts w:ascii="Times New Roman" w:hAnsi="Times New Roman" w:cs="Times New Roman"/>
        </w:rPr>
        <w:t xml:space="preserve"> animals were transferred to a clean cage at ZT20, allowing for similar levels of handling of all experimental animals. After birth, all dams were switched to AL feeding</w:t>
      </w:r>
      <w:r w:rsidR="009E39BE">
        <w:rPr>
          <w:rFonts w:ascii="Times New Roman" w:hAnsi="Times New Roman" w:cs="Times New Roman"/>
        </w:rPr>
        <w:t xml:space="preserve"> of NCD and maintained on this diet </w:t>
      </w:r>
      <w:r w:rsidR="009E39BE">
        <w:rPr>
          <w:rFonts w:ascii="Times New Roman" w:hAnsi="Times New Roman" w:cs="Times New Roman"/>
        </w:rPr>
        <w:lastRenderedPageBreak/>
        <w:t>until PND21.5</w:t>
      </w:r>
      <w:r w:rsidR="002B0CAE">
        <w:rPr>
          <w:rFonts w:ascii="Times New Roman" w:hAnsi="Times New Roman" w:cs="Times New Roman"/>
        </w:rPr>
        <w:t>.</w:t>
      </w:r>
      <w:r w:rsidR="009E39BE">
        <w:rPr>
          <w:rFonts w:ascii="Times New Roman" w:hAnsi="Times New Roman" w:cs="Times New Roman"/>
        </w:rPr>
        <w:t xml:space="preserve"> This meant that any phenotype in the offspring could be attributable to the gestational diet exclusively.</w:t>
      </w:r>
      <w:r w:rsidR="002B0CAE">
        <w:rPr>
          <w:rFonts w:ascii="Times New Roman" w:hAnsi="Times New Roman" w:cs="Times New Roman"/>
        </w:rPr>
        <w:t xml:space="preserve"> </w:t>
      </w: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409CBA5C"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Pups were weighed again at PND 7.5, 14.5, and 21.5. At PND 21.5, offspring were weighed, and body compos</w:t>
      </w:r>
      <w:r w:rsidR="009E39BE">
        <w:rPr>
          <w:rFonts w:ascii="Times New Roman" w:hAnsi="Times New Roman" w:cs="Times New Roman"/>
        </w:rPr>
        <w:t>i</w:t>
      </w:r>
      <w:r w:rsidR="004236D8">
        <w:rPr>
          <w:rFonts w:ascii="Times New Roman" w:hAnsi="Times New Roman" w:cs="Times New Roman"/>
        </w:rPr>
        <w:t>tion was assessed using EchoMRI 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After PND</w:t>
      </w:r>
      <w:r w:rsidR="00821A8C">
        <w:rPr>
          <w:rFonts w:ascii="Times New Roman" w:hAnsi="Times New Roman" w:cs="Times New Roman"/>
        </w:rPr>
        <w:t xml:space="preserve"> </w:t>
      </w:r>
      <w:r w:rsidR="00821A8C">
        <w:rPr>
          <w:rFonts w:ascii="Times New Roman" w:hAnsi="Times New Roman" w:cs="Times New Roman"/>
        </w:rPr>
        <w:t xml:space="preserve">70, all animals were switched to 45% High fat diet (research diets D12451, 4.73kcal/gram).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2061457A"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during NCD diet period (~ postnatal day 70). Animals were transferred into a cage with no food during the early light cycle,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0.75u/kg body weight</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w:t>
      </w:r>
      <w:r w:rsidR="00821A8C">
        <w:rPr>
          <w:rFonts w:ascii="Times New Roman" w:hAnsi="Times New Roman" w:cs="Times New Roman"/>
        </w:rPr>
        <w:t>1.5u/kg</w:t>
      </w:r>
      <w:r w:rsidR="00821A8C">
        <w:rPr>
          <w:rFonts w:ascii="Times New Roman" w:hAnsi="Times New Roman" w:cs="Times New Roman"/>
        </w:rPr>
        <w:t xml:space="preserve">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2.5u/kg lean</w:t>
      </w:r>
      <w:r w:rsidR="00F76BB3">
        <w:rPr>
          <w:rFonts w:ascii="Times New Roman" w:hAnsi="Times New Roman" w:cs="Times New Roman"/>
        </w:rPr>
        <w:t xml:space="preserve"> mass, glucose dose </w:t>
      </w:r>
      <w:r w:rsidR="0012467E">
        <w:rPr>
          <w:rFonts w:ascii="Times New Roman" w:hAnsi="Times New Roman" w:cs="Times New Roman"/>
        </w:rPr>
        <w:t>1.0</w:t>
      </w:r>
      <w:r w:rsidR="00F76BB3">
        <w:rPr>
          <w:rFonts w:ascii="Times New Roman" w:hAnsi="Times New Roman" w:cs="Times New Roman"/>
        </w:rPr>
        <w:t>u/kg lean mass</w:t>
      </w:r>
      <w:r w:rsidR="00D623B9">
        <w:rPr>
          <w:rFonts w:ascii="Times New Roman" w:hAnsi="Times New Roman" w:cs="Times New Roman"/>
        </w:rPr>
        <w:t>)</w:t>
      </w:r>
      <w:r w:rsidR="00821A8C">
        <w:rPr>
          <w:rFonts w:ascii="Times New Roman" w:hAnsi="Times New Roman" w:cs="Times New Roman"/>
        </w:rPr>
        <w:t xml:space="preserve">. </w:t>
      </w:r>
    </w:p>
    <w:p w14:paraId="52AF4EA1" w14:textId="77777777" w:rsidR="00FE1E7B" w:rsidRDefault="00FE1E7B" w:rsidP="00FE1E7B">
      <w:pPr>
        <w:pStyle w:val="Heading3"/>
        <w:spacing w:line="480" w:lineRule="auto"/>
        <w:rPr>
          <w:rFonts w:ascii="Times New Roman" w:eastAsia="Times New Roman" w:hAnsi="Times New Roman" w:cs="Times New Roman"/>
          <w:i/>
          <w:iCs/>
          <w:color w:val="000000" w:themeColor="text1"/>
        </w:rPr>
      </w:pPr>
      <w:bookmarkStart w:id="1" w:name="_Toc29457879"/>
    </w:p>
    <w:p w14:paraId="4882A2D0" w14:textId="683EF7A4" w:rsidR="00FE1E7B" w:rsidRPr="00FE1E7B" w:rsidRDefault="00FE1E7B" w:rsidP="00FE1E7B">
      <w:pPr>
        <w:pStyle w:val="Heading3"/>
        <w:spacing w:line="480" w:lineRule="auto"/>
        <w:rPr>
          <w:rFonts w:ascii="Times New Roman" w:eastAsia="Times New Roman" w:hAnsi="Times New Roman" w:cs="Times New Roman"/>
          <w:i/>
          <w:iCs/>
          <w:color w:val="000000" w:themeColor="text1"/>
        </w:rPr>
      </w:pPr>
      <w:r w:rsidRPr="00FE1E7B">
        <w:rPr>
          <w:rFonts w:ascii="Times New Roman" w:eastAsia="Times New Roman" w:hAnsi="Times New Roman" w:cs="Times New Roman"/>
          <w:i/>
          <w:iCs/>
          <w:color w:val="000000" w:themeColor="text1"/>
        </w:rPr>
        <w:t>Sacrifice and tissue collection:</w:t>
      </w:r>
      <w:bookmarkEnd w:id="1"/>
    </w:p>
    <w:p w14:paraId="56ACDC8E" w14:textId="77777777" w:rsidR="00FE1E7B" w:rsidRPr="00FE1E7B" w:rsidRDefault="00FE1E7B" w:rsidP="00FE1E7B">
      <w:pPr>
        <w:spacing w:line="480" w:lineRule="auto"/>
        <w:rPr>
          <w:rFonts w:ascii="Times New Roman" w:eastAsia="Times New Roman" w:hAnsi="Times New Roman" w:cs="Times New Roman"/>
          <w:color w:val="000000"/>
        </w:rPr>
      </w:pPr>
      <w:r w:rsidRPr="00821A8C">
        <w:rPr>
          <w:rFonts w:ascii="Times New Roman" w:eastAsia="Times New Roman" w:hAnsi="Times New Roman" w:cs="Times New Roman"/>
          <w:color w:val="000000"/>
        </w:rPr>
        <w:t xml:space="preserve">Offspring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sacrificed after the high fat diet glucose tolerance test (</w:t>
      </w:r>
      <w:r w:rsidRPr="00821A8C">
        <w:rPr>
          <w:rFonts w:ascii="Times New Roman" w:eastAsia="Times New Roman" w:hAnsi="Times New Roman" w:cs="Times New Roman"/>
          <w:b/>
          <w:bCs/>
          <w:color w:val="000000"/>
        </w:rPr>
        <w:t>Figure 1B</w:t>
      </w:r>
      <w:r w:rsidRPr="00821A8C">
        <w:rPr>
          <w:rFonts w:ascii="Times New Roman" w:eastAsia="Times New Roman" w:hAnsi="Times New Roman" w:cs="Times New Roman"/>
          <w:color w:val="000000"/>
        </w:rPr>
        <w:t xml:space="preserve">). Animals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fasted for 16 hours with </w:t>
      </w:r>
      <w:r w:rsidRPr="00821A8C">
        <w:rPr>
          <w:rFonts w:ascii="Times New Roman" w:eastAsia="Times New Roman" w:hAnsi="Times New Roman" w:cs="Times New Roman"/>
          <w:i/>
          <w:color w:val="000000"/>
        </w:rPr>
        <w:t>ad libitum</w:t>
      </w:r>
      <w:r w:rsidRPr="00821A8C">
        <w:rPr>
          <w:rFonts w:ascii="Times New Roman" w:eastAsia="Times New Roman" w:hAnsi="Times New Roman" w:cs="Times New Roman"/>
          <w:color w:val="000000"/>
        </w:rPr>
        <w:t xml:space="preserve"> access to water. Animals </w:t>
      </w:r>
      <w:r>
        <w:rPr>
          <w:rFonts w:ascii="Times New Roman" w:eastAsia="Times New Roman" w:hAnsi="Times New Roman" w:cs="Times New Roman"/>
          <w:color w:val="000000"/>
        </w:rPr>
        <w:t>were lightly</w:t>
      </w:r>
      <w:r w:rsidRPr="00821A8C">
        <w:rPr>
          <w:rFonts w:ascii="Times New Roman" w:eastAsia="Times New Roman" w:hAnsi="Times New Roman" w:cs="Times New Roman"/>
          <w:color w:val="000000"/>
        </w:rPr>
        <w:t xml:space="preserve"> anesthetized by isofluorane inhalation</w:t>
      </w:r>
      <w:r>
        <w:rPr>
          <w:rFonts w:ascii="Times New Roman" w:eastAsia="Times New Roman" w:hAnsi="Times New Roman" w:cs="Times New Roman"/>
          <w:color w:val="000000"/>
        </w:rPr>
        <w:t>. Fasting b</w:t>
      </w:r>
      <w:r w:rsidRPr="00821A8C">
        <w:rPr>
          <w:rFonts w:ascii="Times New Roman" w:eastAsia="Times New Roman" w:hAnsi="Times New Roman" w:cs="Times New Roman"/>
          <w:color w:val="000000"/>
        </w:rPr>
        <w:t xml:space="preserve">lood glucose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determined by glucometer and a fasted blood sample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collected by retro-orbital bleed and immediately put on ice to clot. Once clot formed, whole blood was spun down in a cold centrifuge (4 degrees C) for 20 minutes at 5000 RCF. Serum was pipetted off and placed in the -80 degrees C freezer until analysis. After blood collection, animals were euthanized by isofluorane overdose and cervical dislocation. Animal body weight was </w:t>
      </w:r>
      <w:r>
        <w:rPr>
          <w:rFonts w:ascii="Times New Roman" w:eastAsia="Times New Roman" w:hAnsi="Times New Roman" w:cs="Times New Roman"/>
          <w:color w:val="000000"/>
        </w:rPr>
        <w:t>measured</w:t>
      </w:r>
      <w:r w:rsidRPr="00821A8C">
        <w:rPr>
          <w:rFonts w:ascii="Times New Roman" w:eastAsia="Times New Roman" w:hAnsi="Times New Roman" w:cs="Times New Roman"/>
          <w:color w:val="000000"/>
        </w:rPr>
        <w:t xml:space="preserve"> immediately after euthanasia on an electronic scale to the nearest 0.1 gram. Liver, inguinal white adipose tissue (iWAT), gonadal white adipose tissue (gWAT), and quadriceps femoris muscle were dissected from the right side of each mouse and snap frozen in liquid nitrogen</w:t>
      </w:r>
      <w:r>
        <w:rPr>
          <w:rFonts w:ascii="Times New Roman" w:eastAsia="Times New Roman" w:hAnsi="Times New Roman" w:cs="Times New Roman"/>
          <w:color w:val="000000"/>
        </w:rPr>
        <w:t xml:space="preserve"> and stored at -80C until later use</w:t>
      </w:r>
      <w:r w:rsidRPr="00821A8C">
        <w:rPr>
          <w:rFonts w:ascii="Times New Roman" w:eastAsia="Times New Roman" w:hAnsi="Times New Roman" w:cs="Times New Roman"/>
          <w:color w:val="000000"/>
        </w:rPr>
        <w:t xml:space="preserve">. </w:t>
      </w:r>
    </w:p>
    <w:p w14:paraId="4EB31D94" w14:textId="77777777" w:rsidR="00FE1E7B" w:rsidRDefault="00FE1E7B" w:rsidP="00616AD3">
      <w:pPr>
        <w:spacing w:line="480" w:lineRule="auto"/>
        <w:rPr>
          <w:rFonts w:ascii="Times New Roman" w:hAnsi="Times New Roman" w:cs="Times New Roman"/>
        </w:rPr>
      </w:pP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1DBBAC91" w:rsidR="00C04F83" w:rsidRDefault="00FE1E7B" w:rsidP="00616AD3">
      <w:pPr>
        <w:spacing w:line="480" w:lineRule="auto"/>
        <w:rPr>
          <w:rFonts w:ascii="Times New Roman" w:hAnsi="Times New Roman" w:cs="Times New Roman"/>
        </w:rPr>
      </w:pPr>
      <w:r>
        <w:rPr>
          <w:rFonts w:ascii="Times New Roman" w:hAnsi="Times New Roman" w:cs="Times New Roman"/>
        </w:rPr>
        <w:t>Repeated measures, such as body composition, weekly and cumulative food intake, and response to GTT or ITT were assessed via m</w:t>
      </w:r>
      <w:r w:rsidR="00036907">
        <w:rPr>
          <w:rFonts w:ascii="Times New Roman" w:hAnsi="Times New Roman" w:cs="Times New Roman"/>
        </w:rPr>
        <w:t xml:space="preserve">ixed linear effects modeling with random effects of mouse ID and dam and fixed effects of maternal dietary treatment, age, and sex. The models were separated by offspring diet (NCD or HFD) and </w:t>
      </w:r>
      <w:r>
        <w:rPr>
          <w:rFonts w:ascii="Times New Roman" w:hAnsi="Times New Roman" w:cs="Times New Roman"/>
        </w:rPr>
        <w:t>analyses were sex-stratified to assess sexual dimorphism in phenotype</w:t>
      </w:r>
      <w:r w:rsidR="00036907">
        <w:rPr>
          <w:rFonts w:ascii="Times New Roman" w:hAnsi="Times New Roman" w:cs="Times New Roman"/>
        </w:rPr>
        <w:t xml:space="preserve">. </w:t>
      </w:r>
      <w:r w:rsidR="00C04F83">
        <w:rPr>
          <w:rFonts w:ascii="Times New Roman" w:hAnsi="Times New Roman" w:cs="Times New Roman"/>
        </w:rPr>
        <w:t>Static measures, such as fasting blood glucose, were assessed for linearity by Shapiro-wilk test  and equivalence of variance by Levene’s test. Measures that were normal and of equal variance utilized student’s t-tests. Measures that were not normal used non-</w:t>
      </w:r>
      <w:r w:rsidR="00C04F83">
        <w:rPr>
          <w:rFonts w:ascii="Times New Roman" w:hAnsi="Times New Roman" w:cs="Times New Roman"/>
        </w:rPr>
        <w:lastRenderedPageBreak/>
        <w:t xml:space="preserve">parametric Mann-Whitney tests. All measures whose p-values &lt;0.05 were considered statistically significant.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7D18425" w:rsidR="00A54B1D" w:rsidRDefault="00A54B1D" w:rsidP="00616AD3">
      <w:pPr>
        <w:spacing w:line="480" w:lineRule="auto"/>
        <w:rPr>
          <w:rFonts w:ascii="Times New Roman" w:hAnsi="Times New Roman" w:cs="Times New Roman"/>
          <w:i/>
          <w:iCs/>
        </w:rPr>
      </w:pPr>
      <w:r>
        <w:rPr>
          <w:rFonts w:ascii="Times New Roman" w:hAnsi="Times New Roman" w:cs="Times New Roman"/>
          <w:i/>
          <w:iCs/>
        </w:rPr>
        <w:t xml:space="preserve">Early Time Restricted Feeding </w:t>
      </w:r>
      <w:r w:rsidR="004F4CDE">
        <w:rPr>
          <w:rFonts w:ascii="Times New Roman" w:hAnsi="Times New Roman" w:cs="Times New Roman"/>
          <w:i/>
          <w:iCs/>
        </w:rPr>
        <w:t xml:space="preserve">(eTRF) </w:t>
      </w:r>
      <w:r>
        <w:rPr>
          <w:rFonts w:ascii="Times New Roman" w:hAnsi="Times New Roman" w:cs="Times New Roman"/>
          <w:i/>
          <w:iCs/>
        </w:rPr>
        <w:t xml:space="preserve">has </w:t>
      </w:r>
      <w:r w:rsidR="004F4CDE">
        <w:rPr>
          <w:rFonts w:ascii="Times New Roman" w:hAnsi="Times New Roman" w:cs="Times New Roman"/>
          <w:i/>
          <w:iCs/>
        </w:rPr>
        <w:t>sex-specific</w:t>
      </w:r>
      <w:r>
        <w:rPr>
          <w:rFonts w:ascii="Times New Roman" w:hAnsi="Times New Roman" w:cs="Times New Roman"/>
          <w:i/>
          <w:iCs/>
        </w:rPr>
        <w:t xml:space="preserve"> effect in early life of offspring</w:t>
      </w:r>
    </w:p>
    <w:p w14:paraId="7315B566" w14:textId="608D602A" w:rsidR="00E66CFA" w:rsidRDefault="00A54B1D" w:rsidP="00E66CFA">
      <w:pPr>
        <w:spacing w:line="480" w:lineRule="auto"/>
        <w:rPr>
          <w:rFonts w:ascii="Times New Roman" w:hAnsi="Times New Roman" w:cs="Times New Roman"/>
        </w:rPr>
      </w:pPr>
      <w:r>
        <w:rPr>
          <w:rFonts w:ascii="Times New Roman" w:hAnsi="Times New Roman" w:cs="Times New Roman"/>
        </w:rPr>
        <w:t>Body composition for offspring showed that eTRF males had similar body weights compared to age-matched AL counterparts (AL weight 0.14 grams less than eTRF males, p  = 0.7</w:t>
      </w:r>
      <w:r w:rsidR="007D5A07">
        <w:rPr>
          <w:rFonts w:ascii="Times New Roman" w:hAnsi="Times New Roman" w:cs="Times New Roman"/>
        </w:rPr>
        <w:t xml:space="preserve">, </w:t>
      </w:r>
      <w:r w:rsidR="007D5A07" w:rsidRPr="007D5A07">
        <w:rPr>
          <w:rFonts w:ascii="Times New Roman" w:hAnsi="Times New Roman" w:cs="Times New Roman"/>
          <w:b/>
          <w:bCs/>
        </w:rPr>
        <w:t>Figure 2A</w:t>
      </w:r>
      <w:r>
        <w:rPr>
          <w:rFonts w:ascii="Times New Roman" w:hAnsi="Times New Roman" w:cs="Times New Roman"/>
        </w:rPr>
        <w:t xml:space="preserve">). </w:t>
      </w:r>
      <w:r w:rsidR="007D0ECF" w:rsidRPr="00BB2485">
        <w:rPr>
          <w:rFonts w:ascii="Times New Roman" w:hAnsi="Times New Roman" w:cs="Times New Roman"/>
        </w:rPr>
        <w:t xml:space="preserve">Female </w:t>
      </w:r>
      <w:r>
        <w:rPr>
          <w:rFonts w:ascii="Times New Roman" w:hAnsi="Times New Roman" w:cs="Times New Roman"/>
        </w:rPr>
        <w:t xml:space="preserve">AL </w:t>
      </w:r>
      <w:r w:rsidR="007D0ECF" w:rsidRPr="00BB2485">
        <w:rPr>
          <w:rFonts w:ascii="Times New Roman" w:hAnsi="Times New Roman" w:cs="Times New Roman"/>
        </w:rPr>
        <w:t xml:space="preserve">offspring had </w:t>
      </w:r>
      <w:r w:rsidR="00BB2485">
        <w:rPr>
          <w:rFonts w:ascii="Times New Roman" w:hAnsi="Times New Roman" w:cs="Times New Roman"/>
        </w:rPr>
        <w:t>high</w:t>
      </w:r>
      <w:r w:rsidR="007D0ECF" w:rsidRPr="00BB2485">
        <w:rPr>
          <w:rFonts w:ascii="Times New Roman" w:hAnsi="Times New Roman" w:cs="Times New Roman"/>
        </w:rPr>
        <w:t>er body weights than</w:t>
      </w:r>
      <w:r w:rsidR="00BB2485" w:rsidRPr="00BB2485">
        <w:rPr>
          <w:rFonts w:ascii="Times New Roman" w:hAnsi="Times New Roman" w:cs="Times New Roman"/>
        </w:rPr>
        <w:t xml:space="preserve"> age-matched eTRF females </w:t>
      </w:r>
      <w:r>
        <w:rPr>
          <w:rFonts w:ascii="Times New Roman" w:hAnsi="Times New Roman" w:cs="Times New Roman"/>
        </w:rPr>
        <w:t xml:space="preserve">in the first 70 days of life </w:t>
      </w:r>
      <w:r w:rsidR="007D0ECF" w:rsidRPr="00BB2485">
        <w:rPr>
          <w:rFonts w:ascii="Times New Roman" w:hAnsi="Times New Roman" w:cs="Times New Roman"/>
        </w:rPr>
        <w:t>(</w:t>
      </w:r>
      <w:r w:rsidR="00BB2485">
        <w:rPr>
          <w:rFonts w:ascii="Times New Roman" w:hAnsi="Times New Roman" w:cs="Times New Roman"/>
        </w:rPr>
        <w:t>0.044</w:t>
      </w:r>
      <w:r>
        <w:rPr>
          <w:rFonts w:ascii="Times New Roman" w:hAnsi="Times New Roman" w:cs="Times New Roman"/>
        </w:rPr>
        <w:t xml:space="preserve"> grams</w:t>
      </w:r>
      <w:r w:rsidR="00BB2485">
        <w:rPr>
          <w:rFonts w:ascii="Times New Roman" w:hAnsi="Times New Roman" w:cs="Times New Roman"/>
        </w:rPr>
        <w:t xml:space="preserve"> heavier</w:t>
      </w:r>
      <w:r w:rsidR="00036907" w:rsidRPr="00BB2485">
        <w:rPr>
          <w:rFonts w:ascii="Times New Roman" w:hAnsi="Times New Roman" w:cs="Times New Roman"/>
        </w:rPr>
        <w:t xml:space="preserve">, p = </w:t>
      </w:r>
      <w:r w:rsidR="00BB2485">
        <w:rPr>
          <w:rFonts w:ascii="Times New Roman" w:hAnsi="Times New Roman" w:cs="Times New Roman"/>
        </w:rPr>
        <w:t>0.004</w:t>
      </w:r>
      <w:r>
        <w:rPr>
          <w:rFonts w:ascii="Times New Roman" w:hAnsi="Times New Roman" w:cs="Times New Roman"/>
        </w:rPr>
        <w:t>). A similar trend was observed for lean mass</w:t>
      </w:r>
      <w:r w:rsidR="007D5A07">
        <w:rPr>
          <w:rFonts w:ascii="Times New Roman" w:hAnsi="Times New Roman" w:cs="Times New Roman"/>
        </w:rPr>
        <w:t xml:space="preserve"> (</w:t>
      </w:r>
      <w:r w:rsidR="007D5A07" w:rsidRPr="007D5A07">
        <w:rPr>
          <w:rFonts w:ascii="Times New Roman" w:hAnsi="Times New Roman" w:cs="Times New Roman"/>
          <w:b/>
          <w:bCs/>
        </w:rPr>
        <w:t>Figure 2C</w:t>
      </w:r>
      <w:r w:rsidR="007D5A07">
        <w:rPr>
          <w:rFonts w:ascii="Times New Roman" w:hAnsi="Times New Roman" w:cs="Times New Roman"/>
        </w:rPr>
        <w:t>)</w:t>
      </w:r>
      <w:r>
        <w:rPr>
          <w:rFonts w:ascii="Times New Roman" w:hAnsi="Times New Roman" w:cs="Times New Roman"/>
        </w:rPr>
        <w:t xml:space="preserve">, with females of eTRF dams </w:t>
      </w:r>
      <w:r w:rsidR="007D5A07">
        <w:rPr>
          <w:rFonts w:ascii="Times New Roman" w:hAnsi="Times New Roman" w:cs="Times New Roman"/>
        </w:rPr>
        <w:t>0.042 grams</w:t>
      </w:r>
      <w:r>
        <w:rPr>
          <w:rFonts w:ascii="Times New Roman" w:hAnsi="Times New Roman" w:cs="Times New Roman"/>
        </w:rPr>
        <w:t xml:space="preserve"> lighter than age-matched AL counterparts (p=0.0062), and males (0.012 grams heavier for eTRF vs AL, p=0.75).</w:t>
      </w:r>
      <w:r w:rsidR="001E1AE1">
        <w:rPr>
          <w:rFonts w:ascii="Times New Roman" w:hAnsi="Times New Roman" w:cs="Times New Roman"/>
        </w:rPr>
        <w:t xml:space="preserve"> Although there were differences in body weight and lean mass observed in females, there were no differences in fat mass for either sex in the first 70 days of life</w:t>
      </w:r>
      <w:r w:rsidR="007D5A07">
        <w:rPr>
          <w:rFonts w:ascii="Times New Roman" w:hAnsi="Times New Roman" w:cs="Times New Roman"/>
        </w:rPr>
        <w:t xml:space="preserve"> </w:t>
      </w:r>
      <w:r w:rsidR="001E1AE1">
        <w:rPr>
          <w:rFonts w:ascii="Times New Roman" w:hAnsi="Times New Roman" w:cs="Times New Roman"/>
        </w:rPr>
        <w:t>(male AL 0.0069 grams lighter than eTRF males, p-value=0.30 ; female AL 0.0031 grams heavier than eTRF, p-value = 0.43</w:t>
      </w:r>
      <w:r w:rsidR="007D5A07">
        <w:rPr>
          <w:rFonts w:ascii="Times New Roman" w:hAnsi="Times New Roman" w:cs="Times New Roman"/>
        </w:rPr>
        <w:t xml:space="preserve">, </w:t>
      </w:r>
      <w:r w:rsidR="007D5A07" w:rsidRPr="007D5A07">
        <w:rPr>
          <w:rFonts w:ascii="Times New Roman" w:hAnsi="Times New Roman" w:cs="Times New Roman"/>
          <w:b/>
          <w:bCs/>
        </w:rPr>
        <w:t>Figure 2B</w:t>
      </w:r>
      <w:r w:rsidR="001E1AE1">
        <w:rPr>
          <w:rFonts w:ascii="Times New Roman" w:hAnsi="Times New Roman" w:cs="Times New Roman"/>
        </w:rPr>
        <w:t xml:space="preserve">). </w:t>
      </w:r>
      <w:r w:rsidR="0058691C">
        <w:rPr>
          <w:rFonts w:ascii="Times New Roman" w:hAnsi="Times New Roman" w:cs="Times New Roman"/>
        </w:rPr>
        <w:t>Female offspring of AL dams consumed 0.529 kcals more per week than female eTRF offspring (p=0.049</w:t>
      </w:r>
      <w:r w:rsidR="007D5A07">
        <w:rPr>
          <w:rFonts w:ascii="Times New Roman" w:hAnsi="Times New Roman" w:cs="Times New Roman"/>
        </w:rPr>
        <w:t xml:space="preserve">, </w:t>
      </w:r>
      <w:r w:rsidR="007D5A07" w:rsidRPr="007D5A07">
        <w:rPr>
          <w:rFonts w:ascii="Times New Roman" w:hAnsi="Times New Roman" w:cs="Times New Roman"/>
          <w:b/>
          <w:bCs/>
        </w:rPr>
        <w:t>Figure 2D</w:t>
      </w:r>
      <w:r w:rsidR="0058691C">
        <w:rPr>
          <w:rFonts w:ascii="Times New Roman" w:hAnsi="Times New Roman" w:cs="Times New Roman"/>
        </w:rPr>
        <w:t xml:space="preserve">). This difference in food intake was absent in male offspring (AL consumed 0.12 kcals less than eTRF, p=0.60). </w:t>
      </w:r>
      <w:r w:rsidR="00E66CFA">
        <w:rPr>
          <w:rFonts w:ascii="Times New Roman" w:hAnsi="Times New Roman" w:cs="Times New Roman"/>
        </w:rPr>
        <w:t>Cumulative effects of food eaten over the course of the first 70 days further demonstrated this sex-specific difference</w:t>
      </w:r>
      <w:r w:rsidR="007D5A07">
        <w:rPr>
          <w:rFonts w:ascii="Times New Roman" w:hAnsi="Times New Roman" w:cs="Times New Roman"/>
        </w:rPr>
        <w:t xml:space="preserve"> (</w:t>
      </w:r>
      <w:r w:rsidR="007D5A07" w:rsidRPr="007D5A07">
        <w:rPr>
          <w:rFonts w:ascii="Times New Roman" w:hAnsi="Times New Roman" w:cs="Times New Roman"/>
          <w:b/>
          <w:bCs/>
        </w:rPr>
        <w:t>Figure 2E</w:t>
      </w:r>
      <w:r w:rsidR="007D5A07">
        <w:rPr>
          <w:rFonts w:ascii="Times New Roman" w:hAnsi="Times New Roman" w:cs="Times New Roman"/>
        </w:rPr>
        <w:t>)</w:t>
      </w:r>
      <w:r w:rsidR="00E66CFA">
        <w:rPr>
          <w:rFonts w:ascii="Times New Roman" w:hAnsi="Times New Roman" w:cs="Times New Roman"/>
        </w:rPr>
        <w:t xml:space="preserve">. </w:t>
      </w:r>
      <w:commentRangeStart w:id="2"/>
      <w:r w:rsidR="00E66CFA">
        <w:rPr>
          <w:rFonts w:ascii="Times New Roman" w:hAnsi="Times New Roman" w:cs="Times New Roman"/>
        </w:rPr>
        <w:t xml:space="preserve">Male AL offspring consuming </w:t>
      </w:r>
      <w:r w:rsidR="007D5A07">
        <w:rPr>
          <w:rFonts w:ascii="Times New Roman" w:hAnsi="Times New Roman" w:cs="Times New Roman"/>
        </w:rPr>
        <w:t>0.64 fewer kcals per week than eTRF counterparts (p-0.34) and female AL offspring consuming 1.44 kcals fewer than eTRF counterparts (p=0.00022).</w:t>
      </w:r>
      <w:commentRangeEnd w:id="2"/>
      <w:r w:rsidR="006A5F43">
        <w:rPr>
          <w:rStyle w:val="CommentReference"/>
        </w:rPr>
        <w:commentReference w:id="2"/>
      </w:r>
    </w:p>
    <w:p w14:paraId="2AAF2159" w14:textId="26ED5288" w:rsidR="005F3188" w:rsidRPr="00BB2485" w:rsidRDefault="0097693C" w:rsidP="00E66CFA">
      <w:pPr>
        <w:spacing w:line="480" w:lineRule="auto"/>
        <w:rPr>
          <w:rFonts w:ascii="Times New Roman" w:hAnsi="Times New Roman" w:cs="Times New Roman"/>
        </w:rPr>
      </w:pPr>
      <w:r>
        <w:rPr>
          <w:rFonts w:ascii="Times New Roman" w:hAnsi="Times New Roman" w:cs="Times New Roman"/>
        </w:rPr>
        <w:t>Insulin tolerance testing showed no interaction between time and maternal dietary treatment in males (</w:t>
      </w:r>
      <w:r w:rsidRPr="0097693C">
        <w:rPr>
          <w:rFonts w:ascii="Times New Roman" w:hAnsi="Times New Roman" w:cs="Times New Roman"/>
          <w:b/>
          <w:bCs/>
        </w:rPr>
        <w:t>Figure 2F</w:t>
      </w:r>
      <w:r>
        <w:rPr>
          <w:rFonts w:ascii="Times New Roman" w:hAnsi="Times New Roman" w:cs="Times New Roman"/>
        </w:rPr>
        <w:t>). eTRF Males had blood glucose values 0.2</w:t>
      </w:r>
      <w:r w:rsidR="002A245A">
        <w:rPr>
          <w:rFonts w:ascii="Times New Roman" w:hAnsi="Times New Roman" w:cs="Times New Roman"/>
        </w:rPr>
        <w:t>7</w:t>
      </w:r>
      <w:r>
        <w:rPr>
          <w:rFonts w:ascii="Times New Roman" w:hAnsi="Times New Roman" w:cs="Times New Roman"/>
        </w:rPr>
        <w:t xml:space="preserve"> mg/dL lower than AL males at each timepoint(p=0.</w:t>
      </w:r>
      <w:r w:rsidR="002A245A">
        <w:rPr>
          <w:rFonts w:ascii="Times New Roman" w:hAnsi="Times New Roman" w:cs="Times New Roman"/>
        </w:rPr>
        <w:t>062</w:t>
      </w:r>
      <w:r>
        <w:rPr>
          <w:rFonts w:ascii="Times New Roman" w:hAnsi="Times New Roman" w:cs="Times New Roman"/>
        </w:rPr>
        <w:t>). Female eTRF offspring also showed similar insulin tolerance compared to AL counterparts (0.2</w:t>
      </w:r>
      <w:r w:rsidR="002A245A">
        <w:rPr>
          <w:rFonts w:ascii="Times New Roman" w:hAnsi="Times New Roman" w:cs="Times New Roman"/>
        </w:rPr>
        <w:t>7</w:t>
      </w:r>
      <w:r>
        <w:rPr>
          <w:rFonts w:ascii="Times New Roman" w:hAnsi="Times New Roman" w:cs="Times New Roman"/>
        </w:rPr>
        <w:t xml:space="preserve"> mg/dL lower than AL females at each timepoint, p=0.</w:t>
      </w:r>
      <w:r w:rsidR="002A245A">
        <w:rPr>
          <w:rFonts w:ascii="Times New Roman" w:hAnsi="Times New Roman" w:cs="Times New Roman"/>
        </w:rPr>
        <w:t>88</w:t>
      </w:r>
      <w:r>
        <w:rPr>
          <w:rFonts w:ascii="Times New Roman" w:hAnsi="Times New Roman" w:cs="Times New Roman"/>
        </w:rPr>
        <w:t>)</w:t>
      </w:r>
      <w:r w:rsidR="0020152D">
        <w:rPr>
          <w:rFonts w:ascii="Times New Roman" w:hAnsi="Times New Roman" w:cs="Times New Roman"/>
        </w:rPr>
        <w:t xml:space="preserve">. </w:t>
      </w:r>
      <w:r w:rsidR="0020152D">
        <w:rPr>
          <w:rFonts w:ascii="Times New Roman" w:hAnsi="Times New Roman" w:cs="Times New Roman"/>
        </w:rPr>
        <w:lastRenderedPageBreak/>
        <w:t>Fasting blood glucose before administration of insulin also did not differ between males (AL = 197 vs eTRF = 215</w:t>
      </w:r>
      <w:r w:rsidR="0020152D" w:rsidRPr="0020152D">
        <w:rPr>
          <w:rFonts w:ascii="Times New Roman" w:hAnsi="Times New Roman" w:cs="Times New Roman"/>
        </w:rPr>
        <w:t xml:space="preserve"> </w:t>
      </w:r>
      <w:r w:rsidR="0020152D">
        <w:rPr>
          <w:rFonts w:ascii="Times New Roman" w:hAnsi="Times New Roman" w:cs="Times New Roman"/>
        </w:rPr>
        <w:t>mg/dL, p=0.</w:t>
      </w:r>
      <w:r w:rsidR="002A245A">
        <w:rPr>
          <w:rFonts w:ascii="Times New Roman" w:hAnsi="Times New Roman" w:cs="Times New Roman"/>
        </w:rPr>
        <w:t>20</w:t>
      </w:r>
      <w:r w:rsidR="0020152D">
        <w:rPr>
          <w:rFonts w:ascii="Times New Roman" w:hAnsi="Times New Roman" w:cs="Times New Roman"/>
        </w:rPr>
        <w:t>)</w:t>
      </w:r>
      <w:r w:rsidR="002A245A">
        <w:rPr>
          <w:rFonts w:ascii="Times New Roman" w:hAnsi="Times New Roman" w:cs="Times New Roman"/>
        </w:rPr>
        <w:t xml:space="preserve"> </w:t>
      </w:r>
      <w:r w:rsidR="0020152D">
        <w:rPr>
          <w:rFonts w:ascii="Times New Roman" w:hAnsi="Times New Roman" w:cs="Times New Roman"/>
        </w:rPr>
        <w:t>or females (</w:t>
      </w:r>
      <w:r w:rsidR="002A245A">
        <w:rPr>
          <w:rFonts w:ascii="Times New Roman" w:hAnsi="Times New Roman" w:cs="Times New Roman"/>
        </w:rPr>
        <w:t>AL = 175 vs eTRF = 187</w:t>
      </w:r>
      <w:r w:rsidR="002A245A" w:rsidRPr="0020152D">
        <w:rPr>
          <w:rFonts w:ascii="Times New Roman" w:hAnsi="Times New Roman" w:cs="Times New Roman"/>
        </w:rPr>
        <w:t xml:space="preserve"> </w:t>
      </w:r>
      <w:r w:rsidR="002A245A">
        <w:rPr>
          <w:rFonts w:ascii="Times New Roman" w:hAnsi="Times New Roman" w:cs="Times New Roman"/>
        </w:rPr>
        <w:t>mg/dL, p=0.30</w:t>
      </w:r>
      <w:r w:rsidR="0020152D">
        <w:rPr>
          <w:rFonts w:ascii="Times New Roman" w:hAnsi="Times New Roman" w:cs="Times New Roman"/>
        </w:rPr>
        <w:t>)</w:t>
      </w:r>
      <w:r w:rsidR="002A245A">
        <w:rPr>
          <w:rFonts w:ascii="Times New Roman" w:hAnsi="Times New Roman" w:cs="Times New Roman"/>
        </w:rPr>
        <w:t>. Glucose tolerance was similar in young adulthood between groups in both males and females (</w:t>
      </w:r>
      <w:r w:rsidR="002A245A" w:rsidRPr="002A245A">
        <w:rPr>
          <w:rFonts w:ascii="Times New Roman" w:hAnsi="Times New Roman" w:cs="Times New Roman"/>
          <w:b/>
          <w:bCs/>
        </w:rPr>
        <w:t>Figure 2G</w:t>
      </w:r>
      <w:r w:rsidR="002A245A">
        <w:rPr>
          <w:rFonts w:ascii="Times New Roman" w:hAnsi="Times New Roman" w:cs="Times New Roman"/>
        </w:rPr>
        <w:t xml:space="preserve">). </w:t>
      </w:r>
      <w:r w:rsidR="007316E8">
        <w:rPr>
          <w:rFonts w:ascii="Times New Roman" w:hAnsi="Times New Roman" w:cs="Times New Roman"/>
        </w:rPr>
        <w:t>There were also no statistically different responses to glucose tolerance testing</w:t>
      </w:r>
      <w:r w:rsidR="000046DD">
        <w:rPr>
          <w:rFonts w:ascii="Times New Roman" w:hAnsi="Times New Roman" w:cs="Times New Roman"/>
        </w:rPr>
        <w:t xml:space="preserve"> (</w:t>
      </w:r>
      <w:r w:rsidR="000046DD" w:rsidRPr="000046DD">
        <w:rPr>
          <w:rFonts w:ascii="Times New Roman" w:hAnsi="Times New Roman" w:cs="Times New Roman"/>
          <w:b/>
          <w:bCs/>
        </w:rPr>
        <w:t>Figure 2H</w:t>
      </w:r>
      <w:r w:rsidR="000046DD">
        <w:rPr>
          <w:rFonts w:ascii="Times New Roman" w:hAnsi="Times New Roman" w:cs="Times New Roman"/>
        </w:rPr>
        <w:t>)</w:t>
      </w:r>
      <w:r w:rsidR="007316E8">
        <w:rPr>
          <w:rFonts w:ascii="Times New Roman" w:hAnsi="Times New Roman" w:cs="Times New Roman"/>
        </w:rPr>
        <w:t xml:space="preserve"> in males </w:t>
      </w:r>
      <w:r w:rsidR="007316E8">
        <w:rPr>
          <w:rFonts w:ascii="Times New Roman" w:hAnsi="Times New Roman" w:cs="Times New Roman"/>
        </w:rPr>
        <w:t xml:space="preserve">(0.25mg/dL higher </w:t>
      </w:r>
      <w:r w:rsidR="007316E8">
        <w:rPr>
          <w:rFonts w:ascii="Times New Roman" w:hAnsi="Times New Roman" w:cs="Times New Roman"/>
        </w:rPr>
        <w:t>blood glucose</w:t>
      </w:r>
      <w:r w:rsidR="007316E8">
        <w:rPr>
          <w:rFonts w:ascii="Times New Roman" w:hAnsi="Times New Roman" w:cs="Times New Roman"/>
        </w:rPr>
        <w:t xml:space="preserve"> per time point in AL</w:t>
      </w:r>
      <w:r w:rsidR="007316E8">
        <w:rPr>
          <w:rFonts w:ascii="Times New Roman" w:hAnsi="Times New Roman" w:cs="Times New Roman"/>
        </w:rPr>
        <w:t xml:space="preserve"> vs eTRF</w:t>
      </w:r>
      <w:r w:rsidR="007316E8">
        <w:rPr>
          <w:rFonts w:ascii="Times New Roman" w:hAnsi="Times New Roman" w:cs="Times New Roman"/>
        </w:rPr>
        <w:t>, p=0.17)</w:t>
      </w:r>
      <w:r w:rsidR="007316E8">
        <w:rPr>
          <w:rFonts w:ascii="Times New Roman" w:hAnsi="Times New Roman" w:cs="Times New Roman"/>
        </w:rPr>
        <w:t xml:space="preserve"> or females (</w:t>
      </w:r>
      <w:r w:rsidR="007316E8">
        <w:rPr>
          <w:rFonts w:ascii="Times New Roman" w:hAnsi="Times New Roman" w:cs="Times New Roman"/>
        </w:rPr>
        <w:t>0.2</w:t>
      </w:r>
      <w:r w:rsidR="007316E8">
        <w:rPr>
          <w:rFonts w:ascii="Times New Roman" w:hAnsi="Times New Roman" w:cs="Times New Roman"/>
        </w:rPr>
        <w:t>7</w:t>
      </w:r>
      <w:r w:rsidR="007316E8">
        <w:rPr>
          <w:rFonts w:ascii="Times New Roman" w:hAnsi="Times New Roman" w:cs="Times New Roman"/>
        </w:rPr>
        <w:t xml:space="preserve">mg/dL higher </w:t>
      </w:r>
      <w:r w:rsidR="007316E8">
        <w:rPr>
          <w:rFonts w:ascii="Times New Roman" w:hAnsi="Times New Roman" w:cs="Times New Roman"/>
        </w:rPr>
        <w:t>blood glucose</w:t>
      </w:r>
      <w:r w:rsidR="007316E8">
        <w:rPr>
          <w:rFonts w:ascii="Times New Roman" w:hAnsi="Times New Roman" w:cs="Times New Roman"/>
        </w:rPr>
        <w:t xml:space="preserve"> per time point in AL vs eTRF, p=0.</w:t>
      </w:r>
      <w:r w:rsidR="007316E8">
        <w:rPr>
          <w:rFonts w:ascii="Times New Roman" w:hAnsi="Times New Roman" w:cs="Times New Roman"/>
        </w:rPr>
        <w:t>79)</w:t>
      </w:r>
      <w:r w:rsidR="00261148">
        <w:rPr>
          <w:rFonts w:ascii="Times New Roman" w:hAnsi="Times New Roman" w:cs="Times New Roman"/>
        </w:rPr>
        <w:t>.</w:t>
      </w:r>
    </w:p>
    <w:p w14:paraId="373FD832" w14:textId="6A0E0FD7" w:rsidR="007D0ECF" w:rsidRDefault="0058691C" w:rsidP="00616AD3">
      <w:pPr>
        <w:spacing w:line="480" w:lineRule="auto"/>
        <w:rPr>
          <w:rFonts w:ascii="Times New Roman" w:hAnsi="Times New Roman" w:cs="Times New Roman"/>
        </w:rPr>
      </w:pPr>
      <w:r>
        <w:rPr>
          <w:rFonts w:ascii="Times New Roman" w:hAnsi="Times New Roman" w:cs="Times New Roman"/>
        </w:rPr>
        <w:t>The effect sizes observed are modest</w:t>
      </w:r>
      <w:r w:rsidR="00C17B6E">
        <w:rPr>
          <w:rFonts w:ascii="Times New Roman" w:hAnsi="Times New Roman" w:cs="Times New Roman"/>
        </w:rPr>
        <w:t xml:space="preserve"> and likely related to the large samples size. This</w:t>
      </w:r>
      <w:r>
        <w:rPr>
          <w:rFonts w:ascii="Times New Roman" w:hAnsi="Times New Roman" w:cs="Times New Roman"/>
        </w:rPr>
        <w:t xml:space="preserve"> led us to wonder how the offspring would behave given an 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 Weekly food intake and monitoring of body composition continued.</w:t>
      </w:r>
    </w:p>
    <w:p w14:paraId="38829E0C" w14:textId="6E0FC9D4"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3E6824">
        <w:rPr>
          <w:rFonts w:ascii="Times New Roman" w:hAnsi="Times New Roman" w:cs="Times New Roman"/>
          <w:i/>
          <w:iCs/>
        </w:rPr>
        <w:t>generates glycemic deficits in a sex-specific manner</w:t>
      </w:r>
    </w:p>
    <w:p w14:paraId="7964D2C1" w14:textId="77777777" w:rsidR="008F7E7E" w:rsidRDefault="008067A0" w:rsidP="00616AD3">
      <w:pPr>
        <w:spacing w:line="480" w:lineRule="auto"/>
        <w:rPr>
          <w:rFonts w:ascii="Times New Roman" w:hAnsi="Times New Roman" w:cs="Times New Roman"/>
        </w:rPr>
      </w:pPr>
      <w:r>
        <w:rPr>
          <w:rFonts w:ascii="Times New Roman" w:hAnsi="Times New Roman" w:cs="Times New Roman"/>
        </w:rPr>
        <w:t>After beginning high fat diet feeding, there were no distinct changes in body weights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Pr>
          <w:rFonts w:ascii="Times New Roman" w:hAnsi="Times New Roman" w:cs="Times New Roman"/>
        </w:rPr>
        <w:t>). eTRF females had 0.013g lighter body weights than age-matched AL females (p=0.073). This was also similar to what was found in males, with no interaction of age and diet (eTRF males 0.014 grams heavier than AL males, p=0.70).</w:t>
      </w:r>
      <w:r w:rsidR="00261148">
        <w:rPr>
          <w:rFonts w:ascii="Times New Roman" w:hAnsi="Times New Roman" w:cs="Times New Roman"/>
        </w:rPr>
        <w:t xml:space="preserve"> There were also no effect on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381BAE">
        <w:rPr>
          <w:rFonts w:ascii="Times New Roman" w:hAnsi="Times New Roman" w:cs="Times New Roman"/>
        </w:rPr>
        <w:t>)</w:t>
      </w:r>
      <w:r w:rsidR="00261148">
        <w:rPr>
          <w:rFonts w:ascii="Times New Roman" w:hAnsi="Times New Roman" w:cs="Times New Roman"/>
        </w:rPr>
        <w:t xml:space="preserve"> accretion in females(0.0078 grams lower fat mass vs AL, p=0.30)</w:t>
      </w:r>
      <w:r w:rsidR="0091026A">
        <w:rPr>
          <w:rFonts w:ascii="Times New Roman" w:hAnsi="Times New Roman" w:cs="Times New Roman"/>
        </w:rPr>
        <w:t xml:space="preserve">, or males </w:t>
      </w:r>
      <w:r w:rsidR="0091026A">
        <w:rPr>
          <w:rFonts w:ascii="Times New Roman" w:hAnsi="Times New Roman" w:cs="Times New Roman"/>
        </w:rPr>
        <w:t>(0.0</w:t>
      </w:r>
      <w:r w:rsidR="0091026A">
        <w:rPr>
          <w:rFonts w:ascii="Times New Roman" w:hAnsi="Times New Roman" w:cs="Times New Roman"/>
        </w:rPr>
        <w:t>13</w:t>
      </w:r>
      <w:r w:rsidR="0091026A">
        <w:rPr>
          <w:rFonts w:ascii="Times New Roman" w:hAnsi="Times New Roman" w:cs="Times New Roman"/>
        </w:rPr>
        <w:t xml:space="preserve"> grams lower fat mass vs AL, p=0.0</w:t>
      </w:r>
      <w:r w:rsidR="0091026A">
        <w:rPr>
          <w:rFonts w:ascii="Times New Roman" w:hAnsi="Times New Roman" w:cs="Times New Roman"/>
        </w:rPr>
        <w:t>75)</w:t>
      </w:r>
      <w:r w:rsidR="00BE5A9B">
        <w:rPr>
          <w:rFonts w:ascii="Times New Roman" w:hAnsi="Times New Roman" w:cs="Times New Roman"/>
        </w:rPr>
        <w:t xml:space="preserve">; or lean mass </w:t>
      </w:r>
      <w:r w:rsidR="00381BAE">
        <w:rPr>
          <w:rFonts w:ascii="Times New Roman" w:hAnsi="Times New Roman" w:cs="Times New Roman"/>
        </w:rPr>
        <w:t>(</w:t>
      </w:r>
      <w:r w:rsidR="00381BAE" w:rsidRPr="00381BAE">
        <w:rPr>
          <w:rFonts w:ascii="Times New Roman" w:hAnsi="Times New Roman" w:cs="Times New Roman"/>
          <w:b/>
          <w:bCs/>
        </w:rPr>
        <w:t>Figure 3C</w:t>
      </w:r>
      <w:r w:rsidR="00381BAE">
        <w:rPr>
          <w:rFonts w:ascii="Times New Roman" w:hAnsi="Times New Roman" w:cs="Times New Roman"/>
        </w:rPr>
        <w:t xml:space="preserve">) </w:t>
      </w:r>
      <w:r w:rsidR="00BE5A9B">
        <w:rPr>
          <w:rFonts w:ascii="Times New Roman" w:hAnsi="Times New Roman" w:cs="Times New Roman"/>
        </w:rPr>
        <w:t xml:space="preserve">in </w:t>
      </w:r>
      <w:r w:rsidR="00BE5A9B">
        <w:rPr>
          <w:rFonts w:ascii="Times New Roman" w:hAnsi="Times New Roman" w:cs="Times New Roman"/>
        </w:rPr>
        <w:t>females(0.00</w:t>
      </w:r>
      <w:r w:rsidR="00BE5A9B">
        <w:rPr>
          <w:rFonts w:ascii="Times New Roman" w:hAnsi="Times New Roman" w:cs="Times New Roman"/>
        </w:rPr>
        <w:t>012</w:t>
      </w:r>
      <w:r w:rsidR="00BE5A9B">
        <w:rPr>
          <w:rFonts w:ascii="Times New Roman" w:hAnsi="Times New Roman" w:cs="Times New Roman"/>
        </w:rPr>
        <w:t xml:space="preserve"> grams </w:t>
      </w:r>
      <w:r w:rsidR="00BE5A9B">
        <w:rPr>
          <w:rFonts w:ascii="Times New Roman" w:hAnsi="Times New Roman" w:cs="Times New Roman"/>
        </w:rPr>
        <w:t>higher</w:t>
      </w:r>
      <w:r w:rsidR="00BE5A9B">
        <w:rPr>
          <w:rFonts w:ascii="Times New Roman" w:hAnsi="Times New Roman" w:cs="Times New Roman"/>
        </w:rPr>
        <w:t xml:space="preserve"> fat mass vs AL, p=0.</w:t>
      </w:r>
      <w:r w:rsidR="00BE5A9B">
        <w:rPr>
          <w:rFonts w:ascii="Times New Roman" w:hAnsi="Times New Roman" w:cs="Times New Roman"/>
        </w:rPr>
        <w:t>85</w:t>
      </w:r>
      <w:r w:rsidR="00BE5A9B">
        <w:rPr>
          <w:rFonts w:ascii="Times New Roman" w:hAnsi="Times New Roman" w:cs="Times New Roman"/>
        </w:rPr>
        <w:t>), or males (0.0</w:t>
      </w:r>
      <w:r w:rsidR="00BE5A9B">
        <w:rPr>
          <w:rFonts w:ascii="Times New Roman" w:hAnsi="Times New Roman" w:cs="Times New Roman"/>
        </w:rPr>
        <w:t>042</w:t>
      </w:r>
      <w:r w:rsidR="00BE5A9B">
        <w:rPr>
          <w:rFonts w:ascii="Times New Roman" w:hAnsi="Times New Roman" w:cs="Times New Roman"/>
        </w:rPr>
        <w:t xml:space="preserve"> grams </w:t>
      </w:r>
      <w:r w:rsidR="00BE5A9B">
        <w:rPr>
          <w:rFonts w:ascii="Times New Roman" w:hAnsi="Times New Roman" w:cs="Times New Roman"/>
        </w:rPr>
        <w:t>higher</w:t>
      </w:r>
      <w:r w:rsidR="00BE5A9B">
        <w:rPr>
          <w:rFonts w:ascii="Times New Roman" w:hAnsi="Times New Roman" w:cs="Times New Roman"/>
        </w:rPr>
        <w:t xml:space="preserve"> fat mass vs AL, p=0.</w:t>
      </w:r>
      <w:r w:rsidR="00BE5A9B">
        <w:rPr>
          <w:rFonts w:ascii="Times New Roman" w:hAnsi="Times New Roman" w:cs="Times New Roman"/>
        </w:rPr>
        <w:t>28</w:t>
      </w:r>
      <w:r w:rsidR="00BE5A9B">
        <w:rPr>
          <w:rFonts w:ascii="Times New Roman" w:hAnsi="Times New Roman" w:cs="Times New Roman"/>
        </w:rPr>
        <w:t>)</w:t>
      </w:r>
      <w:r w:rsidR="00BE5A9B">
        <w:rPr>
          <w:rFonts w:ascii="Times New Roman" w:hAnsi="Times New Roman" w:cs="Times New Roman"/>
        </w:rPr>
        <w:t>.</w:t>
      </w:r>
      <w:r w:rsidR="00252968">
        <w:rPr>
          <w:rFonts w:ascii="Times New Roman" w:hAnsi="Times New Roman" w:cs="Times New Roman"/>
        </w:rPr>
        <w:t xml:space="preserve"> Therefore, offspring of eTRF and AL made a similar transition to overnutrition challenge. </w:t>
      </w:r>
      <w:r w:rsidR="00E72093">
        <w:rPr>
          <w:rFonts w:ascii="Times New Roman" w:hAnsi="Times New Roman" w:cs="Times New Roman"/>
        </w:rPr>
        <w:t>Weekly</w:t>
      </w:r>
      <w:r w:rsidR="00252968">
        <w:rPr>
          <w:rFonts w:ascii="Times New Roman" w:hAnsi="Times New Roman" w:cs="Times New Roman"/>
        </w:rPr>
        <w:t xml:space="preserve"> food intake </w:t>
      </w:r>
      <w:r w:rsidR="00E72093">
        <w:rPr>
          <w:rFonts w:ascii="Times New Roman" w:hAnsi="Times New Roman" w:cs="Times New Roman"/>
        </w:rPr>
        <w:t xml:space="preserve">during HFD feeding were also </w:t>
      </w:r>
      <w:r w:rsidR="00252968">
        <w:rPr>
          <w:rFonts w:ascii="Times New Roman" w:hAnsi="Times New Roman" w:cs="Times New Roman"/>
        </w:rPr>
        <w:t>similar among maternal feeding groups</w:t>
      </w:r>
      <w:r w:rsidR="00E72093">
        <w:rPr>
          <w:rFonts w:ascii="Times New Roman" w:hAnsi="Times New Roman" w:cs="Times New Roman"/>
        </w:rPr>
        <w:t xml:space="preserve"> in males and females</w:t>
      </w:r>
      <w:r w:rsidR="00252968">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3D</w:t>
      </w:r>
      <w:r w:rsidR="00381BAE">
        <w:rPr>
          <w:rFonts w:ascii="Times New Roman" w:hAnsi="Times New Roman" w:cs="Times New Roman"/>
        </w:rPr>
        <w:t>)</w:t>
      </w:r>
      <w:r w:rsidR="00252968">
        <w:rPr>
          <w:rFonts w:ascii="Times New Roman" w:hAnsi="Times New Roman" w:cs="Times New Roman"/>
        </w:rPr>
        <w:t>(females consuming 0.13 kcal per week less in AL vs eTRF group, p=0.76; males consuming 0.45 kcal per week more in AL vs eTRF group, p=0.57)</w:t>
      </w:r>
      <w:r w:rsidR="00E72093">
        <w:rPr>
          <w:rFonts w:ascii="Times New Roman" w:hAnsi="Times New Roman" w:cs="Times New Roman"/>
        </w:rPr>
        <w:t xml:space="preserve">. Unlike the NCD period, females consumed similar cumulative kcals </w:t>
      </w:r>
      <w:r w:rsidR="00381BAE">
        <w:rPr>
          <w:rFonts w:ascii="Times New Roman" w:hAnsi="Times New Roman" w:cs="Times New Roman"/>
        </w:rPr>
        <w:t>(</w:t>
      </w:r>
      <w:r w:rsidR="00381BAE" w:rsidRPr="00381BAE">
        <w:rPr>
          <w:rFonts w:ascii="Times New Roman" w:hAnsi="Times New Roman" w:cs="Times New Roman"/>
          <w:b/>
          <w:bCs/>
        </w:rPr>
        <w:t>Figure 3E</w:t>
      </w:r>
      <w:r w:rsidR="00381BAE">
        <w:rPr>
          <w:rFonts w:ascii="Times New Roman" w:hAnsi="Times New Roman" w:cs="Times New Roman"/>
        </w:rPr>
        <w:t xml:space="preserve">) </w:t>
      </w:r>
      <w:r w:rsidR="00E72093">
        <w:rPr>
          <w:rFonts w:ascii="Times New Roman" w:hAnsi="Times New Roman" w:cs="Times New Roman"/>
        </w:rPr>
        <w:t xml:space="preserve">over the HFD period </w:t>
      </w:r>
      <w:r w:rsidR="00E72093">
        <w:rPr>
          <w:rFonts w:ascii="Times New Roman" w:hAnsi="Times New Roman" w:cs="Times New Roman"/>
        </w:rPr>
        <w:lastRenderedPageBreak/>
        <w:t>(AL had 1.21kcal per week greater intake vs eTRF, p=0.47). Males also showed no differences in cumulative food intake during HFD feeding (</w:t>
      </w:r>
      <w:r w:rsidR="00E72093">
        <w:rPr>
          <w:rFonts w:ascii="Times New Roman" w:hAnsi="Times New Roman" w:cs="Times New Roman"/>
        </w:rPr>
        <w:t>AL had 1.</w:t>
      </w:r>
      <w:r w:rsidR="00E72093">
        <w:rPr>
          <w:rFonts w:ascii="Times New Roman" w:hAnsi="Times New Roman" w:cs="Times New Roman"/>
        </w:rPr>
        <w:t xml:space="preserve">14 </w:t>
      </w:r>
      <w:r w:rsidR="00E72093">
        <w:rPr>
          <w:rFonts w:ascii="Times New Roman" w:hAnsi="Times New Roman" w:cs="Times New Roman"/>
        </w:rPr>
        <w:t>kcal per week greater intake vs eTRF, p=0.</w:t>
      </w:r>
      <w:r w:rsidR="00E72093">
        <w:rPr>
          <w:rFonts w:ascii="Times New Roman" w:hAnsi="Times New Roman" w:cs="Times New Roman"/>
        </w:rPr>
        <w:t xml:space="preserve">55). </w:t>
      </w:r>
      <w:r w:rsidR="003D4F95">
        <w:rPr>
          <w:rFonts w:ascii="Times New Roman" w:hAnsi="Times New Roman" w:cs="Times New Roman"/>
        </w:rPr>
        <w:br/>
        <w:t xml:space="preserve">The first indications of differences in adult health outcomes between gestational eTRF and AL animals were in assessments of their glucose homeostasis. Insulin tolerance testing </w:t>
      </w:r>
      <w:r w:rsidR="00381BAE">
        <w:rPr>
          <w:rFonts w:ascii="Times New Roman" w:hAnsi="Times New Roman" w:cs="Times New Roman"/>
        </w:rPr>
        <w:t>(</w:t>
      </w:r>
      <w:r w:rsidR="00381BAE" w:rsidRPr="00381BAE">
        <w:rPr>
          <w:rFonts w:ascii="Times New Roman" w:hAnsi="Times New Roman" w:cs="Times New Roman"/>
          <w:b/>
          <w:bCs/>
        </w:rPr>
        <w:t>Figure 3F</w:t>
      </w:r>
      <w:r w:rsidR="00381BAE">
        <w:rPr>
          <w:rFonts w:ascii="Times New Roman" w:hAnsi="Times New Roman" w:cs="Times New Roman"/>
        </w:rPr>
        <w:t xml:space="preserve">) </w:t>
      </w:r>
      <w:r w:rsidR="003D4F95">
        <w:rPr>
          <w:rFonts w:ascii="Times New Roman" w:hAnsi="Times New Roman" w:cs="Times New Roman"/>
        </w:rPr>
        <w:t>did not demonstrate further insulin sensitization (females 0.049 mg/dL higher glucose in AL vs eTRF, p=0.17; males 0.054mg/dL lower glucose in AL vs eTRF, p=0.85)</w:t>
      </w:r>
      <w:r w:rsidR="00381BAE">
        <w:rPr>
          <w:rFonts w:ascii="Times New Roman" w:hAnsi="Times New Roman" w:cs="Times New Roman"/>
        </w:rPr>
        <w:t>. There were also no difference in fasting blood glucose (</w:t>
      </w:r>
      <w:r w:rsidR="00381BAE" w:rsidRPr="00381BAE">
        <w:rPr>
          <w:rFonts w:ascii="Times New Roman" w:hAnsi="Times New Roman" w:cs="Times New Roman"/>
          <w:b/>
          <w:bCs/>
        </w:rPr>
        <w:t>Figure 3G</w:t>
      </w:r>
      <w:r w:rsidR="00381BAE">
        <w:rPr>
          <w:rFonts w:ascii="Times New Roman" w:hAnsi="Times New Roman" w:cs="Times New Roman"/>
        </w:rPr>
        <w:t xml:space="preserve">) in males (260 AL vs 244 eTRF, p=0.40) or in females (AL 188 vs eTRF 203, p=0.20). </w:t>
      </w:r>
      <w:r w:rsidR="003D4F95" w:rsidRPr="009D244A">
        <w:rPr>
          <w:rFonts w:ascii="Times New Roman" w:hAnsi="Times New Roman" w:cs="Times New Roman"/>
        </w:rPr>
        <w:t>During glucose tolerance testing</w:t>
      </w:r>
      <w:r w:rsidR="009F1671" w:rsidRPr="009D244A">
        <w:rPr>
          <w:rFonts w:ascii="Times New Roman" w:hAnsi="Times New Roman" w:cs="Times New Roman"/>
        </w:rPr>
        <w:t xml:space="preserve"> (</w:t>
      </w:r>
      <w:r w:rsidR="009F1671" w:rsidRPr="009D244A">
        <w:rPr>
          <w:rFonts w:ascii="Times New Roman" w:hAnsi="Times New Roman" w:cs="Times New Roman"/>
          <w:b/>
          <w:bCs/>
        </w:rPr>
        <w:t>Figure 3H</w:t>
      </w:r>
      <w:r w:rsidR="009F1671" w:rsidRPr="009D244A">
        <w:rPr>
          <w:rFonts w:ascii="Times New Roman" w:hAnsi="Times New Roman" w:cs="Times New Roman"/>
        </w:rPr>
        <w:t>)</w:t>
      </w:r>
      <w:r w:rsidR="003D4F95" w:rsidRPr="009D244A">
        <w:rPr>
          <w:rFonts w:ascii="Times New Roman" w:hAnsi="Times New Roman" w:cs="Times New Roman"/>
        </w:rPr>
        <w:t xml:space="preserve">, 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0.067 mg/dL higher glucose in eTRF compared to AL, 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0.016 mg/dL higher glucose per time point in AL vs eTRF, p=0.61</w:t>
      </w:r>
      <w:r w:rsidR="009D244A">
        <w:rPr>
          <w:rFonts w:ascii="Times New Roman" w:hAnsi="Times New Roman" w:cs="Times New Roman"/>
        </w:rPr>
        <w:t>)</w:t>
      </w:r>
      <w:r w:rsidR="008F7E7E">
        <w:rPr>
          <w:rFonts w:ascii="Times New Roman" w:hAnsi="Times New Roman" w:cs="Times New Roman"/>
        </w:rPr>
        <w:t xml:space="preserve">. </w:t>
      </w:r>
    </w:p>
    <w:p w14:paraId="794E7868" w14:textId="77777777" w:rsidR="00B81178" w:rsidRPr="0012467E" w:rsidRDefault="00B81178" w:rsidP="00616AD3">
      <w:pPr>
        <w:spacing w:line="480" w:lineRule="auto"/>
        <w:rPr>
          <w:rFonts w:ascii="Times New Roman" w:hAnsi="Times New Roman" w:cs="Times New Roman"/>
        </w:rPr>
      </w:pPr>
    </w:p>
    <w:p w14:paraId="0235414A" w14:textId="77777777" w:rsidR="009B4769" w:rsidRDefault="00616AD3" w:rsidP="00616AD3">
      <w:pPr>
        <w:spacing w:line="480" w:lineRule="auto"/>
        <w:rPr>
          <w:rFonts w:ascii="Times New Roman" w:hAnsi="Times New Roman" w:cs="Times New Roman"/>
          <w:b/>
          <w:bCs/>
        </w:rPr>
      </w:pPr>
      <w:r w:rsidRPr="00616AD3">
        <w:rPr>
          <w:rFonts w:ascii="Times New Roman" w:hAnsi="Times New Roman" w:cs="Times New Roman"/>
          <w:b/>
          <w:bCs/>
        </w:rPr>
        <w:br/>
        <w:t>Discussion</w:t>
      </w:r>
    </w:p>
    <w:p w14:paraId="501653A7" w14:textId="754AB41B" w:rsidR="009B4769" w:rsidRPr="003E6824" w:rsidRDefault="009B4769" w:rsidP="009B4769">
      <w:pPr>
        <w:spacing w:line="480" w:lineRule="auto"/>
        <w:rPr>
          <w:rFonts w:ascii="Times New Roman" w:hAnsi="Times New Roman" w:cs="Times New Roman"/>
        </w:rPr>
      </w:pPr>
      <w:r>
        <w:rPr>
          <w:rFonts w:ascii="Times New Roman" w:hAnsi="Times New Roman" w:cs="Times New Roman"/>
        </w:rPr>
        <w:t xml:space="preserve">To our knowledge, this is the first report off gestational time-restricted feeding effects on offspring in adulthood and after offspring high fat diet challenge. </w:t>
      </w:r>
      <w:r>
        <w:rPr>
          <w:rFonts w:ascii="Times New Roman" w:hAnsi="Times New Roman" w:cs="Times New Roman"/>
        </w:rPr>
        <w:t xml:space="preserve">Although this effect fails to reach statistical significance, there is a trend toward having higher blood glucose in the initial response to glucose administration and lower blood glucose in the initial response to insulin administration. </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lastRenderedPageBreak/>
        <w:br w:type="page"/>
      </w:r>
    </w:p>
    <w:p w14:paraId="4B95AFE6" w14:textId="11F7CE55" w:rsidR="00AA7C69" w:rsidRPr="00616AD3"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sectPr w:rsidR="00AA7C69"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3-31T11:19:00Z" w:initials="MC">
    <w:p w14:paraId="2469D028" w14:textId="23E580D5" w:rsidR="00F67AA8" w:rsidRDefault="00F67AA8">
      <w:pPr>
        <w:pStyle w:val="CommentText"/>
      </w:pPr>
      <w:r>
        <w:rPr>
          <w:rStyle w:val="CommentReference"/>
        </w:rPr>
        <w:annotationRef/>
      </w:r>
      <w:r w:rsidR="009F2C4F">
        <w:t>This is the total who had pups and were included in offspring paper</w:t>
      </w:r>
      <w:r>
        <w:t>.</w:t>
      </w:r>
    </w:p>
    <w:p w14:paraId="79064745" w14:textId="7571A8E8" w:rsidR="00F67AA8" w:rsidRDefault="00F67AA8">
      <w:pPr>
        <w:pStyle w:val="CommentText"/>
      </w:pPr>
    </w:p>
  </w:comment>
  <w:comment w:id="2" w:author="Molly Carter" w:date="2021-05-04T14:16:00Z" w:initials="MC">
    <w:p w14:paraId="5FD6C038" w14:textId="3E00FDA7" w:rsidR="006A5F43" w:rsidRDefault="006A5F43">
      <w:pPr>
        <w:pStyle w:val="CommentText"/>
      </w:pPr>
      <w:r>
        <w:rPr>
          <w:rStyle w:val="CommentReference"/>
        </w:rPr>
        <w:annotationRef/>
      </w:r>
      <w:r>
        <w:t>Since this is an interaction effect, I need to report both the individual and interaction effect sizes, right? This isn’t what I did because I forgot.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64745" w15:done="0"/>
  <w15:commentEx w15:paraId="5FD6C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938" w16cex:dateUtc="2021-03-31T15:19:00Z"/>
  <w16cex:commentExtensible w16cex:durableId="243BD5C1" w16cex:dateUtc="2021-05-04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64745" w16cid:durableId="240ED938"/>
  <w16cid:commentId w16cid:paraId="5FD6C038" w16cid:durableId="243BD5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01BC9" w14:textId="77777777" w:rsidR="00D258CC" w:rsidRDefault="00D258CC" w:rsidP="00616AD3">
      <w:r>
        <w:separator/>
      </w:r>
    </w:p>
  </w:endnote>
  <w:endnote w:type="continuationSeparator" w:id="0">
    <w:p w14:paraId="44710505" w14:textId="77777777" w:rsidR="00D258CC" w:rsidRDefault="00D258CC"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59768" w14:textId="77777777" w:rsidR="00D258CC" w:rsidRDefault="00D258CC" w:rsidP="00616AD3">
      <w:r>
        <w:separator/>
      </w:r>
    </w:p>
  </w:footnote>
  <w:footnote w:type="continuationSeparator" w:id="0">
    <w:p w14:paraId="4222D10F" w14:textId="77777777" w:rsidR="00D258CC" w:rsidRDefault="00D258CC"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lvlOverride w:ilvl="0">
      <w:lvl w:ilvl="0" w:tplc="D682E812">
        <w:numFmt w:val="lowerRoman"/>
        <w:lvlText w:val="%1."/>
        <w:lvlJc w:val="right"/>
      </w:lvl>
    </w:lvlOverride>
  </w:num>
  <w:num w:numId="5">
    <w:abstractNumId w:val="0"/>
    <w:lvlOverride w:ilvl="0">
      <w:lvl w:ilvl="0" w:tplc="D682E812">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36907"/>
    <w:rsid w:val="000D699C"/>
    <w:rsid w:val="0012467E"/>
    <w:rsid w:val="00186B53"/>
    <w:rsid w:val="001E1AE1"/>
    <w:rsid w:val="0020152D"/>
    <w:rsid w:val="00224B93"/>
    <w:rsid w:val="00252968"/>
    <w:rsid w:val="00261148"/>
    <w:rsid w:val="002A245A"/>
    <w:rsid w:val="002B0CAE"/>
    <w:rsid w:val="002C3310"/>
    <w:rsid w:val="002F1E4C"/>
    <w:rsid w:val="003320F3"/>
    <w:rsid w:val="00381BAE"/>
    <w:rsid w:val="003D4F95"/>
    <w:rsid w:val="003E6824"/>
    <w:rsid w:val="00400B04"/>
    <w:rsid w:val="00422824"/>
    <w:rsid w:val="004236D8"/>
    <w:rsid w:val="00427100"/>
    <w:rsid w:val="0044011B"/>
    <w:rsid w:val="004F4CDE"/>
    <w:rsid w:val="005210E9"/>
    <w:rsid w:val="00585A1D"/>
    <w:rsid w:val="0058691C"/>
    <w:rsid w:val="00587EB0"/>
    <w:rsid w:val="005F3188"/>
    <w:rsid w:val="00616AD3"/>
    <w:rsid w:val="006411B4"/>
    <w:rsid w:val="006A5F43"/>
    <w:rsid w:val="007316E8"/>
    <w:rsid w:val="00741FE3"/>
    <w:rsid w:val="007D0ECF"/>
    <w:rsid w:val="007D5A07"/>
    <w:rsid w:val="007E7F4E"/>
    <w:rsid w:val="008067A0"/>
    <w:rsid w:val="0081224E"/>
    <w:rsid w:val="00821A8C"/>
    <w:rsid w:val="008F7E7E"/>
    <w:rsid w:val="0091026A"/>
    <w:rsid w:val="0091397C"/>
    <w:rsid w:val="0097693C"/>
    <w:rsid w:val="009B30BD"/>
    <w:rsid w:val="009B4769"/>
    <w:rsid w:val="009D244A"/>
    <w:rsid w:val="009E39BE"/>
    <w:rsid w:val="009F1671"/>
    <w:rsid w:val="009F2C4F"/>
    <w:rsid w:val="00A17703"/>
    <w:rsid w:val="00A54B1D"/>
    <w:rsid w:val="00AE4DBC"/>
    <w:rsid w:val="00B81178"/>
    <w:rsid w:val="00BB2485"/>
    <w:rsid w:val="00BC41E1"/>
    <w:rsid w:val="00BE286E"/>
    <w:rsid w:val="00BE5A9B"/>
    <w:rsid w:val="00C04F83"/>
    <w:rsid w:val="00C17B6E"/>
    <w:rsid w:val="00C26F18"/>
    <w:rsid w:val="00C50439"/>
    <w:rsid w:val="00C6518A"/>
    <w:rsid w:val="00CD1DB4"/>
    <w:rsid w:val="00D258CC"/>
    <w:rsid w:val="00D623B9"/>
    <w:rsid w:val="00D86FB4"/>
    <w:rsid w:val="00DD02BD"/>
    <w:rsid w:val="00E33351"/>
    <w:rsid w:val="00E66CFA"/>
    <w:rsid w:val="00E72093"/>
    <w:rsid w:val="00E95781"/>
    <w:rsid w:val="00EF6E8B"/>
    <w:rsid w:val="00F67AA8"/>
    <w:rsid w:val="00F76BB3"/>
    <w:rsid w:val="00F93F96"/>
    <w:rsid w:val="00FA1922"/>
    <w:rsid w:val="00FC6212"/>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43</cp:revision>
  <dcterms:created xsi:type="dcterms:W3CDTF">2021-01-25T20:24:00Z</dcterms:created>
  <dcterms:modified xsi:type="dcterms:W3CDTF">2021-05-06T18:11:00Z</dcterms:modified>
</cp:coreProperties>
</file>