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w:t>
      </w:r>
      <w:proofErr w:type="spellStart"/>
      <w:r>
        <w:rPr>
          <w:rFonts w:ascii="Times New Roman" w:hAnsi="Times New Roman" w:cs="Times New Roman"/>
        </w:rPr>
        <w:t>eTRF</w:t>
      </w:r>
      <w:proofErr w:type="spellEnd"/>
      <w:r>
        <w:rPr>
          <w:rFonts w:ascii="Times New Roman" w:hAnsi="Times New Roman" w:cs="Times New Roman"/>
        </w:rPr>
        <w:t xml:space="preserve">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F36BB">
        <w:rPr>
          <w:rFonts w:ascii="Times New Roman" w:hAnsi="Times New Roman" w:cs="Times New Roman"/>
          <w:b/>
          <w:bCs/>
          <w:highlight w:val="yellow"/>
        </w:rPr>
        <w:t xml:space="preserve">Word Count: </w:t>
      </w:r>
      <w:r w:rsidRPr="000F36BB">
        <w:rPr>
          <w:rFonts w:ascii="Times New Roman" w:hAnsi="Times New Roman" w:cs="Times New Roman"/>
          <w:highlight w:val="yellow"/>
        </w:rPr>
        <w:t>3907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w:t>
      </w:r>
      <w:proofErr w:type="spellStart"/>
      <w:r w:rsidR="00057EDA" w:rsidRPr="00E62980">
        <w:rPr>
          <w:rFonts w:ascii="Times New Roman" w:hAnsi="Times New Roman" w:cs="Times New Roman"/>
        </w:rPr>
        <w:t>eTRF</w:t>
      </w:r>
      <w:proofErr w:type="spellEnd"/>
      <w:r w:rsidR="00057EDA" w:rsidRPr="00E62980">
        <w:rPr>
          <w:rFonts w:ascii="Times New Roman" w:hAnsi="Times New Roman" w:cs="Times New Roman"/>
        </w:rPr>
        <w:t>)</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 xml:space="preserve">with minor increases in food intake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xml:space="preserve">,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w:t>
      </w:r>
      <w:proofErr w:type="spellStart"/>
      <w:r w:rsidR="005E7F8B" w:rsidRPr="00E62980">
        <w:rPr>
          <w:rFonts w:ascii="Times New Roman" w:hAnsi="Times New Roman" w:cs="Times New Roman"/>
          <w:color w:val="000000" w:themeColor="text1"/>
        </w:rPr>
        <w:t>eTRF</w:t>
      </w:r>
      <w:proofErr w:type="spellEnd"/>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proofErr w:type="spellStart"/>
      <w:r w:rsidR="002A7975" w:rsidRPr="00E62980">
        <w:rPr>
          <w:rFonts w:ascii="Times New Roman" w:hAnsi="Times New Roman" w:cs="Times New Roman"/>
        </w:rPr>
        <w:t>chronodisruptio</w:t>
      </w:r>
      <w:r w:rsidR="00850DA2">
        <w:rPr>
          <w:rFonts w:ascii="Times New Roman" w:hAnsi="Times New Roman" w:cs="Times New Roman"/>
        </w:rPr>
        <w:t>n</w:t>
      </w:r>
      <w:proofErr w:type="spellEnd"/>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605D03E" w14:textId="064E15DA" w:rsidR="00A74266" w:rsidRPr="00E62980" w:rsidRDefault="00A74266" w:rsidP="00A74266">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 xml:space="preserve">male and female adult offspring with </w:t>
      </w:r>
      <w:proofErr w:type="spellStart"/>
      <w:r>
        <w:rPr>
          <w:rFonts w:ascii="Times New Roman" w:hAnsi="Times New Roman" w:cs="Times New Roman"/>
        </w:rPr>
        <w:t>chronodisruption</w:t>
      </w:r>
      <w:proofErr w:type="spellEnd"/>
      <w:r>
        <w:rPr>
          <w:rFonts w:ascii="Times New Roman" w:hAnsi="Times New Roman" w:cs="Times New Roman"/>
        </w:rPr>
        <w:t xml:space="preserve"> despite no differences in body weight or litter size</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48ECB56C" w14:textId="77777777" w:rsidR="00A74266" w:rsidRDefault="00A74266" w:rsidP="003B7482">
      <w:pPr>
        <w:spacing w:line="480" w:lineRule="auto"/>
        <w:ind w:firstLine="720"/>
        <w:rPr>
          <w:rFonts w:ascii="Times New Roman" w:hAnsi="Times New Roman" w:cs="Times New Roman"/>
        </w:rPr>
      </w:pP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w:t>
      </w:r>
      <w:proofErr w:type="spellStart"/>
      <w:r w:rsidR="00A963CD">
        <w:rPr>
          <w:rFonts w:ascii="Times New Roman" w:hAnsi="Times New Roman" w:cs="Times New Roman"/>
        </w:rPr>
        <w:t>eTRF</w:t>
      </w:r>
      <w:proofErr w:type="spellEnd"/>
      <w:r w:rsidR="00A963CD">
        <w:rPr>
          <w:rFonts w:ascii="Times New Roman" w:hAnsi="Times New Roman" w:cs="Times New Roman"/>
        </w:rPr>
        <w:t xml:space="preserve"> exposed offspring unexamined. </w:t>
      </w:r>
    </w:p>
    <w:p w14:paraId="4F625DA6" w14:textId="6AE83C33"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m0ta1m75e","properties":{"formattedCitation":"(21\\uc0\\u8211{}24)","plainCitation":"(21–24)","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(21–24)</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{"citationID":"a2iv8pf8rdc","properties":{"formattedCitation":"(25\\uc0\\u8211{}27)","plainCitation":"(25–27)","noteIndex":0},"citationItems":[{"id":95,"uris":["http://zotero.org/users/5073745/items/FG9B25RM"],"itemData":{"id":95,"type":"article-journal","abstract":"This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(25–27)</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xml:space="preserve">, control of caloric intake </w:t>
      </w:r>
      <w:proofErr w:type="spellStart"/>
      <w:r w:rsidRPr="00E62980">
        <w:rPr>
          <w:rFonts w:ascii="Times New Roman" w:hAnsi="Times New Roman" w:cs="Times New Roman"/>
        </w:rPr>
        <w:t>isocaloric</w:t>
      </w:r>
      <w:proofErr w:type="spellEnd"/>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68E6A95D"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w:t>
      </w:r>
      <w:r w:rsidR="00A05188">
        <w:rPr>
          <w:rFonts w:ascii="Times New Roman" w:hAnsi="Times New Roman" w:cs="Times New Roman"/>
        </w:rPr>
        <w:lastRenderedPageBreak/>
        <w:t>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w:t>
      </w:r>
      <w:proofErr w:type="gramStart"/>
      <w:r w:rsidR="006D4D25" w:rsidRPr="00E62980">
        <w:rPr>
          <w:rFonts w:ascii="Times New Roman" w:hAnsi="Times New Roman" w:cs="Times New Roman"/>
        </w:rPr>
        <w:t>feeding(</w:t>
      </w:r>
      <w:proofErr w:type="gramEnd"/>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r w:rsidR="009E39BE" w:rsidRPr="00E62980">
        <w:rPr>
          <w:rFonts w:ascii="Times New Roman" w:hAnsi="Times New Roman" w:cs="Times New Roman"/>
        </w:rPr>
        <w:lastRenderedPageBreak/>
        <w:t>(</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males = 11,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uring 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4</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w:t>
      </w:r>
      <w:r w:rsidRPr="00E62980">
        <w:rPr>
          <w:rFonts w:ascii="Times New Roman" w:hAnsi="Times New Roman" w:cs="Times New Roman"/>
        </w:rPr>
        <w:lastRenderedPageBreak/>
        <w:t xml:space="preserve">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males = </w:t>
      </w:r>
      <w:r w:rsidR="00612C2D">
        <w:rPr>
          <w:rFonts w:ascii="Times New Roman" w:hAnsi="Times New Roman" w:cs="Times New Roman"/>
        </w:rPr>
        <w:t>4</w:t>
      </w:r>
      <w:r w:rsidR="00612C2D" w:rsidRPr="00E62980">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 xml:space="preserve">commercially available ELISA </w:t>
      </w:r>
      <w:r w:rsidR="002F5EC0" w:rsidRPr="00E62980">
        <w:rPr>
          <w:rFonts w:ascii="Times New Roman" w:hAnsi="Times New Roman" w:cs="Times New Roman"/>
        </w:rPr>
        <w:lastRenderedPageBreak/>
        <w:t>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6496967B"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0"/>
      <w:commentRangeStart w:id="1"/>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commentRangeEnd w:id="0"/>
      <w:r w:rsidR="00552B1B">
        <w:rPr>
          <w:rStyle w:val="CommentReference"/>
        </w:rPr>
        <w:commentReference w:id="0"/>
      </w:r>
      <w:commentRangeEnd w:id="1"/>
      <w:r w:rsidR="0066559F">
        <w:rPr>
          <w:rStyle w:val="CommentReference"/>
        </w:rPr>
        <w:commentReference w:id="1"/>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w:t>
      </w:r>
      <w:proofErr w:type="spellStart"/>
      <w:r w:rsidR="00C04F83" w:rsidRPr="00E62980">
        <w:rPr>
          <w:rFonts w:ascii="Times New Roman" w:hAnsi="Times New Roman" w:cs="Times New Roman"/>
        </w:rPr>
        <w:t>Levene’s</w:t>
      </w:r>
      <w:proofErr w:type="spellEnd"/>
      <w:r w:rsidR="00C04F83" w:rsidRPr="00E62980">
        <w:rPr>
          <w:rFonts w:ascii="Times New Roman" w:hAnsi="Times New Roman" w:cs="Times New Roman"/>
        </w:rPr>
        <w:t xml:space="preserve">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proofErr w:type="spellStart"/>
      <w:r w:rsidR="004F4CDE" w:rsidRPr="00E62980">
        <w:t>eTRF</w:t>
      </w:r>
      <w:proofErr w:type="spellEnd"/>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early time restricted feeding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w:t>
      </w:r>
      <w:proofErr w:type="spellStart"/>
      <w:r w:rsidR="007C7BC9" w:rsidRPr="00E62980">
        <w:rPr>
          <w:rFonts w:ascii="Times New Roman" w:hAnsi="Times New Roman" w:cs="Times New Roman"/>
        </w:rPr>
        <w:t>eTRF</w:t>
      </w:r>
      <w:proofErr w:type="spellEnd"/>
      <w:r w:rsidR="007C7BC9" w:rsidRPr="00E62980">
        <w:rPr>
          <w:rFonts w:ascii="Times New Roman" w:hAnsi="Times New Roman" w:cs="Times New Roman"/>
        </w:rPr>
        <w:t>)</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w:t>
      </w:r>
      <w:r w:rsidR="00023443" w:rsidRPr="00E62980">
        <w:rPr>
          <w:rFonts w:ascii="Times New Roman" w:hAnsi="Times New Roman" w:cs="Times New Roman"/>
        </w:rPr>
        <w:lastRenderedPageBreak/>
        <w:t xml:space="preserve">more translationally relevant to human dietary restriction. </w:t>
      </w:r>
      <w:r w:rsidRPr="00E62980">
        <w:rPr>
          <w:rFonts w:ascii="Times New Roman" w:hAnsi="Times New Roman" w:cs="Times New Roman"/>
        </w:rPr>
        <w:t xml:space="preserve">This treatment started a week before 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w:t>
      </w:r>
      <w:proofErr w:type="spellStart"/>
      <w:r w:rsidR="00DE0478" w:rsidRPr="00E62980">
        <w:rPr>
          <w:rFonts w:ascii="Times New Roman" w:hAnsi="Times New Roman" w:cs="Times New Roman"/>
        </w:rPr>
        <w:t>eTRF</w:t>
      </w:r>
      <w:proofErr w:type="spellEnd"/>
      <w:r w:rsidR="00DE0478" w:rsidRPr="00E62980">
        <w:rPr>
          <w:rFonts w:ascii="Times New Roman" w:hAnsi="Times New Roman" w:cs="Times New Roman"/>
        </w:rPr>
        <w:t xml:space="preserve">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proofErr w:type="spellStart"/>
      <w:r w:rsidR="00023443" w:rsidRPr="00E62980">
        <w:rPr>
          <w:rFonts w:ascii="Times New Roman" w:hAnsi="Times New Roman" w:cs="Times New Roman"/>
        </w:rPr>
        <w:t>eTRF</w:t>
      </w:r>
      <w:proofErr w:type="spellEnd"/>
      <w:r w:rsidR="00023443" w:rsidRPr="00E62980">
        <w:rPr>
          <w:rFonts w:ascii="Times New Roman" w:hAnsi="Times New Roman" w:cs="Times New Roman"/>
        </w:rPr>
        <w:t xml:space="preserve">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females than AL females and 10%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 xml:space="preserve">resulted in a 12% reduced feeding efficiency in </w:t>
      </w:r>
      <w:proofErr w:type="spellStart"/>
      <w:r w:rsidR="00532133" w:rsidRPr="00E62980">
        <w:rPr>
          <w:rFonts w:ascii="Times New Roman" w:hAnsi="Times New Roman" w:cs="Times New Roman"/>
        </w:rPr>
        <w:t>eTRF</w:t>
      </w:r>
      <w:proofErr w:type="spellEnd"/>
      <w:r w:rsidR="00532133" w:rsidRPr="00E62980">
        <w:rPr>
          <w:rFonts w:ascii="Times New Roman" w:hAnsi="Times New Roman" w:cs="Times New Roman"/>
        </w:rPr>
        <w:t xml:space="preserve">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 xml:space="preserve">Gestational </w:t>
      </w:r>
      <w:proofErr w:type="spellStart"/>
      <w:r w:rsidRPr="00E62980">
        <w:t>eTRF</w:t>
      </w:r>
      <w:proofErr w:type="spellEnd"/>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w:t>
      </w:r>
      <w:proofErr w:type="spellStart"/>
      <w:r w:rsidR="00532133" w:rsidRPr="00E62980">
        <w:rPr>
          <w:rFonts w:ascii="Times New Roman" w:hAnsi="Times New Roman" w:cs="Times New Roman"/>
        </w:rPr>
        <w:t>dL</w:t>
      </w:r>
      <w:proofErr w:type="spellEnd"/>
      <w:r w:rsidR="00532133" w:rsidRPr="00E62980">
        <w:rPr>
          <w:rFonts w:ascii="Times New Roman" w:hAnsi="Times New Roman" w:cs="Times New Roman"/>
        </w:rPr>
        <w:t xml:space="preserve">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w:t>
      </w:r>
      <w:proofErr w:type="spellStart"/>
      <w:r w:rsidR="00532133" w:rsidRPr="00E62980">
        <w:rPr>
          <w:rFonts w:ascii="Times New Roman" w:hAnsi="Times New Roman" w:cs="Times New Roman"/>
          <w:color w:val="000000" w:themeColor="text1"/>
        </w:rPr>
        <w:t>eTRF</w:t>
      </w:r>
      <w:proofErr w:type="spellEnd"/>
      <w:r w:rsidR="00532133" w:rsidRPr="00E62980">
        <w:rPr>
          <w:rFonts w:ascii="Times New Roman" w:hAnsi="Times New Roman" w:cs="Times New Roman"/>
          <w:color w:val="000000" w:themeColor="text1"/>
        </w:rPr>
        <w:t xml:space="preserve"> offspring had lower AUC </w:t>
      </w:r>
      <w:r w:rsidR="00532133" w:rsidRPr="00E62980">
        <w:rPr>
          <w:rFonts w:ascii="Times New Roman" w:hAnsi="Times New Roman" w:cs="Times New Roman"/>
          <w:color w:val="000000" w:themeColor="text1"/>
        </w:rPr>
        <w:lastRenderedPageBreak/>
        <w:t>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has very a mild effect on adult offspring, despite the narrow feeding window. Offspring whose mothers were fed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w:t>
      </w:r>
      <w:proofErr w:type="spellStart"/>
      <w:r w:rsidR="008A4945" w:rsidRPr="00E62980">
        <w:t>eTRF</w:t>
      </w:r>
      <w:proofErr w:type="spellEnd"/>
      <w:r w:rsidR="008A4945" w:rsidRPr="00E62980">
        <w:t xml:space="preserve">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w:t>
      </w:r>
      <w:r w:rsidR="00083DF4" w:rsidRPr="00E62980">
        <w:rPr>
          <w:rFonts w:ascii="Times New Roman" w:hAnsi="Times New Roman" w:cs="Times New Roman"/>
        </w:rPr>
        <w:lastRenderedPageBreak/>
        <w:t xml:space="preserve">67.6% in AL offspring and by 31.8% in </w:t>
      </w:r>
      <w:proofErr w:type="spellStart"/>
      <w:r w:rsidR="00083DF4" w:rsidRPr="00E62980">
        <w:rPr>
          <w:rFonts w:ascii="Times New Roman" w:hAnsi="Times New Roman" w:cs="Times New Roman"/>
        </w:rPr>
        <w:t>eTRF</w:t>
      </w:r>
      <w:proofErr w:type="spellEnd"/>
      <w:r w:rsidR="00083DF4" w:rsidRPr="00E62980">
        <w:rPr>
          <w:rFonts w:ascii="Times New Roman" w:hAnsi="Times New Roman" w:cs="Times New Roman"/>
        </w:rPr>
        <w:t xml:space="preserve">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w:t>
      </w:r>
      <w:proofErr w:type="spellStart"/>
      <w:r w:rsidR="00136244" w:rsidRPr="00E62980">
        <w:rPr>
          <w:rFonts w:ascii="Times New Roman" w:hAnsi="Times New Roman" w:cs="Times New Roman"/>
        </w:rPr>
        <w:t>eTRF</w:t>
      </w:r>
      <w:proofErr w:type="spellEnd"/>
      <w:r w:rsidR="00136244" w:rsidRPr="00E62980">
        <w:rPr>
          <w:rFonts w:ascii="Times New Roman" w:hAnsi="Times New Roman" w:cs="Times New Roman"/>
        </w:rPr>
        <w:t xml:space="preserve">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w:t>
      </w:r>
      <w:proofErr w:type="spellStart"/>
      <w:r w:rsidR="00252968" w:rsidRPr="00E62980">
        <w:rPr>
          <w:rFonts w:ascii="Times New Roman" w:hAnsi="Times New Roman" w:cs="Times New Roman"/>
        </w:rPr>
        <w:t>eTRF</w:t>
      </w:r>
      <w:proofErr w:type="spellEnd"/>
      <w:r w:rsidR="00252968" w:rsidRPr="00E62980">
        <w:rPr>
          <w:rFonts w:ascii="Times New Roman" w:hAnsi="Times New Roman" w:cs="Times New Roman"/>
        </w:rPr>
        <w:t xml:space="preserve">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 xml:space="preserve">indistinguishable between </w:t>
      </w:r>
      <w:proofErr w:type="spellStart"/>
      <w:r w:rsidR="00B215B1" w:rsidRPr="00E62980">
        <w:rPr>
          <w:rFonts w:ascii="Times New Roman" w:hAnsi="Times New Roman" w:cs="Times New Roman"/>
        </w:rPr>
        <w:t>eTRF</w:t>
      </w:r>
      <w:proofErr w:type="spellEnd"/>
      <w:r w:rsidR="00B215B1" w:rsidRPr="00E62980">
        <w:rPr>
          <w:rFonts w:ascii="Times New Roman" w:hAnsi="Times New Roman" w:cs="Times New Roman"/>
        </w:rPr>
        <w:t xml:space="preserve">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w:t>
      </w:r>
      <w:proofErr w:type="spellStart"/>
      <w:r w:rsidR="007872A5" w:rsidRPr="00E62980">
        <w:rPr>
          <w:rFonts w:ascii="Times New Roman" w:hAnsi="Times New Roman" w:cs="Times New Roman"/>
        </w:rPr>
        <w:t>eTRF</w:t>
      </w:r>
      <w:proofErr w:type="spellEnd"/>
      <w:r w:rsidR="007872A5" w:rsidRPr="00E62980">
        <w:rPr>
          <w:rFonts w:ascii="Times New Roman" w:hAnsi="Times New Roman" w:cs="Times New Roman"/>
        </w:rPr>
        <w:t xml:space="preserve">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proofErr w:type="spellStart"/>
      <w:r w:rsidR="00FF7F2E" w:rsidRPr="00E62980">
        <w:rPr>
          <w:rFonts w:ascii="Times New Roman" w:hAnsi="Times New Roman" w:cs="Times New Roman"/>
        </w:rPr>
        <w:t>eTRF</w:t>
      </w:r>
      <w:proofErr w:type="spellEnd"/>
      <w:r w:rsidR="00FF7F2E" w:rsidRPr="00E62980">
        <w:rPr>
          <w:rFonts w:ascii="Times New Roman" w:hAnsi="Times New Roman" w:cs="Times New Roman"/>
        </w:rPr>
        <w:t xml:space="preserve">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 xml:space="preserve">differences between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lastRenderedPageBreak/>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w:t>
      </w:r>
      <w:proofErr w:type="spellStart"/>
      <w:r w:rsidR="00552A5B" w:rsidRPr="00E62980">
        <w:rPr>
          <w:rFonts w:ascii="Times New Roman" w:hAnsi="Times New Roman" w:cs="Times New Roman"/>
        </w:rPr>
        <w:t>eTRF</w:t>
      </w:r>
      <w:proofErr w:type="spellEnd"/>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53mg/</w:t>
      </w:r>
      <w:proofErr w:type="spellStart"/>
      <w:r w:rsidR="00CA2887" w:rsidRPr="00E62980">
        <w:rPr>
          <w:rFonts w:ascii="Times New Roman" w:hAnsi="Times New Roman" w:cs="Times New Roman"/>
        </w:rPr>
        <w:t>dL</w:t>
      </w:r>
      <w:proofErr w:type="spellEnd"/>
      <w:r w:rsidR="00CA2887" w:rsidRPr="00E62980">
        <w:rPr>
          <w:rFonts w:ascii="Times New Roman" w:hAnsi="Times New Roman" w:cs="Times New Roman"/>
        </w:rPr>
        <w:t xml:space="preserve">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proofErr w:type="spellStart"/>
      <w:r w:rsidR="00CA2887" w:rsidRPr="00E62980">
        <w:rPr>
          <w:rFonts w:ascii="Times New Roman" w:hAnsi="Times New Roman" w:cs="Times New Roman"/>
        </w:rPr>
        <w:t>eTRF</w:t>
      </w:r>
      <w:proofErr w:type="spellEnd"/>
      <w:r w:rsidR="00CA2887" w:rsidRPr="00E62980">
        <w:rPr>
          <w:rFonts w:ascii="Times New Roman" w:hAnsi="Times New Roman" w:cs="Times New Roman"/>
        </w:rPr>
        <w:t xml:space="preserve">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w:t>
      </w:r>
      <w:proofErr w:type="spellStart"/>
      <w:r w:rsidR="009A784F" w:rsidRPr="00E62980">
        <w:rPr>
          <w:rFonts w:ascii="Times New Roman" w:hAnsi="Times New Roman" w:cs="Times New Roman"/>
        </w:rPr>
        <w:t>eTRF</w:t>
      </w:r>
      <w:proofErr w:type="spellEnd"/>
      <w:r w:rsidR="009A784F" w:rsidRPr="00E62980">
        <w:rPr>
          <w:rFonts w:ascii="Times New Roman" w:hAnsi="Times New Roman" w:cs="Times New Roman"/>
        </w:rPr>
        <w:t xml:space="preserve">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w:t>
      </w:r>
      <w:proofErr w:type="spellStart"/>
      <w:r w:rsidR="00B24853" w:rsidRPr="00E62980">
        <w:rPr>
          <w:rFonts w:ascii="Times New Roman" w:hAnsi="Times New Roman" w:cs="Times New Roman"/>
        </w:rPr>
        <w:t>eTRF</w:t>
      </w:r>
      <w:proofErr w:type="spellEnd"/>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 xml:space="preserve">Male and female offspring of </w:t>
      </w:r>
      <w:proofErr w:type="spellStart"/>
      <w:r w:rsidR="00A56228" w:rsidRPr="00E62980">
        <w:rPr>
          <w:rFonts w:ascii="Times New Roman" w:hAnsi="Times New Roman" w:cs="Times New Roman"/>
        </w:rPr>
        <w:t>eTRF</w:t>
      </w:r>
      <w:proofErr w:type="spellEnd"/>
      <w:r w:rsidR="00A56228" w:rsidRPr="00E62980">
        <w:rPr>
          <w:rFonts w:ascii="Times New Roman" w:hAnsi="Times New Roman" w:cs="Times New Roman"/>
        </w:rPr>
        <w:t xml:space="preserve"> dams had lower baseline insulin values compared to AL dams</w:t>
      </w:r>
      <w:r w:rsidR="006B58D5" w:rsidRPr="00E62980">
        <w:rPr>
          <w:rFonts w:ascii="Times New Roman" w:hAnsi="Times New Roman" w:cs="Times New Roman"/>
        </w:rPr>
        <w:t xml:space="preserve">, which we believe resulted in the similarity of fold change insulin secretion between maternal </w:t>
      </w:r>
      <w:r w:rsidR="006B58D5" w:rsidRPr="00E62980">
        <w:rPr>
          <w:rFonts w:ascii="Times New Roman" w:hAnsi="Times New Roman" w:cs="Times New Roman"/>
        </w:rPr>
        <w:lastRenderedPageBreak/>
        <w:t>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proofErr w:type="spellStart"/>
      <w:r w:rsidR="009555E3" w:rsidRPr="00E62980">
        <w:rPr>
          <w:rFonts w:ascii="Times New Roman" w:hAnsi="Times New Roman" w:cs="Times New Roman"/>
        </w:rPr>
        <w:t>eTRF</w:t>
      </w:r>
      <w:proofErr w:type="spellEnd"/>
      <w:r w:rsidR="009555E3" w:rsidRPr="00E62980">
        <w:rPr>
          <w:rFonts w:ascii="Times New Roman" w:hAnsi="Times New Roman" w:cs="Times New Roman"/>
        </w:rPr>
        <w:t xml:space="preserve">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w:t>
      </w:r>
      <w:proofErr w:type="spellStart"/>
      <w:r w:rsidR="00346787" w:rsidRPr="00E62980">
        <w:rPr>
          <w:rFonts w:ascii="Times New Roman" w:hAnsi="Times New Roman" w:cs="Times New Roman"/>
        </w:rPr>
        <w:t>eTRF</w:t>
      </w:r>
      <w:proofErr w:type="spellEnd"/>
      <w:r w:rsidR="00346787" w:rsidRPr="00E62980">
        <w:rPr>
          <w:rFonts w:ascii="Times New Roman" w:hAnsi="Times New Roman" w:cs="Times New Roman"/>
        </w:rPr>
        <w:t xml:space="preserve">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 xml:space="preserve">in insulin secretion between </w:t>
      </w:r>
      <w:proofErr w:type="spellStart"/>
      <w:r w:rsidR="008915FC" w:rsidRPr="00E62980">
        <w:rPr>
          <w:rFonts w:ascii="Times New Roman" w:hAnsi="Times New Roman" w:cs="Times New Roman"/>
        </w:rPr>
        <w:t>eTRF</w:t>
      </w:r>
      <w:proofErr w:type="spellEnd"/>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w:t>
      </w:r>
      <w:proofErr w:type="spellStart"/>
      <w:r w:rsidR="001245B2" w:rsidRPr="00E62980">
        <w:rPr>
          <w:rFonts w:ascii="Times New Roman" w:hAnsi="Times New Roman" w:cs="Times New Roman"/>
        </w:rPr>
        <w:t>eTRF</w:t>
      </w:r>
      <w:proofErr w:type="spellEnd"/>
      <w:r w:rsidR="001245B2" w:rsidRPr="00E62980">
        <w:rPr>
          <w:rFonts w:ascii="Times New Roman" w:hAnsi="Times New Roman" w:cs="Times New Roman"/>
        </w:rPr>
        <w:t xml:space="preserve">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lastRenderedPageBreak/>
        <w:t xml:space="preserve">Other studies that focus on lighting manipulations during gestation highlight similar effects among adult offspring. Perinatal exposure to </w:t>
      </w:r>
      <w:proofErr w:type="spellStart"/>
      <w:r>
        <w:rPr>
          <w:rFonts w:ascii="Times New Roman" w:hAnsi="Times New Roman" w:cs="Times New Roman"/>
        </w:rPr>
        <w:t>chronodisruption</w:t>
      </w:r>
      <w:proofErr w:type="spellEnd"/>
      <w:r>
        <w:rPr>
          <w:rFonts w:ascii="Times New Roman" w:hAnsi="Times New Roman" w:cs="Times New Roman"/>
        </w:rPr>
        <w:t xml:space="preserve">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w:t>
      </w:r>
      <w:proofErr w:type="spellStart"/>
      <w:r w:rsidR="00227266" w:rsidRPr="00E62980">
        <w:rPr>
          <w:rFonts w:ascii="Times New Roman" w:hAnsi="Times New Roman" w:cs="Times New Roman"/>
        </w:rPr>
        <w:t>eTRF</w:t>
      </w:r>
      <w:proofErr w:type="spellEnd"/>
      <w:r w:rsidR="00227266" w:rsidRPr="00E62980">
        <w:rPr>
          <w:rFonts w:ascii="Times New Roman" w:hAnsi="Times New Roman" w:cs="Times New Roman"/>
        </w:rPr>
        <w:t xml:space="preserve">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w:t>
      </w:r>
      <w:proofErr w:type="spellStart"/>
      <w:r w:rsidR="009D039A" w:rsidRPr="00E62980">
        <w:rPr>
          <w:rFonts w:ascii="Times New Roman" w:hAnsi="Times New Roman" w:cs="Times New Roman"/>
        </w:rPr>
        <w:t>eTRF</w:t>
      </w:r>
      <w:proofErr w:type="spellEnd"/>
      <w:r w:rsidR="009D039A" w:rsidRPr="00E62980">
        <w:rPr>
          <w:rFonts w:ascii="Times New Roman" w:hAnsi="Times New Roman" w:cs="Times New Roman"/>
        </w:rPr>
        <w:t xml:space="preserve">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w:t>
      </w:r>
      <w:proofErr w:type="spellStart"/>
      <w:r w:rsidR="00761E49" w:rsidRPr="00E62980">
        <w:rPr>
          <w:rFonts w:ascii="Times New Roman" w:hAnsi="Times New Roman" w:cs="Times New Roman"/>
        </w:rPr>
        <w:t>eTRF</w:t>
      </w:r>
      <w:proofErr w:type="spellEnd"/>
      <w:r w:rsidR="00761E49" w:rsidRPr="00E62980">
        <w:rPr>
          <w:rFonts w:ascii="Times New Roman" w:hAnsi="Times New Roman" w:cs="Times New Roman"/>
        </w:rPr>
        <w:t xml:space="preserve">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w:t>
      </w:r>
      <w:r w:rsidR="00A31A7B" w:rsidRPr="00E62980">
        <w:rPr>
          <w:rFonts w:ascii="Times New Roman" w:hAnsi="Times New Roman" w:cs="Times New Roman"/>
        </w:rPr>
        <w:lastRenderedPageBreak/>
        <w:t xml:space="preserve">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w:t>
      </w:r>
      <w:proofErr w:type="spellStart"/>
      <w:r w:rsidR="00D10EF6">
        <w:rPr>
          <w:rFonts w:ascii="Times New Roman" w:hAnsi="Times New Roman" w:cs="Times New Roman"/>
        </w:rPr>
        <w:t>chronodisruption</w:t>
      </w:r>
      <w:proofErr w:type="spellEnd"/>
      <w:r w:rsidR="00D10EF6">
        <w:rPr>
          <w:rFonts w:ascii="Times New Roman" w:hAnsi="Times New Roman" w:cs="Times New Roman"/>
        </w:rPr>
        <w:t xml:space="preserve">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w:t>
      </w:r>
      <w:proofErr w:type="spellStart"/>
      <w:r w:rsidR="002C3E61" w:rsidRPr="00E62980">
        <w:rPr>
          <w:rFonts w:ascii="Times New Roman" w:hAnsi="Times New Roman" w:cs="Times New Roman"/>
        </w:rPr>
        <w:t>eTRF</w:t>
      </w:r>
      <w:proofErr w:type="spellEnd"/>
      <w:r w:rsidR="002C3E61" w:rsidRPr="00E62980">
        <w:rPr>
          <w:rFonts w:ascii="Times New Roman" w:hAnsi="Times New Roman" w:cs="Times New Roman"/>
        </w:rPr>
        <w:t xml:space="preserve">.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w:t>
      </w:r>
      <w:proofErr w:type="spellStart"/>
      <w:r w:rsidR="00B636F5" w:rsidRPr="00E62980">
        <w:rPr>
          <w:rFonts w:ascii="Times New Roman" w:hAnsi="Times New Roman" w:cs="Times New Roman"/>
        </w:rPr>
        <w:t>eTRF</w:t>
      </w:r>
      <w:proofErr w:type="spellEnd"/>
      <w:r w:rsidR="00B636F5" w:rsidRPr="00E62980">
        <w:rPr>
          <w:rFonts w:ascii="Times New Roman" w:hAnsi="Times New Roman" w:cs="Times New Roman"/>
        </w:rPr>
        <w:t xml:space="preserve">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w:t>
      </w:r>
      <w:proofErr w:type="spellStart"/>
      <w:r w:rsidR="00BE410B">
        <w:rPr>
          <w:rFonts w:ascii="Times New Roman" w:hAnsi="Times New Roman" w:cs="Times New Roman"/>
        </w:rPr>
        <w:t>eTRF</w:t>
      </w:r>
      <w:proofErr w:type="spellEnd"/>
      <w:r w:rsidR="00BE410B">
        <w:rPr>
          <w:rFonts w:ascii="Times New Roman" w:hAnsi="Times New Roman" w:cs="Times New Roman"/>
        </w:rPr>
        <w:t xml:space="preserve">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w:t>
      </w:r>
      <w:proofErr w:type="spellStart"/>
      <w:r w:rsidR="00C4248E">
        <w:rPr>
          <w:rFonts w:ascii="Times New Roman" w:hAnsi="Times New Roman" w:cs="Times New Roman"/>
        </w:rPr>
        <w:t>chronodisruption</w:t>
      </w:r>
      <w:proofErr w:type="spellEnd"/>
      <w:r w:rsidR="00C4248E">
        <w:rPr>
          <w:rFonts w:ascii="Times New Roman" w:hAnsi="Times New Roman" w:cs="Times New Roman"/>
        </w:rPr>
        <w:t xml:space="preserve"> during pregnancy </w:t>
      </w:r>
      <w:r w:rsidR="00C4248E">
        <w:rPr>
          <w:rFonts w:ascii="Times New Roman" w:hAnsi="Times New Roman" w:cs="Times New Roman"/>
        </w:rPr>
        <w:lastRenderedPageBreak/>
        <w:t xml:space="preserve">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 xml:space="preserve">gestational </w:t>
      </w:r>
      <w:proofErr w:type="spellStart"/>
      <w:r w:rsidR="00761709" w:rsidRPr="00E62980">
        <w:rPr>
          <w:rFonts w:ascii="Times New Roman" w:hAnsi="Times New Roman" w:cs="Times New Roman"/>
        </w:rPr>
        <w:t>eTRF</w:t>
      </w:r>
      <w:proofErr w:type="spellEnd"/>
      <w:r w:rsidR="00761709" w:rsidRPr="00E62980">
        <w:rPr>
          <w:rFonts w:ascii="Times New Roman" w:hAnsi="Times New Roman" w:cs="Times New Roman"/>
        </w:rPr>
        <w:t xml:space="preserve">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w:t>
      </w:r>
      <w:proofErr w:type="spellStart"/>
      <w:r w:rsidR="000E7158" w:rsidRPr="00E62980">
        <w:rPr>
          <w:rFonts w:ascii="Times New Roman" w:hAnsi="Times New Roman" w:cs="Times New Roman"/>
        </w:rPr>
        <w:t>eTRF</w:t>
      </w:r>
      <w:proofErr w:type="spellEnd"/>
      <w:r w:rsidR="000E7158" w:rsidRPr="00E62980">
        <w:rPr>
          <w:rFonts w:ascii="Times New Roman" w:hAnsi="Times New Roman" w:cs="Times New Roman"/>
        </w:rPr>
        <w:t xml:space="preserve">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49B9C764"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may have resulted in differences in maternal behaviors that were not noted by the study team, and therefore could play a part in the effects seen in the offspring. Second, </w:t>
      </w:r>
      <w:r w:rsidR="00C65877">
        <w:rPr>
          <w:rFonts w:ascii="Times New Roman" w:hAnsi="Times New Roman" w:cs="Times New Roman"/>
        </w:rPr>
        <w:t xml:space="preserve">we </w:t>
      </w:r>
      <w:r w:rsidR="00C65877">
        <w:rPr>
          <w:rFonts w:ascii="Times New Roman" w:hAnsi="Times New Roman" w:cs="Times New Roman"/>
        </w:rPr>
        <w:lastRenderedPageBreak/>
        <w:t xml:space="preserve">assessed the effect of a dietary insult in young adulthood by switching all animals to HFHS. As such, disentangling the effect of HFHS diet from that of aging is not possible in this model.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FD1CB1">
        <w:rPr>
          <w:rFonts w:ascii="Times New Roman" w:hAnsi="Times New Roman" w:cs="Times New Roman"/>
        </w:rPr>
        <w:t xml:space="preserve"> 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763EBA0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w:t>
      </w:r>
      <w:proofErr w:type="spellStart"/>
      <w:r w:rsidRPr="00E62980">
        <w:rPr>
          <w:rFonts w:ascii="Times New Roman" w:hAnsi="Times New Roman" w:cs="Times New Roman"/>
          <w:color w:val="000000" w:themeColor="text1"/>
        </w:rPr>
        <w:t>eTRF</w:t>
      </w:r>
      <w:proofErr w:type="spellEnd"/>
      <w:r w:rsidRPr="00E62980">
        <w:rPr>
          <w:rFonts w:ascii="Times New Roman" w:hAnsi="Times New Roman" w:cs="Times New Roman"/>
          <w:color w:val="000000" w:themeColor="text1"/>
        </w:rPr>
        <w:t xml:space="preserve">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w:t>
      </w:r>
      <w:proofErr w:type="spellStart"/>
      <w:r w:rsidR="007E0D47" w:rsidRPr="00E62980">
        <w:rPr>
          <w:rFonts w:ascii="Times New Roman" w:hAnsi="Times New Roman" w:cs="Times New Roman"/>
        </w:rPr>
        <w:t>eTRF</w:t>
      </w:r>
      <w:proofErr w:type="spellEnd"/>
      <w:r w:rsidR="007E0D47" w:rsidRPr="00E62980">
        <w:rPr>
          <w:rFonts w:ascii="Times New Roman" w:hAnsi="Times New Roman" w:cs="Times New Roman"/>
        </w:rPr>
        <w:t xml:space="preserve">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w:t>
      </w:r>
      <w:r w:rsidR="008C4511" w:rsidRPr="00E62980">
        <w:rPr>
          <w:rFonts w:ascii="Times New Roman" w:hAnsi="Times New Roman" w:cs="Times New Roman"/>
        </w:rPr>
        <w:lastRenderedPageBreak/>
        <w:t xml:space="preserve">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w:t>
      </w:r>
      <w:proofErr w:type="spellStart"/>
      <w:r w:rsidR="00440AC4" w:rsidRPr="00687929">
        <w:rPr>
          <w:rFonts w:ascii="Times New Roman" w:hAnsi="Times New Roman" w:cs="Times New Roman"/>
        </w:rPr>
        <w:t>eTRF</w:t>
      </w:r>
      <w:proofErr w:type="spellEnd"/>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proofErr w:type="gram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 xml:space="preserve">ITT, and GTT, n=11 </w:t>
      </w:r>
      <w:proofErr w:type="spellStart"/>
      <w:r w:rsidR="00D72E1C">
        <w:rPr>
          <w:rFonts w:ascii="Times New Roman" w:hAnsi="Times New Roman" w:cs="Times New Roman"/>
        </w:rPr>
        <w:t>eTRF</w:t>
      </w:r>
      <w:proofErr w:type="spellEnd"/>
      <w:r w:rsidR="00D72E1C">
        <w:rPr>
          <w:rFonts w:ascii="Times New Roman" w:hAnsi="Times New Roman" w:cs="Times New Roman"/>
        </w:rPr>
        <w:t xml:space="preserve"> males</w:t>
      </w:r>
      <w:r w:rsidR="00DB3F8E">
        <w:rPr>
          <w:rFonts w:ascii="Times New Roman" w:hAnsi="Times New Roman" w:cs="Times New Roman"/>
        </w:rPr>
        <w:t xml:space="preserve">, </w:t>
      </w:r>
      <w:r w:rsidR="008D1321">
        <w:rPr>
          <w:rFonts w:ascii="Times New Roman" w:hAnsi="Times New Roman" w:cs="Times New Roman"/>
        </w:rPr>
        <w:t xml:space="preserve">16 AL males, 19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17 AL females. Number of cages in food intake analysis n=4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males, 5 AL males, 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16 AL males, 19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17 AL females. Cages in food intake analysis: n=4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5 AL males, 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 xml:space="preserve">Maternal food intake from one week before pregnancy until delivery B) Maternal body weight from one week before pregnancy until delivery. Dams in analysis n 8= </w:t>
      </w:r>
      <w:proofErr w:type="spellStart"/>
      <w:r w:rsidR="008B7F2C">
        <w:rPr>
          <w:rFonts w:ascii="Times New Roman" w:hAnsi="Times New Roman" w:cs="Times New Roman"/>
        </w:rPr>
        <w:t>eTRF</w:t>
      </w:r>
      <w:proofErr w:type="spellEnd"/>
      <w:r w:rsidR="008B7F2C">
        <w:rPr>
          <w:rFonts w:ascii="Times New Roman" w:hAnsi="Times New Roman" w:cs="Times New Roman"/>
        </w:rPr>
        <w:t>,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lcahy, Molly" w:date="2023-04-10T11:52:00Z" w:initials="MM">
    <w:p w14:paraId="57B18403" w14:textId="1021E8D8" w:rsidR="00552B1B" w:rsidRDefault="00552B1B" w:rsidP="00D13639">
      <w:pPr>
        <w:pStyle w:val="CommentText"/>
      </w:pPr>
      <w:r>
        <w:rPr>
          <w:rStyle w:val="CommentReference"/>
        </w:rPr>
        <w:annotationRef/>
      </w:r>
      <w:r>
        <w:t xml:space="preserve">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w:t>
      </w:r>
      <w:proofErr w:type="spellStart"/>
      <w:proofErr w:type="gramStart"/>
      <w:r>
        <w:t>you</w:t>
      </w:r>
      <w:proofErr w:type="spellEnd"/>
      <w:proofErr w:type="gramEnd"/>
      <w:r>
        <w:t xml:space="preserve"> thoughts on this suggestion?</w:t>
      </w:r>
    </w:p>
  </w:comment>
  <w:comment w:id="1" w:author="Dave Bridges" w:date="2023-06-05T15:19:00Z" w:initials="DB">
    <w:p w14:paraId="2F9B18C1" w14:textId="036A9B7A" w:rsidR="0066559F" w:rsidRDefault="0066559F">
      <w:pPr>
        <w:pStyle w:val="CommentText"/>
      </w:pPr>
      <w:r>
        <w:rPr>
          <w:rStyle w:val="CommentReference"/>
        </w:rPr>
        <w:annotationRef/>
      </w:r>
      <w:bookmarkStart w:id="2" w:name="_GoBack"/>
      <w:bookmarkEnd w:id="2"/>
      <w:proofErr w:type="spellStart"/>
      <w:r>
        <w:t>Im</w:t>
      </w:r>
      <w:proofErr w:type="spellEnd"/>
      <w:r>
        <w:t xml:space="preserve"> fine with how we did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B18403" w15:done="0"/>
  <w15:commentEx w15:paraId="2F9B18C1" w15:paraIdParent="57B18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7C6D" w16cex:dateUtc="2023-04-25T21:21:00Z"/>
  <w16cex:commentExtensible w16cex:durableId="27DE6C6E" w16cex:dateUtc="2023-04-10T16:07:00Z"/>
  <w16cex:commentExtensible w16cex:durableId="27DE6D0D" w16cex:dateUtc="2023-04-10T16:10:00Z"/>
  <w16cex:commentExtensible w16cex:durableId="28283C6E" w16cex:dateUtc="2023-06-05T15:50:00Z"/>
  <w16cex:commentExtensible w16cex:durableId="27DE7702" w16cex:dateUtc="2023-04-10T16:52:00Z"/>
  <w16cex:commentExtensible w16cex:durableId="27DE791B" w16cex:dateUtc="2023-04-10T17:01:00Z"/>
  <w16cex:commentExtensible w16cex:durableId="28284010" w16cex:dateUtc="2023-06-05T16:05:00Z"/>
  <w16cex:commentExtensible w16cex:durableId="2828409B" w16cex:dateUtc="2023-06-05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18403" w16cid:durableId="27DE7702"/>
  <w16cid:commentId w16cid:paraId="2F9B18C1" w16cid:durableId="28287B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BC27D" w14:textId="77777777" w:rsidR="002620B3" w:rsidRDefault="002620B3" w:rsidP="00616AD3">
      <w:r>
        <w:separator/>
      </w:r>
    </w:p>
  </w:endnote>
  <w:endnote w:type="continuationSeparator" w:id="0">
    <w:p w14:paraId="30CC1905" w14:textId="77777777" w:rsidR="002620B3" w:rsidRDefault="002620B3"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9D152" w14:textId="77777777" w:rsidR="002620B3" w:rsidRDefault="002620B3" w:rsidP="00616AD3">
      <w:r>
        <w:separator/>
      </w:r>
    </w:p>
  </w:footnote>
  <w:footnote w:type="continuationSeparator" w:id="0">
    <w:p w14:paraId="7C6E64DF" w14:textId="77777777" w:rsidR="002620B3" w:rsidRDefault="002620B3"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2075A00C" w:rsidR="00DB2834" w:rsidRPr="00C65822" w:rsidRDefault="00EC564A">
    <w:pPr>
      <w:pStyle w:val="Header"/>
      <w:rPr>
        <w:rFonts w:ascii="Times New Roman" w:hAnsi="Times New Roman" w:cs="Times New Roman"/>
      </w:rPr>
    </w:pPr>
    <w:r>
      <w:rPr>
        <w:rFonts w:ascii="Times New Roman" w:hAnsi="Times New Roman" w:cs="Times New Roman"/>
      </w:rPr>
      <w:t xml:space="preserve">Gestational </w:t>
    </w:r>
    <w:proofErr w:type="spellStart"/>
    <w:r w:rsidR="00DB2834" w:rsidRPr="00C65822">
      <w:rPr>
        <w:rFonts w:ascii="Times New Roman" w:hAnsi="Times New Roman" w:cs="Times New Roman"/>
      </w:rPr>
      <w:t>eTRF</w:t>
    </w:r>
    <w:proofErr w:type="spellEnd"/>
    <w:r w:rsidR="00DB2834" w:rsidRPr="00C65822">
      <w:rPr>
        <w:rFonts w:ascii="Times New Roman" w:hAnsi="Times New Roman" w:cs="Times New Roman"/>
      </w:rPr>
      <w:t xml:space="preserve"> </w:t>
    </w:r>
    <w:r w:rsidR="00850DA2">
      <w:rPr>
        <w:rFonts w:ascii="Times New Roman" w:hAnsi="Times New Roman" w:cs="Times New Roman"/>
      </w:rPr>
      <w:t>offspring</w:t>
    </w:r>
    <w:r>
      <w:rPr>
        <w:rFonts w:ascii="Times New Roman" w:hAnsi="Times New Roman" w:cs="Times New Roman"/>
      </w:rPr>
      <w:t xml:space="preserve"> effects</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lcahy, Molly">
    <w15:presenceInfo w15:providerId="AD" w15:userId="S::mollyec@umich.edu::c7042b25-4392-45c4-b4a1-380b86fcc988"/>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6CB3A-64D2-9747-8241-450CE870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9912</TotalTime>
  <Pages>28</Pages>
  <Words>53949</Words>
  <Characters>307512</Characters>
  <Application>Microsoft Office Word</Application>
  <DocSecurity>0</DocSecurity>
  <Lines>2562</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70</cp:revision>
  <dcterms:created xsi:type="dcterms:W3CDTF">2023-04-03T15:43:00Z</dcterms:created>
  <dcterms:modified xsi:type="dcterms:W3CDTF">2023-06-05T19:21:00Z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