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64152D48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>eTRF leads to offspring glucose intolerance</w:t>
      </w:r>
    </w:p>
    <w:p w14:paraId="28CF1949" w14:textId="75FCF6D3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Dave Bridges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44884AE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909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1143A1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534">
    <w:abstractNumId w:val="1"/>
  </w:num>
  <w:num w:numId="2" w16cid:durableId="178508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86B53"/>
    <w:rsid w:val="001E28A7"/>
    <w:rsid w:val="002141C9"/>
    <w:rsid w:val="002C351D"/>
    <w:rsid w:val="00344028"/>
    <w:rsid w:val="00344BB1"/>
    <w:rsid w:val="00422824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23</cp:revision>
  <dcterms:created xsi:type="dcterms:W3CDTF">2022-03-10T19:44:00Z</dcterms:created>
  <dcterms:modified xsi:type="dcterms:W3CDTF">2022-04-26T18:23:00Z</dcterms:modified>
</cp:coreProperties>
</file>