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15B46" w14:textId="77777777" w:rsidR="00AA7C69" w:rsidRDefault="00B92A9A">
      <w:r>
        <w:t>Aim 1:</w:t>
      </w:r>
      <w:r w:rsidRPr="00B92A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Identify</w:t>
      </w:r>
      <w:r w:rsidRPr="000F1B79">
        <w:rPr>
          <w:rFonts w:ascii="Times New Roman" w:hAnsi="Times New Roman" w:cs="Times New Roman"/>
          <w:b/>
        </w:rPr>
        <w:t xml:space="preserve"> the </w:t>
      </w:r>
      <w:r>
        <w:rPr>
          <w:rFonts w:ascii="Times New Roman" w:hAnsi="Times New Roman" w:cs="Times New Roman"/>
          <w:b/>
        </w:rPr>
        <w:t>physiological</w:t>
      </w:r>
      <w:r w:rsidRPr="000F1B7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mechanisms</w:t>
      </w:r>
      <w:r w:rsidRPr="000F1B79">
        <w:rPr>
          <w:rFonts w:ascii="Times New Roman" w:hAnsi="Times New Roman" w:cs="Times New Roman"/>
          <w:b/>
        </w:rPr>
        <w:t xml:space="preserve"> contributing to energy conservation</w:t>
      </w:r>
      <w:r>
        <w:rPr>
          <w:rFonts w:ascii="Times New Roman" w:hAnsi="Times New Roman" w:cs="Times New Roman"/>
          <w:b/>
        </w:rPr>
        <w:t xml:space="preserve"> and</w:t>
      </w:r>
      <w:r w:rsidRPr="000F1B79">
        <w:rPr>
          <w:rFonts w:ascii="Times New Roman" w:hAnsi="Times New Roman" w:cs="Times New Roman"/>
          <w:b/>
        </w:rPr>
        <w:t xml:space="preserve"> insulin resistance during pregnancy. </w:t>
      </w:r>
      <w:r w:rsidRPr="000F1B79">
        <w:rPr>
          <w:rFonts w:ascii="Times New Roman" w:hAnsi="Times New Roman" w:cs="Times New Roman"/>
        </w:rPr>
        <w:t xml:space="preserve">Age matched pregnant and non-pregnant female mice will be compared in this study. Energy expenditure, insulin sensitivity, and </w:t>
      </w:r>
      <w:r>
        <w:rPr>
          <w:rFonts w:ascii="Times New Roman" w:hAnsi="Times New Roman" w:cs="Times New Roman"/>
        </w:rPr>
        <w:t xml:space="preserve">macronutrient </w:t>
      </w:r>
      <w:r w:rsidRPr="000F1B79">
        <w:rPr>
          <w:rFonts w:ascii="Times New Roman" w:hAnsi="Times New Roman" w:cs="Times New Roman"/>
        </w:rPr>
        <w:t xml:space="preserve">absorptive </w:t>
      </w:r>
      <w:r>
        <w:rPr>
          <w:rFonts w:ascii="Times New Roman" w:hAnsi="Times New Roman" w:cs="Times New Roman"/>
        </w:rPr>
        <w:t>efficiency</w:t>
      </w:r>
      <w:r w:rsidRPr="000F1B79">
        <w:rPr>
          <w:rFonts w:ascii="Times New Roman" w:hAnsi="Times New Roman" w:cs="Times New Roman"/>
        </w:rPr>
        <w:t xml:space="preserve"> will be </w:t>
      </w:r>
      <w:r>
        <w:rPr>
          <w:rFonts w:ascii="Times New Roman" w:hAnsi="Times New Roman" w:cs="Times New Roman"/>
        </w:rPr>
        <w:t>evaluated</w:t>
      </w:r>
    </w:p>
    <w:p w14:paraId="64575269" w14:textId="77777777" w:rsidR="00B92A9A" w:rsidRDefault="00B92A9A"/>
    <w:p w14:paraId="05017903" w14:textId="77777777" w:rsidR="00B92A9A" w:rsidRDefault="00B92A9A">
      <w:r>
        <w:t>Background:</w:t>
      </w:r>
    </w:p>
    <w:p w14:paraId="248C2D07" w14:textId="77777777" w:rsidR="00B92A9A" w:rsidRDefault="00B92A9A"/>
    <w:p w14:paraId="30A81D37" w14:textId="77777777" w:rsidR="00B92A9A" w:rsidRDefault="00B92A9A">
      <w:r>
        <w:t>Methods:</w:t>
      </w:r>
    </w:p>
    <w:p w14:paraId="3C759F3F" w14:textId="77777777" w:rsidR="00B92A9A" w:rsidRDefault="00B92A9A"/>
    <w:p w14:paraId="3EB96169" w14:textId="77777777" w:rsidR="00480EFC" w:rsidRPr="00480EFC" w:rsidRDefault="00480EFC" w:rsidP="00480EFC">
      <w:pPr>
        <w:rPr>
          <w:rFonts w:ascii="Times New Roman" w:eastAsia="Times New Roman" w:hAnsi="Times New Roman" w:cs="Times New Roman"/>
        </w:rPr>
      </w:pPr>
      <w:r w:rsidRPr="00480EFC">
        <w:rPr>
          <w:rFonts w:ascii="Arial" w:eastAsia="Times New Roman" w:hAnsi="Arial" w:cs="Arial"/>
          <w:i/>
          <w:iCs/>
          <w:color w:val="000000"/>
          <w:sz w:val="22"/>
          <w:szCs w:val="22"/>
        </w:rPr>
        <w:t>Animal care and use</w:t>
      </w:r>
    </w:p>
    <w:p w14:paraId="68DAC2A6" w14:textId="45A75AF9" w:rsidR="00480EFC" w:rsidRPr="00480EFC" w:rsidRDefault="00480EFC" w:rsidP="00480EFC">
      <w:pPr>
        <w:rPr>
          <w:rFonts w:ascii="Times New Roman" w:eastAsia="Times New Roman" w:hAnsi="Times New Roman" w:cs="Times New Roman"/>
        </w:rPr>
      </w:pPr>
      <w:proofErr w:type="gramStart"/>
      <w:r w:rsidRPr="00480EFC">
        <w:rPr>
          <w:rFonts w:ascii="Arial" w:eastAsia="Times New Roman" w:hAnsi="Arial" w:cs="Arial"/>
          <w:color w:val="000000"/>
          <w:sz w:val="22"/>
          <w:szCs w:val="22"/>
        </w:rPr>
        <w:t>Nine week old</w:t>
      </w:r>
      <w:proofErr w:type="gramEnd"/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virgin C57Black 6/J mice were ordered from Jackson Laboratory (n=21</w:t>
      </w:r>
      <w:r w:rsidR="00D628A2">
        <w:rPr>
          <w:rFonts w:ascii="Arial" w:eastAsia="Times New Roman" w:hAnsi="Arial" w:cs="Arial"/>
          <w:color w:val="000000"/>
          <w:sz w:val="22"/>
          <w:szCs w:val="22"/>
        </w:rPr>
        <w:t>, 14 female, 7 male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). </w:t>
      </w:r>
      <w:r w:rsidR="00D628A2"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Animals were held in a 12:12 light dark cycle, temperature </w:t>
      </w:r>
      <w:r w:rsidR="00D628A2">
        <w:rPr>
          <w:rFonts w:ascii="Arial" w:eastAsia="Times New Roman" w:hAnsi="Arial" w:cs="Arial"/>
          <w:color w:val="000000"/>
          <w:sz w:val="22"/>
          <w:szCs w:val="22"/>
        </w:rPr>
        <w:t>and</w:t>
      </w:r>
      <w:r w:rsidR="00D628A2"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humidity</w:t>
      </w:r>
      <w:r w:rsidR="00D628A2">
        <w:rPr>
          <w:rFonts w:ascii="Arial" w:eastAsia="Times New Roman" w:hAnsi="Arial" w:cs="Arial"/>
          <w:color w:val="000000"/>
          <w:sz w:val="22"/>
          <w:szCs w:val="22"/>
        </w:rPr>
        <w:t>-</w:t>
      </w:r>
      <w:r w:rsidR="00D628A2" w:rsidRPr="00480EFC">
        <w:rPr>
          <w:rFonts w:ascii="Arial" w:eastAsia="Times New Roman" w:hAnsi="Arial" w:cs="Arial"/>
          <w:color w:val="000000"/>
          <w:sz w:val="22"/>
          <w:szCs w:val="22"/>
        </w:rPr>
        <w:t>controlled facility.</w:t>
      </w:r>
      <w:r w:rsidR="00D628A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Animals were allowed to acclimate to the environment for two weeks. At 11 weeks of age, females were singly housed and given </w:t>
      </w:r>
      <w:r w:rsidRPr="00480EFC">
        <w:rPr>
          <w:rFonts w:ascii="Arial" w:eastAsia="Times New Roman" w:hAnsi="Arial" w:cs="Arial"/>
          <w:i/>
          <w:iCs/>
          <w:color w:val="000000"/>
          <w:sz w:val="22"/>
          <w:szCs w:val="22"/>
        </w:rPr>
        <w:t>ad libitum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access to normal chow (5% fat, 24%</w:t>
      </w:r>
      <w:r w:rsidR="000A27C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protein, 3.7% sucrose, 32% starch). Females were randomized to </w:t>
      </w:r>
      <w:r w:rsidR="000A27C4">
        <w:rPr>
          <w:rFonts w:ascii="Arial" w:eastAsia="Times New Roman" w:hAnsi="Arial" w:cs="Arial"/>
          <w:color w:val="000000"/>
          <w:sz w:val="22"/>
          <w:szCs w:val="22"/>
        </w:rPr>
        <w:t>2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groups; distilled drinking water and no mating (n=7), distilled drinking water and mating (n=7</w:t>
      </w:r>
      <w:r w:rsidR="000A27C4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. Food intake </w:t>
      </w:r>
      <w:r w:rsidR="000A27C4">
        <w:rPr>
          <w:rFonts w:ascii="Arial" w:eastAsia="Times New Roman" w:hAnsi="Arial" w:cs="Arial"/>
          <w:color w:val="000000"/>
          <w:sz w:val="22"/>
          <w:szCs w:val="22"/>
        </w:rPr>
        <w:t xml:space="preserve">(grams per week) 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>and water intake</w:t>
      </w:r>
      <w:r w:rsidR="000A27C4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proofErr w:type="spellStart"/>
      <w:r w:rsidR="000A27C4">
        <w:rPr>
          <w:rFonts w:ascii="Arial" w:eastAsia="Times New Roman" w:hAnsi="Arial" w:cs="Arial"/>
          <w:color w:val="000000"/>
          <w:sz w:val="22"/>
          <w:szCs w:val="22"/>
        </w:rPr>
        <w:t>mLs</w:t>
      </w:r>
      <w:proofErr w:type="spellEnd"/>
      <w:r w:rsidR="000A27C4">
        <w:rPr>
          <w:rFonts w:ascii="Arial" w:eastAsia="Times New Roman" w:hAnsi="Arial" w:cs="Arial"/>
          <w:color w:val="000000"/>
          <w:sz w:val="22"/>
          <w:szCs w:val="22"/>
        </w:rPr>
        <w:t xml:space="preserve"> per week)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was recorded each week. Animals were acclimatized to this diet treatment for one week prior to mating. All protocols </w:t>
      </w:r>
      <w:r w:rsidR="000A27C4">
        <w:rPr>
          <w:rFonts w:ascii="Arial" w:eastAsia="Times New Roman" w:hAnsi="Arial" w:cs="Arial"/>
          <w:color w:val="000000"/>
          <w:sz w:val="22"/>
          <w:szCs w:val="22"/>
        </w:rPr>
        <w:t xml:space="preserve">(name the protocol) 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>were </w:t>
      </w:r>
      <w:r w:rsidR="000A27C4">
        <w:rPr>
          <w:rFonts w:ascii="Arial" w:eastAsia="Times New Roman" w:hAnsi="Arial" w:cs="Arial"/>
          <w:color w:val="000000"/>
          <w:sz w:val="22"/>
          <w:szCs w:val="22"/>
        </w:rPr>
        <w:t xml:space="preserve">approved by the university of Michigan IACUC office. </w:t>
      </w:r>
    </w:p>
    <w:p w14:paraId="2B6A3B6A" w14:textId="77777777" w:rsidR="00480EFC" w:rsidRPr="00480EFC" w:rsidRDefault="00480EFC" w:rsidP="00480EFC">
      <w:pPr>
        <w:rPr>
          <w:rFonts w:ascii="Times New Roman" w:eastAsia="Times New Roman" w:hAnsi="Times New Roman" w:cs="Times New Roman"/>
        </w:rPr>
      </w:pPr>
    </w:p>
    <w:p w14:paraId="25761492" w14:textId="77777777" w:rsidR="00480EFC" w:rsidRPr="00480EFC" w:rsidRDefault="00480EFC" w:rsidP="00480EFC">
      <w:pPr>
        <w:rPr>
          <w:rFonts w:ascii="Times New Roman" w:eastAsia="Times New Roman" w:hAnsi="Times New Roman" w:cs="Times New Roman"/>
        </w:rPr>
      </w:pPr>
      <w:r w:rsidRPr="00480EFC">
        <w:rPr>
          <w:rFonts w:ascii="Arial" w:eastAsia="Times New Roman" w:hAnsi="Arial" w:cs="Arial"/>
          <w:i/>
          <w:iCs/>
          <w:color w:val="000000"/>
          <w:sz w:val="22"/>
          <w:szCs w:val="22"/>
        </w:rPr>
        <w:t>Mating</w:t>
      </w:r>
    </w:p>
    <w:p w14:paraId="3DFFEE52" w14:textId="409628AA" w:rsidR="00480EFC" w:rsidRPr="00480EFC" w:rsidRDefault="00480EFC" w:rsidP="00480EFC">
      <w:pPr>
        <w:rPr>
          <w:rFonts w:ascii="Times New Roman" w:eastAsia="Times New Roman" w:hAnsi="Times New Roman" w:cs="Times New Roman"/>
        </w:rPr>
      </w:pPr>
      <w:r w:rsidRPr="00480EFC">
        <w:rPr>
          <w:rFonts w:ascii="Arial" w:eastAsia="Times New Roman" w:hAnsi="Arial" w:cs="Arial"/>
          <w:color w:val="000000"/>
          <w:sz w:val="22"/>
          <w:szCs w:val="22"/>
        </w:rPr>
        <w:t>At mating, males were added to females</w:t>
      </w:r>
      <w:r w:rsidR="00490B75">
        <w:rPr>
          <w:rFonts w:ascii="Arial" w:eastAsia="Times New Roman" w:hAnsi="Arial" w:cs="Arial"/>
          <w:color w:val="000000"/>
          <w:sz w:val="22"/>
          <w:szCs w:val="22"/>
        </w:rPr>
        <w:t xml:space="preserve">’ </w:t>
      </w:r>
      <w:bookmarkStart w:id="0" w:name="_GoBack"/>
      <w:bookmarkEnd w:id="0"/>
      <w:r w:rsidRPr="00480EFC">
        <w:rPr>
          <w:rFonts w:ascii="Arial" w:eastAsia="Times New Roman" w:hAnsi="Arial" w:cs="Arial"/>
          <w:color w:val="000000"/>
          <w:sz w:val="22"/>
          <w:szCs w:val="22"/>
        </w:rPr>
        <w:t>existing cages in monogamous pairs (n=</w:t>
      </w:r>
      <w:r w:rsidR="0098048B">
        <w:rPr>
          <w:rFonts w:ascii="Arial" w:eastAsia="Times New Roman" w:hAnsi="Arial" w:cs="Arial"/>
          <w:color w:val="000000"/>
          <w:sz w:val="22"/>
          <w:szCs w:val="22"/>
        </w:rPr>
        <w:t>7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). Dams were examined for copulatory plugs each day until plug was evident. This was considered gestation day 1. Males were </w:t>
      </w:r>
      <w:r w:rsidR="0098048B">
        <w:rPr>
          <w:rFonts w:ascii="Arial" w:eastAsia="Times New Roman" w:hAnsi="Arial" w:cs="Arial"/>
          <w:color w:val="000000"/>
          <w:sz w:val="22"/>
          <w:szCs w:val="22"/>
        </w:rPr>
        <w:t xml:space="preserve">removed from cages on 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gestation day 19 to prevent </w:t>
      </w:r>
      <w:r w:rsidR="0098048B">
        <w:rPr>
          <w:rFonts w:ascii="Arial" w:eastAsia="Times New Roman" w:hAnsi="Arial" w:cs="Arial"/>
          <w:color w:val="000000"/>
          <w:sz w:val="22"/>
          <w:szCs w:val="22"/>
        </w:rPr>
        <w:t>a second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pregnancy after delivery. </w:t>
      </w:r>
    </w:p>
    <w:p w14:paraId="1E668BFE" w14:textId="77777777" w:rsidR="00480EFC" w:rsidRPr="00480EFC" w:rsidRDefault="00480EFC" w:rsidP="00480EFC">
      <w:pPr>
        <w:rPr>
          <w:rFonts w:ascii="Times New Roman" w:eastAsia="Times New Roman" w:hAnsi="Times New Roman" w:cs="Times New Roman"/>
        </w:rPr>
      </w:pPr>
    </w:p>
    <w:p w14:paraId="69A5FED7" w14:textId="77777777" w:rsidR="00480EFC" w:rsidRPr="00480EFC" w:rsidRDefault="00480EFC" w:rsidP="00480EFC">
      <w:pPr>
        <w:rPr>
          <w:rFonts w:ascii="Times New Roman" w:eastAsia="Times New Roman" w:hAnsi="Times New Roman" w:cs="Times New Roman"/>
        </w:rPr>
      </w:pPr>
    </w:p>
    <w:p w14:paraId="202E64FC" w14:textId="77777777" w:rsidR="00480EFC" w:rsidRPr="00480EFC" w:rsidRDefault="00480EFC" w:rsidP="00480EFC">
      <w:pPr>
        <w:rPr>
          <w:rFonts w:ascii="Times New Roman" w:eastAsia="Times New Roman" w:hAnsi="Times New Roman" w:cs="Times New Roman"/>
        </w:rPr>
      </w:pPr>
      <w:r w:rsidRPr="00480EFC">
        <w:rPr>
          <w:rFonts w:ascii="Arial" w:eastAsia="Times New Roman" w:hAnsi="Arial" w:cs="Arial"/>
          <w:i/>
          <w:iCs/>
          <w:color w:val="000000"/>
          <w:sz w:val="22"/>
          <w:szCs w:val="22"/>
        </w:rPr>
        <w:t>Statistics</w:t>
      </w:r>
    </w:p>
    <w:p w14:paraId="2EE4DA16" w14:textId="430F9D8C" w:rsidR="00480EFC" w:rsidRPr="00480EFC" w:rsidRDefault="000A27C4" w:rsidP="00480EF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All statistical analyses were conducted in R, version </w:t>
      </w:r>
      <w:r w:rsidRPr="000A27C4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>(</w:t>
      </w:r>
      <w:proofErr w:type="gramStart"/>
      <w:r w:rsidRPr="000A27C4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480EFC" w:rsidRPr="00480EFC">
        <w:rPr>
          <w:rFonts w:ascii="Arial" w:eastAsia="Times New Roman" w:hAnsi="Arial" w:cs="Arial"/>
          <w:color w:val="000000"/>
          <w:sz w:val="22"/>
          <w:szCs w:val="22"/>
        </w:rPr>
        <w:t>Repeated</w:t>
      </w:r>
      <w:proofErr w:type="gramEnd"/>
      <w:r w:rsidR="00480EFC"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measures, such as body composition, food and water intake</w:t>
      </w:r>
      <w:r>
        <w:rPr>
          <w:rFonts w:ascii="Arial" w:eastAsia="Times New Roman" w:hAnsi="Arial" w:cs="Arial"/>
          <w:color w:val="000000"/>
          <w:sz w:val="22"/>
          <w:szCs w:val="22"/>
        </w:rPr>
        <w:t>, and insulin tolerance testing</w:t>
      </w:r>
      <w:r w:rsidR="00480EFC"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were model</w:t>
      </w:r>
      <w:r>
        <w:rPr>
          <w:rFonts w:ascii="Arial" w:eastAsia="Times New Roman" w:hAnsi="Arial" w:cs="Arial"/>
          <w:color w:val="000000"/>
          <w:sz w:val="22"/>
          <w:szCs w:val="22"/>
        </w:rPr>
        <w:t>ed</w:t>
      </w:r>
      <w:r w:rsidR="00480EFC"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using mixed effects linear modeling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using the lme4 package. </w:t>
      </w:r>
      <w:r w:rsidR="00480EFC"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To test for statistical significance between mixed linear models,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anovas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were used. </w:t>
      </w:r>
      <w:r w:rsidR="00480EFC"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Fasting blood glucose was modeled using </w:t>
      </w:r>
      <w:proofErr w:type="gramStart"/>
      <w:r w:rsidR="00480EFC" w:rsidRPr="00480EFC">
        <w:rPr>
          <w:rFonts w:ascii="Arial" w:eastAsia="Times New Roman" w:hAnsi="Arial" w:cs="Arial"/>
          <w:color w:val="000000"/>
          <w:sz w:val="22"/>
          <w:szCs w:val="22"/>
        </w:rPr>
        <w:t>two way</w:t>
      </w:r>
      <w:proofErr w:type="gramEnd"/>
      <w:r w:rsidR="00480EFC"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480EFC" w:rsidRPr="00480EFC">
        <w:rPr>
          <w:rFonts w:ascii="Arial" w:eastAsia="Times New Roman" w:hAnsi="Arial" w:cs="Arial"/>
          <w:color w:val="000000"/>
          <w:sz w:val="22"/>
          <w:szCs w:val="22"/>
        </w:rPr>
        <w:t>anova</w:t>
      </w:r>
      <w:proofErr w:type="spellEnd"/>
      <w:r w:rsidR="00480EFC" w:rsidRPr="00480EFC">
        <w:rPr>
          <w:rFonts w:ascii="Arial" w:eastAsia="Times New Roman" w:hAnsi="Arial" w:cs="Arial"/>
          <w:color w:val="000000"/>
          <w:sz w:val="22"/>
          <w:szCs w:val="22"/>
        </w:rPr>
        <w:t>. Insulin tolerance was modeling using normalized values to baseline for blood glucose and mixed linear effects modeling was used for both normalized and area under the curve (AUC) values. </w:t>
      </w:r>
    </w:p>
    <w:p w14:paraId="1C8F3CDC" w14:textId="77777777" w:rsidR="00480EFC" w:rsidRPr="00480EFC" w:rsidRDefault="00480EFC" w:rsidP="00480EFC">
      <w:pPr>
        <w:rPr>
          <w:rFonts w:ascii="Times New Roman" w:eastAsia="Times New Roman" w:hAnsi="Times New Roman" w:cs="Times New Roman"/>
        </w:rPr>
      </w:pPr>
    </w:p>
    <w:p w14:paraId="30D22C0E" w14:textId="77777777" w:rsidR="00B92A9A" w:rsidRPr="00B92A9A" w:rsidRDefault="00B92A9A">
      <w:pPr>
        <w:rPr>
          <w:i/>
        </w:rPr>
      </w:pPr>
    </w:p>
    <w:p w14:paraId="09F0DB72" w14:textId="21E68280" w:rsidR="00B92A9A" w:rsidRDefault="00B92A9A">
      <w:pPr>
        <w:rPr>
          <w:i/>
        </w:rPr>
      </w:pPr>
      <w:r w:rsidRPr="00B92A9A">
        <w:rPr>
          <w:i/>
        </w:rPr>
        <w:t>Body Composition:</w:t>
      </w:r>
    </w:p>
    <w:p w14:paraId="23293215" w14:textId="293BED15" w:rsidR="00D628A2" w:rsidRDefault="000A27C4">
      <w:pPr>
        <w:rPr>
          <w:i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Once a week, </w:t>
      </w:r>
      <w:r w:rsidR="00D628A2" w:rsidRPr="00480EFC">
        <w:rPr>
          <w:rFonts w:ascii="Arial" w:eastAsia="Times New Roman" w:hAnsi="Arial" w:cs="Arial"/>
          <w:color w:val="000000"/>
          <w:sz w:val="22"/>
          <w:szCs w:val="22"/>
        </w:rPr>
        <w:t>Dams weight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was measured weekly using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a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electronic scale (). Body composition including 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>fat mass, lean mass, and free water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was assessed indirectly</w:t>
      </w:r>
      <w:r w:rsidR="00D628A2"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via </w:t>
      </w:r>
      <w:proofErr w:type="spellStart"/>
      <w:r w:rsidR="00D628A2" w:rsidRPr="00480EFC">
        <w:rPr>
          <w:rFonts w:ascii="Arial" w:eastAsia="Times New Roman" w:hAnsi="Arial" w:cs="Arial"/>
          <w:color w:val="000000"/>
          <w:sz w:val="22"/>
          <w:szCs w:val="22"/>
        </w:rPr>
        <w:t>EchoMRI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().</w:t>
      </w:r>
    </w:p>
    <w:p w14:paraId="781F6D64" w14:textId="77777777" w:rsidR="00B92A9A" w:rsidRDefault="00B92A9A">
      <w:pPr>
        <w:rPr>
          <w:i/>
        </w:rPr>
      </w:pPr>
    </w:p>
    <w:p w14:paraId="68B49262" w14:textId="6AF8F93E" w:rsidR="00B92A9A" w:rsidRDefault="00B92A9A">
      <w:pPr>
        <w:rPr>
          <w:i/>
        </w:rPr>
      </w:pPr>
      <w:r>
        <w:rPr>
          <w:i/>
        </w:rPr>
        <w:t>Insulin Sensitivity:</w:t>
      </w:r>
    </w:p>
    <w:p w14:paraId="554ED729" w14:textId="77777777" w:rsidR="000A27C4" w:rsidRPr="00480EFC" w:rsidRDefault="000A27C4" w:rsidP="000A27C4">
      <w:pPr>
        <w:rPr>
          <w:rFonts w:ascii="Times New Roman" w:eastAsia="Times New Roman" w:hAnsi="Times New Roman" w:cs="Times New Roman"/>
        </w:rPr>
      </w:pPr>
      <w:r w:rsidRPr="00480EFC">
        <w:rPr>
          <w:rFonts w:ascii="Arial" w:eastAsia="Times New Roman" w:hAnsi="Arial" w:cs="Arial"/>
          <w:i/>
          <w:iCs/>
          <w:color w:val="000000"/>
          <w:sz w:val="22"/>
          <w:szCs w:val="22"/>
        </w:rPr>
        <w:t>Insulin tolerance testing </w:t>
      </w:r>
    </w:p>
    <w:p w14:paraId="4CA12E43" w14:textId="4CAE267D" w:rsidR="000A27C4" w:rsidRDefault="000A27C4" w:rsidP="000A27C4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480EFC">
        <w:rPr>
          <w:rFonts w:ascii="Arial" w:eastAsia="Times New Roman" w:hAnsi="Arial" w:cs="Arial"/>
          <w:color w:val="000000"/>
          <w:sz w:val="22"/>
          <w:szCs w:val="22"/>
        </w:rPr>
        <w:t>On gestational day 16 (based on appearance of copulatory plug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representing gestation day 1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), dams were fasted for 6 hours with </w:t>
      </w:r>
      <w:r w:rsidRPr="00480EFC">
        <w:rPr>
          <w:rFonts w:ascii="Arial" w:eastAsia="Times New Roman" w:hAnsi="Arial" w:cs="Arial"/>
          <w:i/>
          <w:color w:val="000000"/>
          <w:sz w:val="22"/>
          <w:szCs w:val="22"/>
        </w:rPr>
        <w:t>ad lib</w:t>
      </w:r>
      <w:r w:rsidRPr="000A27C4">
        <w:rPr>
          <w:rFonts w:ascii="Arial" w:eastAsia="Times New Roman" w:hAnsi="Arial" w:cs="Arial"/>
          <w:i/>
          <w:color w:val="000000"/>
          <w:sz w:val="22"/>
          <w:szCs w:val="22"/>
        </w:rPr>
        <w:t>itum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access to either water, or dexamethasone in drinking water. After 6 </w:t>
      </w:r>
      <w:proofErr w:type="gramStart"/>
      <w:r w:rsidRPr="00480EFC">
        <w:rPr>
          <w:rFonts w:ascii="Arial" w:eastAsia="Times New Roman" w:hAnsi="Arial" w:cs="Arial"/>
          <w:color w:val="000000"/>
          <w:sz w:val="22"/>
          <w:szCs w:val="22"/>
        </w:rPr>
        <w:t>hour</w:t>
      </w:r>
      <w:proofErr w:type="gramEnd"/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fast, blood glucose was taken using a glucometer and tail clip. Females were given insulin injections (0.75 units/kg body weight; </w:t>
      </w:r>
      <w:r>
        <w:rPr>
          <w:rFonts w:ascii="Arial" w:eastAsia="Times New Roman" w:hAnsi="Arial" w:cs="Arial"/>
          <w:color w:val="000000"/>
          <w:sz w:val="22"/>
          <w:szCs w:val="22"/>
        </w:rPr>
        <w:t>Humulin U100 in cold sterile, filtered Phosphate buffered saline (PBS)</w:t>
      </w:r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) and blood glucose was tested using a glucometer at </w:t>
      </w:r>
      <w:proofErr w:type="gramStart"/>
      <w:r w:rsidRPr="00480EFC">
        <w:rPr>
          <w:rFonts w:ascii="Arial" w:eastAsia="Times New Roman" w:hAnsi="Arial" w:cs="Arial"/>
          <w:color w:val="000000"/>
          <w:sz w:val="22"/>
          <w:szCs w:val="22"/>
        </w:rPr>
        <w:t>15 minute</w:t>
      </w:r>
      <w:proofErr w:type="gramEnd"/>
      <w:r w:rsidRPr="00480EFC">
        <w:rPr>
          <w:rFonts w:ascii="Arial" w:eastAsia="Times New Roman" w:hAnsi="Arial" w:cs="Arial"/>
          <w:color w:val="000000"/>
          <w:sz w:val="22"/>
          <w:szCs w:val="22"/>
        </w:rPr>
        <w:t xml:space="preserve"> intervals for 2 hours. </w:t>
      </w:r>
    </w:p>
    <w:p w14:paraId="5007608D" w14:textId="76686F9D" w:rsidR="00CA5D3F" w:rsidRPr="00CA5D3F" w:rsidRDefault="00CA5D3F" w:rsidP="00CA5D3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Dissection and culture of </w:t>
      </w:r>
      <w:r w:rsidR="00490B75">
        <w:rPr>
          <w:rFonts w:ascii="Arial" w:eastAsia="Times New Roman" w:hAnsi="Arial" w:cs="Arial"/>
          <w:color w:val="000000"/>
          <w:sz w:val="22"/>
          <w:szCs w:val="22"/>
        </w:rPr>
        <w:t xml:space="preserve">pancreas around G16-18? We could also look at GSIS in vivo. </w:t>
      </w:r>
    </w:p>
    <w:p w14:paraId="4F9113CE" w14:textId="5F2D4DC5" w:rsidR="00CA5D3F" w:rsidRDefault="00CA5D3F" w:rsidP="000A27C4">
      <w:pPr>
        <w:rPr>
          <w:rFonts w:ascii="Times New Roman" w:eastAsia="Times New Roman" w:hAnsi="Times New Roman" w:cs="Times New Roman"/>
          <w:i/>
        </w:rPr>
      </w:pPr>
      <w:r w:rsidRPr="00CA5D3F">
        <w:rPr>
          <w:rFonts w:ascii="Times New Roman" w:eastAsia="Times New Roman" w:hAnsi="Times New Roman" w:cs="Times New Roman"/>
          <w:i/>
        </w:rPr>
        <w:t>Blood Collection:</w:t>
      </w:r>
    </w:p>
    <w:p w14:paraId="680D68E3" w14:textId="72AC1467" w:rsidR="00CA5D3F" w:rsidRDefault="00CA5D3F" w:rsidP="000A27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24 hours after the insulin tolerance test was conducted eye bleeds were conducted on pregnant dams at 2 time points (ZT12 and then ZT0). Bleeds were done retro-orbitally under light </w:t>
      </w:r>
      <w:proofErr w:type="spellStart"/>
      <w:r>
        <w:rPr>
          <w:rFonts w:ascii="Times New Roman" w:eastAsia="Times New Roman" w:hAnsi="Times New Roman" w:cs="Times New Roman"/>
        </w:rPr>
        <w:t>iso-fluorane</w:t>
      </w:r>
      <w:proofErr w:type="spellEnd"/>
      <w:r>
        <w:rPr>
          <w:rFonts w:ascii="Times New Roman" w:eastAsia="Times New Roman" w:hAnsi="Times New Roman" w:cs="Times New Roman"/>
        </w:rPr>
        <w:t xml:space="preserve"> anesthesia. </w:t>
      </w:r>
    </w:p>
    <w:p w14:paraId="4BA56D5D" w14:textId="0E40560D" w:rsidR="00490B75" w:rsidRDefault="00490B75" w:rsidP="00490B7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Cort</w:t>
      </w:r>
      <w:proofErr w:type="spellEnd"/>
    </w:p>
    <w:p w14:paraId="72609995" w14:textId="2DD17D28" w:rsidR="00B92A9A" w:rsidRPr="00490B75" w:rsidRDefault="00490B75" w:rsidP="00490B7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Insulin</w:t>
      </w:r>
    </w:p>
    <w:p w14:paraId="7EF0DD1D" w14:textId="25A8AB48" w:rsidR="00B92A9A" w:rsidRDefault="00B92A9A">
      <w:pPr>
        <w:rPr>
          <w:i/>
        </w:rPr>
      </w:pPr>
      <w:r>
        <w:rPr>
          <w:i/>
        </w:rPr>
        <w:t>Energy Expenditure:</w:t>
      </w:r>
    </w:p>
    <w:p w14:paraId="795FA8A1" w14:textId="2C79D0CF" w:rsidR="00B92A9A" w:rsidRDefault="0098048B" w:rsidP="0098048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CLAMS – see wheel running paper</w:t>
      </w:r>
    </w:p>
    <w:p w14:paraId="21FFF6E5" w14:textId="05D57F1E" w:rsidR="0098048B" w:rsidRPr="0098048B" w:rsidRDefault="0098048B" w:rsidP="0098048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Feeding Efficiency – look at thesis for this reference</w:t>
      </w:r>
    </w:p>
    <w:p w14:paraId="65D51582" w14:textId="6A7A54D9" w:rsidR="00B92A9A" w:rsidRDefault="00B92A9A">
      <w:pPr>
        <w:rPr>
          <w:i/>
        </w:rPr>
      </w:pPr>
      <w:r>
        <w:rPr>
          <w:i/>
        </w:rPr>
        <w:t>Digestive Physiology:</w:t>
      </w:r>
    </w:p>
    <w:p w14:paraId="7215F673" w14:textId="6FD38C1C" w:rsidR="0098048B" w:rsidRDefault="00CA5D3F" w:rsidP="0098048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Bomb calorimetry of fecal matter</w:t>
      </w:r>
    </w:p>
    <w:p w14:paraId="21B2F487" w14:textId="4246823B" w:rsidR="00CA5D3F" w:rsidRDefault="00CA5D3F" w:rsidP="00CA5D3F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Start with energy</w:t>
      </w:r>
    </w:p>
    <w:p w14:paraId="25FEE55B" w14:textId="68E380C5" w:rsidR="00CA5D3F" w:rsidRDefault="00CA5D3F" w:rsidP="00CA5D3F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Progress to macronutrients if energy abs different</w:t>
      </w:r>
    </w:p>
    <w:p w14:paraId="7901BC17" w14:textId="20EAEEB0" w:rsidR="00CA5D3F" w:rsidRPr="0098048B" w:rsidRDefault="00CA5D3F" w:rsidP="0098048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Dissection of the SI – perhaps histological examination</w:t>
      </w:r>
    </w:p>
    <w:p w14:paraId="3AA70128" w14:textId="77777777" w:rsidR="00B92A9A" w:rsidRDefault="00B92A9A"/>
    <w:p w14:paraId="33E428B5" w14:textId="77777777" w:rsidR="00B92A9A" w:rsidRDefault="00B92A9A"/>
    <w:p w14:paraId="52FA850A" w14:textId="77777777" w:rsidR="00B92A9A" w:rsidRDefault="00B92A9A"/>
    <w:p w14:paraId="6FCEAFF0" w14:textId="7ACFE4F2" w:rsidR="00B92A9A" w:rsidRDefault="00B92A9A">
      <w:r>
        <w:t>Expected Results and Potential Pitfalls:</w:t>
      </w:r>
    </w:p>
    <w:p w14:paraId="148F20E3" w14:textId="77777777" w:rsidR="00CA5D3F" w:rsidRDefault="00CA5D3F" w:rsidP="00CA5D3F">
      <w:pPr>
        <w:pStyle w:val="ListParagraph"/>
        <w:numPr>
          <w:ilvl w:val="0"/>
          <w:numId w:val="3"/>
        </w:numPr>
      </w:pPr>
    </w:p>
    <w:sectPr w:rsidR="00CA5D3F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F6AC0"/>
    <w:multiLevelType w:val="hybridMultilevel"/>
    <w:tmpl w:val="48C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B444D"/>
    <w:multiLevelType w:val="hybridMultilevel"/>
    <w:tmpl w:val="E858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C198C"/>
    <w:multiLevelType w:val="hybridMultilevel"/>
    <w:tmpl w:val="A4D4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45206"/>
    <w:multiLevelType w:val="hybridMultilevel"/>
    <w:tmpl w:val="EB2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9A"/>
    <w:rsid w:val="000A27C4"/>
    <w:rsid w:val="00186B53"/>
    <w:rsid w:val="00480EFC"/>
    <w:rsid w:val="00490B75"/>
    <w:rsid w:val="00587EB0"/>
    <w:rsid w:val="0098048B"/>
    <w:rsid w:val="00B92A9A"/>
    <w:rsid w:val="00CA5D3F"/>
    <w:rsid w:val="00D6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EECF9"/>
  <w15:chartTrackingRefBased/>
  <w15:docId w15:val="{197AF193-700F-4F43-8373-2137817C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2A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A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A9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A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9A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E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8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2</cp:revision>
  <dcterms:created xsi:type="dcterms:W3CDTF">2019-07-24T15:01:00Z</dcterms:created>
  <dcterms:modified xsi:type="dcterms:W3CDTF">2019-07-26T01:16:00Z</dcterms:modified>
</cp:coreProperties>
</file>