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D75D1" w14:textId="517337F5" w:rsidR="00EF0FA8" w:rsidRPr="00E91E9A" w:rsidRDefault="00926E95" w:rsidP="00E91E9A">
      <w:pPr>
        <w:rPr>
          <w:rFonts w:eastAsiaTheme="majorEastAsia" w:cstheme="majorBidi"/>
          <w:sz w:val="28"/>
          <w:szCs w:val="32"/>
        </w:rPr>
      </w:pPr>
      <w:bookmarkStart w:id="0" w:name="_Toc16185294"/>
      <w:r w:rsidRPr="00F96DB1">
        <w:t xml:space="preserve">Aim </w:t>
      </w:r>
      <w:r w:rsidR="00EF0FA8">
        <w:t>1</w:t>
      </w:r>
      <w:r w:rsidRPr="00F96DB1">
        <w:t xml:space="preserve">: </w:t>
      </w:r>
      <w:bookmarkStart w:id="1" w:name="_Toc16185295"/>
      <w:bookmarkEnd w:id="0"/>
      <w:r w:rsidR="00EF0FA8">
        <w:rPr>
          <w:rFonts w:cs="Times New Roman"/>
          <w:b/>
        </w:rPr>
        <w:t>Examine the effects of manipulation of the feeding window on female fertility, gestational health, and maternal glycemia during gestation.</w:t>
      </w:r>
      <w:r w:rsidR="00EF0FA8">
        <w:rPr>
          <w:rFonts w:cs="Times New Roman"/>
          <w:b/>
        </w:rPr>
        <w:br/>
      </w:r>
    </w:p>
    <w:p w14:paraId="6556CCBF" w14:textId="4B0559F4" w:rsidR="002E1770" w:rsidRDefault="00330625" w:rsidP="00EF0FA8">
      <w:pPr>
        <w:pStyle w:val="Heading1"/>
      </w:pPr>
      <w:r w:rsidRPr="00F96DB1">
        <w:t>Background:</w:t>
      </w:r>
      <w:bookmarkEnd w:id="1"/>
    </w:p>
    <w:p w14:paraId="0EA06C41" w14:textId="0707371C" w:rsidR="002E1770" w:rsidRDefault="002E1770" w:rsidP="002E1770">
      <w:pPr>
        <w:pStyle w:val="Heading3"/>
      </w:pPr>
      <w:r>
        <w:t>Time-restricted feeding</w:t>
      </w:r>
    </w:p>
    <w:p w14:paraId="3B65BFAC" w14:textId="79BD1426" w:rsidR="002E1770" w:rsidRDefault="004F1183" w:rsidP="002E1770">
      <w:pPr>
        <w:rPr>
          <w:rFonts w:cs="Times New Roman"/>
        </w:rPr>
      </w:pPr>
      <w:commentRangeStart w:id="2"/>
      <w:commentRangeStart w:id="3"/>
      <w:ins w:id="4" w:author="Dave Bridges" w:date="2019-11-27T09:28:00Z">
        <w:r>
          <w:rPr>
            <w:rFonts w:cs="Times New Roman"/>
            <w:noProof/>
          </w:rPr>
          <mc:AlternateContent>
            <mc:Choice Requires="wps">
              <w:drawing>
                <wp:anchor distT="0" distB="0" distL="114300" distR="114300" simplePos="0" relativeHeight="251660288" behindDoc="0" locked="0" layoutInCell="1" allowOverlap="1" wp14:anchorId="35DE9DC0" wp14:editId="16BF3861">
                  <wp:simplePos x="0" y="0"/>
                  <wp:positionH relativeFrom="column">
                    <wp:align>right</wp:align>
                  </wp:positionH>
                  <wp:positionV relativeFrom="paragraph">
                    <wp:posOffset>297158</wp:posOffset>
                  </wp:positionV>
                  <wp:extent cx="2029968" cy="2121408"/>
                  <wp:effectExtent l="0" t="0" r="2540" b="0"/>
                  <wp:wrapSquare wrapText="left"/>
                  <wp:docPr id="1" name="Text Box 1"/>
                  <wp:cNvGraphicFramePr/>
                  <a:graphic xmlns:a="http://schemas.openxmlformats.org/drawingml/2006/main">
                    <a:graphicData uri="http://schemas.microsoft.com/office/word/2010/wordprocessingShape">
                      <wps:wsp>
                        <wps:cNvSpPr txBox="1"/>
                        <wps:spPr>
                          <a:xfrm>
                            <a:off x="0" y="0"/>
                            <a:ext cx="2029968" cy="2121408"/>
                          </a:xfrm>
                          <a:prstGeom prst="rect">
                            <a:avLst/>
                          </a:prstGeom>
                          <a:solidFill>
                            <a:schemeClr val="lt1"/>
                          </a:solidFill>
                          <a:ln w="6350">
                            <a:noFill/>
                          </a:ln>
                        </wps:spPr>
                        <wps:txbx>
                          <w:txbxContent>
                            <w:p w14:paraId="3E92F007" w14:textId="590B2119" w:rsidR="004F1183" w:rsidRDefault="004F1183">
                              <w:pPr>
                                <w:rPr>
                                  <w:ins w:id="5" w:author="Dave Bridges" w:date="2019-11-27T09:28:00Z"/>
                                </w:rPr>
                              </w:pPr>
                              <w:ins w:id="6" w:author="Dave Bridges" w:date="2019-11-27T09:28:00Z">
                                <w:r>
                                  <w:rPr>
                                    <w:noProof/>
                                  </w:rPr>
                                  <w:drawing>
                                    <wp:inline distT="0" distB="0" distL="0" distR="0" wp14:anchorId="1B019DB7" wp14:editId="280C42F5">
                                      <wp:extent cx="1864995" cy="1259205"/>
                                      <wp:effectExtent l="0" t="0" r="190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ins>
                            </w:p>
                            <w:p w14:paraId="1BA4AA94" w14:textId="39D888DA" w:rsidR="004F1183" w:rsidRDefault="004F1183">
                              <w:ins w:id="7" w:author="Dave Bridges" w:date="2019-11-27T09:28:00Z">
                                <w:r>
                                  <w:t>Figure 1: XXXX</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E9DC0" id="_x0000_t202" coordsize="21600,21600" o:spt="202" path="m,l,21600r21600,l21600,xe">
                  <v:stroke joinstyle="miter"/>
                  <v:path gradientshapeok="t" o:connecttype="rect"/>
                </v:shapetype>
                <v:shape id="Text Box 1" o:spid="_x0000_s1026" type="#_x0000_t202" style="position:absolute;margin-left:108.65pt;margin-top:23.4pt;width:159.85pt;height:167.05pt;z-index:25166028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" fillcolor="white [3201]" stroked="f" strokeweight=".5pt">
                  <v:textbox>
                    <w:txbxContent>
                      <w:p w14:paraId="3E92F007" w14:textId="590B2119" w:rsidR="004F1183" w:rsidRDefault="004F1183">
                        <w:pPr>
                          <w:rPr>
                            <w:ins w:id="8" w:author="Dave Bridges" w:date="2019-11-27T09:28:00Z"/>
                          </w:rPr>
                        </w:pPr>
                        <w:ins w:id="9" w:author="Dave Bridges" w:date="2019-11-27T09:28:00Z">
                          <w:r>
                            <w:rPr>
                              <w:noProof/>
                            </w:rPr>
                            <w:drawing>
                              <wp:inline distT="0" distB="0" distL="0" distR="0" wp14:anchorId="1B019DB7" wp14:editId="280C42F5">
                                <wp:extent cx="1864995" cy="1259205"/>
                                <wp:effectExtent l="0" t="0" r="190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ins>
                      </w:p>
                      <w:p w14:paraId="1BA4AA94" w14:textId="39D888DA" w:rsidR="004F1183" w:rsidRDefault="004F1183">
                        <w:ins w:id="10" w:author="Dave Bridges" w:date="2019-11-27T09:28:00Z">
                          <w:r>
                            <w:t>Figure 1: XXXX</w:t>
                          </w:r>
                        </w:ins>
                      </w:p>
                    </w:txbxContent>
                  </v:textbox>
                  <w10:wrap type="square" side="left"/>
                </v:shape>
              </w:pict>
            </mc:Fallback>
          </mc:AlternateContent>
        </w:r>
      </w:ins>
      <w:del w:id="11" w:author="Dave Bridges" w:date="2019-11-27T09:28:00Z">
        <w:r w:rsidDel="004F1183">
          <w:rPr>
            <w:rFonts w:cs="Times New Roman"/>
            <w:noProof/>
          </w:rPr>
          <w:drawing>
            <wp:anchor distT="0" distB="0" distL="114300" distR="114300" simplePos="0" relativeHeight="251658240" behindDoc="1" locked="0" layoutInCell="1" allowOverlap="1" wp14:anchorId="27AAC2A0" wp14:editId="54C926BF">
              <wp:simplePos x="0" y="0"/>
              <wp:positionH relativeFrom="column">
                <wp:posOffset>3841115</wp:posOffset>
              </wp:positionH>
              <wp:positionV relativeFrom="paragraph">
                <wp:posOffset>66040</wp:posOffset>
              </wp:positionV>
              <wp:extent cx="1864995" cy="1259205"/>
              <wp:effectExtent l="0" t="0" r="1905" b="0"/>
              <wp:wrapTight wrapText="bothSides">
                <wp:wrapPolygon edited="0">
                  <wp:start x="0" y="0"/>
                  <wp:lineTo x="0" y="21349"/>
                  <wp:lineTo x="21475" y="21349"/>
                  <wp:lineTo x="214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vizualization-2.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14:sizeRelH relativeFrom="page">
                <wp14:pctWidth>0</wp14:pctWidth>
              </wp14:sizeRelH>
              <wp14:sizeRelV relativeFrom="page">
                <wp14:pctHeight>0</wp14:pctHeight>
              </wp14:sizeRelV>
            </wp:anchor>
          </w:drawing>
        </w:r>
      </w:del>
      <w:r w:rsidR="00D87C20">
        <w:rPr>
          <w:rFonts w:cs="Times New Roman"/>
        </w:rPr>
        <w:t xml:space="preserve">Time-restricted feeding </w:t>
      </w:r>
      <w:commentRangeEnd w:id="2"/>
      <w:r w:rsidR="000B062D">
        <w:rPr>
          <w:rStyle w:val="CommentReference"/>
        </w:rPr>
        <w:commentReference w:id="2"/>
      </w:r>
      <w:commentRangeEnd w:id="3"/>
      <w:r w:rsidR="000B062D">
        <w:rPr>
          <w:rStyle w:val="CommentReference"/>
        </w:rPr>
        <w:commentReference w:id="3"/>
      </w:r>
      <w:r w:rsidR="00D87C20">
        <w:rPr>
          <w:rFonts w:cs="Times New Roman"/>
        </w:rPr>
        <w:t>is a</w:t>
      </w:r>
      <w:ins w:id="12" w:author="Dave Bridges" w:date="2019-11-27T09:30:00Z">
        <w:r w:rsidR="002C32E9">
          <w:rPr>
            <w:rFonts w:cs="Times New Roman"/>
          </w:rPr>
          <w:t xml:space="preserve"> </w:t>
        </w:r>
      </w:ins>
      <w:del w:id="13" w:author="Dave Bridges" w:date="2019-11-27T09:30:00Z">
        <w:r w:rsidR="00D87C20" w:rsidDel="002C32E9">
          <w:rPr>
            <w:rFonts w:cs="Times New Roman"/>
          </w:rPr>
          <w:delText xml:space="preserve"> feeding approach</w:delText>
        </w:r>
      </w:del>
      <w:ins w:id="14" w:author="Dave Bridges" w:date="2019-11-27T09:30:00Z">
        <w:r w:rsidR="002C32E9">
          <w:rPr>
            <w:rFonts w:cs="Times New Roman"/>
          </w:rPr>
          <w:t>dietary</w:t>
        </w:r>
      </w:ins>
      <w:r w:rsidR="00D87C20">
        <w:rPr>
          <w:rFonts w:cs="Times New Roman"/>
        </w:rPr>
        <w:t xml:space="preserve"> that is gaining in</w:t>
      </w:r>
      <w:r w:rsidR="00C87264">
        <w:rPr>
          <w:rFonts w:cs="Times New Roman"/>
        </w:rPr>
        <w:t xml:space="preserve"> popular interest</w:t>
      </w:r>
      <w:del w:id="15" w:author="Dave Bridges" w:date="2019-11-27T09:31:00Z">
        <w:r w:rsidR="00C87264" w:rsidDel="002C32E9">
          <w:rPr>
            <w:rFonts w:cs="Times New Roman"/>
          </w:rPr>
          <w:delText>, as depicted in figure</w:delText>
        </w:r>
      </w:del>
      <w:ins w:id="16" w:author="Dave Bridges" w:date="2019-11-27T09:31:00Z">
        <w:r w:rsidR="002C32E9">
          <w:rPr>
            <w:rFonts w:cs="Times New Roman"/>
          </w:rPr>
          <w:t xml:space="preserve"> (Figure</w:t>
        </w:r>
      </w:ins>
      <w:r w:rsidR="00C87264">
        <w:rPr>
          <w:rFonts w:cs="Times New Roman"/>
        </w:rPr>
        <w:t xml:space="preserve"> 1</w:t>
      </w:r>
      <w:ins w:id="17" w:author="Dave Bridges" w:date="2019-11-27T09:31:00Z">
        <w:r w:rsidR="002C32E9">
          <w:rPr>
            <w:rFonts w:cs="Times New Roman"/>
          </w:rPr>
          <w:t>)</w:t>
        </w:r>
      </w:ins>
      <w:r w:rsidR="00D87C20">
        <w:rPr>
          <w:rFonts w:cs="Times New Roman"/>
        </w:rPr>
        <w:t xml:space="preserve">. </w:t>
      </w:r>
      <w:del w:id="18" w:author="Dave Bridges" w:date="2019-11-27T09:31:00Z">
        <w:r w:rsidR="002E1770" w:rsidDel="002C32E9">
          <w:rPr>
            <w:rFonts w:cs="Times New Roman"/>
          </w:rPr>
          <w:delText>Time restricted feeding is a feeding strategy that is known to affect insulin</w:delText>
        </w:r>
      </w:del>
      <w:ins w:id="19" w:author="Dave Bridges" w:date="2019-11-27T09:31:00Z">
        <w:r w:rsidR="002C32E9">
          <w:rPr>
            <w:rFonts w:cs="Times New Roman"/>
          </w:rPr>
          <w:t>Studies in humans have demonstrated improvements in insulin</w:t>
        </w:r>
      </w:ins>
      <w:r w:rsidR="002E1770">
        <w:rPr>
          <w:rFonts w:cs="Times New Roman"/>
        </w:rPr>
        <w:t xml:space="preserve"> sensitivity</w:t>
      </w:r>
      <w:ins w:id="20" w:author="Dave Bridges" w:date="2019-11-27T09:32:00Z">
        <w:r w:rsidR="002C32E9">
          <w:rPr>
            <w:rFonts w:cs="Times New Roman"/>
          </w:rPr>
          <w:t xml:space="preserve">, </w:t>
        </w:r>
        <w:proofErr w:type="spellStart"/>
        <w:r w:rsidR="002C32E9">
          <w:rPr>
            <w:rFonts w:cs="Times New Roman"/>
          </w:rPr>
          <w:t>hypertensoin</w:t>
        </w:r>
      </w:ins>
      <w:proofErr w:type="spellEnd"/>
      <w:r w:rsidR="002E1770">
        <w:rPr>
          <w:rFonts w:cs="Times New Roman"/>
        </w:rPr>
        <w:t xml:space="preserve">, as well as other molecular markers of health </w:t>
      </w:r>
      <w:r w:rsidR="002E1770">
        <w:rPr>
          <w:rFonts w:cs="Times New Roman"/>
        </w:rPr>
        <w:fldChar w:fldCharType="begin"/>
      </w:r>
      <w:r w:rsidR="002E1770">
        <w:rPr>
          <w:rFonts w:cs="Times New Roman"/>
        </w:rPr>
        <w:instrText xml:space="preserve"> ADDIN ZOTERO_ITEM CSL_CITATION {"citationID":"IzrMpHrL","properties":{"formattedCitation":"(Halberg et al., 2005; Hatori et al., 2012; Kahleova, Lloren, Mashchak, Hill, &amp; Fraser, 2017; Liu et al., 2019; n.d.; Ravussin, Beyl, Poggiogalle, Hsia, &amp; Peterson, 2019; Sherman et al., 2012; Sutton et al., 2018; Woodie et al., 2018)","plainCitation":"(Halberg et al., 2005; Hatori et al., 2012; Kahleova, Lloren, Mashchak, Hill, &amp; Fraser, 2017; Liu et al., 2019; n.d.; Ravussin, Beyl, Poggiogalle, Hsia, &amp; Peterson, 2019; Sherman et al., 2012; Sutton et al., 2018; Woodie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H."},{"family":"Panda","given":"Satchidananda"}],"issued":{"date-parts":[["2012",6,6]]}}},{"id":88,"uris":["http://zotero.org/users/5073745/items/K5ICHLLM"],"uri":["http://zotero.org/users/5073745/items/K5ICHLLM"],"itemData":{"id":88,"type":"article-journal","title":"Meal Frequency and Timing Are Associated with Changes in Body Mass Index in Adventist Health Study 2","container-title":"The Journal of Nutrition","page":"1722-1728","volume":"147","issue":"9","source":"academic-oup-com.proxy.lib.umich.edu","abstract":"Abstract.  Background: Scientific evidence for the optimal number, timing, and size of meals is lacking.Objective: We investigated the relation between meal fre","DOI":"10.3945/jn.116.244749","ISSN":"0022-3166","journalAbbreviation":"J Nutr","language":"en","author":[{"family":"Kahleova","given":"Hana"},{"family":"Lloren","given":"Jan Irene"},{"family":"Mashchak","given":"Andrew"},{"family":"Hill","given":"Martin"},{"family":"Fraser","given":"Gary E."}],"issued":{"date-parts":[["2017",9,1]]}}},{"id":64,"uris":["http://zotero.org/users/5073745/items/97JC579J"],"uri":["http://zotero.org/users/5073745/items/97JC579J"],"itemData":{"id":64,"type":"article-journal","title":"Intermittent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title":"Early Time-Restricted Feeding Reduces Appetite and Increases Fat Oxidation But Does Not Affect Energy Expenditure in Humans","container-title":"Obesity","page":"1244-1254","volume":"27","issue":"8","source":"Wiley Online Library","abstract":"Objective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oxidation.","DOI":"10.1002/oby.22518","ISSN":"1930-739X","language":"en","author":[{"family":"Ravussin","given":"Eric"},{"family":"Beyl","given":"Robbie A."},{"family":"Poggiogalle","given":"Eleonora"},{"family":"Hsia","given":"Daniel S."},{"family":"Peterson","given":"Courtney M."}],"issued":{"date-parts":[["2019"]]}}},{"id":12,"uris":["http://zotero.org/users/5073745/items/P497KC7N"],"uri":["http://zotero.org/users/5073745/items/P497KC7N"],"itemData":{"id":12,"type":"article-journal","title":"Timed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2E1770">
        <w:rPr>
          <w:rFonts w:cs="Times New Roman"/>
        </w:rPr>
        <w:fldChar w:fldCharType="separate"/>
      </w:r>
      <w:r w:rsidR="001916B7">
        <w:rPr>
          <w:rFonts w:cs="Times New Roman"/>
        </w:rPr>
        <w:t>(Halberg et al., 2005; Hatori et al., 2012; Kahleova, Lloren, Mashchak, Hill, &amp; Fraser, 2017; Liu et al., 2019; n.d.; Ravussin, Beyl, Poggiogalle, Hsia, &amp; Peterson, 2019; Sherman et al., 2012; Sutton et al., 2018; Woodie et al., 2018)</w:t>
      </w:r>
      <w:r w:rsidR="002E1770">
        <w:rPr>
          <w:rFonts w:cs="Times New Roman"/>
        </w:rPr>
        <w:fldChar w:fldCharType="end"/>
      </w:r>
      <w:r w:rsidR="002E1770">
        <w:rPr>
          <w:rFonts w:cs="Times New Roman"/>
        </w:rPr>
        <w:t xml:space="preserve">. </w:t>
      </w:r>
      <w:ins w:id="21" w:author="Dave Bridges" w:date="2019-11-27T09:34:00Z">
        <w:r w:rsidR="000B062D">
          <w:rPr>
            <w:rFonts w:cs="Times New Roman"/>
          </w:rPr>
          <w:t xml:space="preserve">An overview </w:t>
        </w:r>
      </w:ins>
      <w:del w:id="22" w:author="Dave Bridges" w:date="2019-11-27T09:32:00Z">
        <w:r w:rsidR="002E1770" w:rsidDel="000B062D">
          <w:rPr>
            <w:rFonts w:cs="Times New Roman"/>
          </w:rPr>
          <w:delText>Furthermore, many rodent</w:delText>
        </w:r>
      </w:del>
      <w:ins w:id="23" w:author="Dave Bridges" w:date="2019-11-27T09:34:00Z">
        <w:r w:rsidR="000B062D">
          <w:rPr>
            <w:rFonts w:cs="Times New Roman"/>
          </w:rPr>
          <w:t>of r</w:t>
        </w:r>
      </w:ins>
      <w:ins w:id="24" w:author="Dave Bridges" w:date="2019-11-27T09:32:00Z">
        <w:r w:rsidR="000B062D">
          <w:rPr>
            <w:rFonts w:cs="Times New Roman"/>
          </w:rPr>
          <w:t>odent</w:t>
        </w:r>
      </w:ins>
      <w:r w:rsidR="002E1770">
        <w:rPr>
          <w:rFonts w:cs="Times New Roman"/>
        </w:rPr>
        <w:t xml:space="preserve"> models of TRF demonstrate metabolic improvements in insulin resistance without weight loss </w:t>
      </w:r>
      <w:r w:rsidR="002E1770">
        <w:rPr>
          <w:rFonts w:cs="Times New Roman"/>
        </w:rPr>
        <w:fldChar w:fldCharType="begin"/>
      </w:r>
      <w:r w:rsidR="002E1770">
        <w:rPr>
          <w:rFonts w:cs="Times New Roman"/>
        </w:rPr>
        <w:instrText xml:space="preserve"> ADDIN ZOTERO_ITEM CSL_CITATION {"citationID":"GphUrk6L","properties":{"formattedCitation":"(Hatori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2E1770">
        <w:rPr>
          <w:rFonts w:cs="Times New Roman"/>
        </w:rPr>
        <w:fldChar w:fldCharType="separate"/>
      </w:r>
      <w:r w:rsidR="001916B7">
        <w:rPr>
          <w:rFonts w:cs="Times New Roman"/>
          <w:noProof/>
        </w:rPr>
        <w:t>(</w:t>
      </w:r>
      <w:ins w:id="25" w:author="Dave Bridges" w:date="2019-11-27T09:34:00Z">
        <w:r w:rsidR="000B062D">
          <w:rPr>
            <w:rFonts w:cs="Times New Roman"/>
            <w:noProof/>
          </w:rPr>
          <w:t xml:space="preserve">Table XX, </w:t>
        </w:r>
      </w:ins>
      <w:r w:rsidR="001916B7">
        <w:rPr>
          <w:rFonts w:cs="Times New Roman"/>
          <w:noProof/>
        </w:rPr>
        <w:t>Hatori et al., 2012; Liu et al., 2019; Sherman et al., 2012; Woodie et al., 2018)</w:t>
      </w:r>
      <w:r w:rsidR="002E1770">
        <w:rPr>
          <w:rFonts w:cs="Times New Roman"/>
        </w:rPr>
        <w:fldChar w:fldCharType="end"/>
      </w:r>
      <w:ins w:id="26" w:author="Dave Bridges" w:date="2019-11-27T09:34:00Z">
        <w:r w:rsidR="000B062D">
          <w:rPr>
            <w:rFonts w:cs="Times New Roman"/>
          </w:rPr>
          <w:t>.  This</w:t>
        </w:r>
      </w:ins>
      <w:del w:id="27" w:author="Dave Bridges" w:date="2019-11-27T09:33:00Z">
        <w:r w:rsidR="002E1770" w:rsidDel="000B062D">
          <w:rPr>
            <w:rFonts w:cs="Times New Roman"/>
          </w:rPr>
          <w:delText>,</w:delText>
        </w:r>
      </w:del>
      <w:r w:rsidR="002E1770">
        <w:rPr>
          <w:rFonts w:cs="Times New Roman"/>
        </w:rPr>
        <w:t xml:space="preserve"> </w:t>
      </w:r>
      <w:del w:id="28" w:author="Dave Bridges" w:date="2019-11-27T09:34:00Z">
        <w:r w:rsidR="002E1770" w:rsidDel="000B062D">
          <w:rPr>
            <w:rFonts w:cs="Times New Roman"/>
          </w:rPr>
          <w:delText xml:space="preserve">suggesting </w:delText>
        </w:r>
      </w:del>
      <w:ins w:id="29" w:author="Dave Bridges" w:date="2019-11-27T09:34:00Z">
        <w:r w:rsidR="000B062D">
          <w:rPr>
            <w:rFonts w:cs="Times New Roman"/>
          </w:rPr>
          <w:t>suggest</w:t>
        </w:r>
        <w:r w:rsidR="000B062D">
          <w:rPr>
            <w:rFonts w:cs="Times New Roman"/>
          </w:rPr>
          <w:t>s</w:t>
        </w:r>
        <w:r w:rsidR="000B062D">
          <w:rPr>
            <w:rFonts w:cs="Times New Roman"/>
          </w:rPr>
          <w:t xml:space="preserve"> </w:t>
        </w:r>
      </w:ins>
      <w:del w:id="30" w:author="Dave Bridges" w:date="2019-11-27T09:34:00Z">
        <w:r w:rsidR="002E1770" w:rsidDel="000B062D">
          <w:rPr>
            <w:rFonts w:cs="Times New Roman"/>
          </w:rPr>
          <w:delText xml:space="preserve">it </w:delText>
        </w:r>
      </w:del>
      <w:ins w:id="31" w:author="Dave Bridges" w:date="2019-11-27T09:34:00Z">
        <w:r w:rsidR="000B062D">
          <w:rPr>
            <w:rFonts w:cs="Times New Roman"/>
          </w:rPr>
          <w:t>that time-restricted feeding</w:t>
        </w:r>
        <w:r w:rsidR="000B062D">
          <w:rPr>
            <w:rFonts w:cs="Times New Roman"/>
          </w:rPr>
          <w:t xml:space="preserve"> </w:t>
        </w:r>
      </w:ins>
      <w:r w:rsidR="002E1770">
        <w:rPr>
          <w:rFonts w:cs="Times New Roman"/>
        </w:rPr>
        <w:t>may be a</w:t>
      </w:r>
      <w:del w:id="32" w:author="Dave Bridges" w:date="2019-11-27T09:33:00Z">
        <w:r w:rsidR="002E1770" w:rsidDel="000B062D">
          <w:rPr>
            <w:rFonts w:cs="Times New Roman"/>
          </w:rPr>
          <w:delText xml:space="preserve"> uniquely </w:delText>
        </w:r>
      </w:del>
      <w:ins w:id="33" w:author="Dave Bridges" w:date="2019-11-27T09:33:00Z">
        <w:r w:rsidR="000B062D">
          <w:rPr>
            <w:rFonts w:cs="Times New Roman"/>
          </w:rPr>
          <w:t xml:space="preserve">n </w:t>
        </w:r>
      </w:ins>
      <w:r w:rsidR="002E1770">
        <w:rPr>
          <w:rFonts w:cs="Times New Roman"/>
        </w:rPr>
        <w:t xml:space="preserve">appropriate strategy for use in insulin resistant pregnant women. </w:t>
      </w:r>
      <w:del w:id="34" w:author="Dave Bridges" w:date="2019-11-27T09:35:00Z">
        <w:r w:rsidR="002E1770" w:rsidDel="00412002">
          <w:rPr>
            <w:rFonts w:cs="Times New Roman"/>
          </w:rPr>
          <w:delText>Although many things affected during pregnancy are also affected by TRF, t</w:delText>
        </w:r>
      </w:del>
      <w:ins w:id="35" w:author="Dave Bridges" w:date="2019-11-27T09:35:00Z">
        <w:r w:rsidR="00412002">
          <w:rPr>
            <w:rFonts w:cs="Times New Roman"/>
          </w:rPr>
          <w:t>T</w:t>
        </w:r>
      </w:ins>
      <w:r w:rsidR="002E1770">
        <w:rPr>
          <w:rFonts w:cs="Times New Roman"/>
        </w:rPr>
        <w:t xml:space="preserve">o date, no study has evaluated time-restricted feeding of normal chow in mouse pregnancy. Only one study of time restricted feeding during gestation </w:t>
      </w:r>
      <w:del w:id="36" w:author="Dave Bridges" w:date="2019-11-27T09:35:00Z">
        <w:r w:rsidR="002E1770" w:rsidDel="00412002">
          <w:rPr>
            <w:rFonts w:cs="Times New Roman"/>
          </w:rPr>
          <w:delText>was completed</w:delText>
        </w:r>
      </w:del>
      <w:ins w:id="37" w:author="Dave Bridges" w:date="2019-11-27T09:35:00Z">
        <w:r w:rsidR="00412002">
          <w:rPr>
            <w:rFonts w:cs="Times New Roman"/>
          </w:rPr>
          <w:t>has been published</w:t>
        </w:r>
      </w:ins>
      <w:r w:rsidR="002E1770">
        <w:rPr>
          <w:rFonts w:cs="Times New Roman"/>
        </w:rPr>
        <w:t xml:space="preserve">, which utilized 60% high fat diet (HFD) and </w:t>
      </w:r>
      <w:r w:rsidR="004B370A">
        <w:rPr>
          <w:rFonts w:cs="Times New Roman"/>
        </w:rPr>
        <w:t>W</w:t>
      </w:r>
      <w:r w:rsidR="002E1770">
        <w:rPr>
          <w:rFonts w:cs="Times New Roman"/>
        </w:rPr>
        <w:t xml:space="preserve">istar rats </w:t>
      </w:r>
      <w:r w:rsidR="002E1770">
        <w:rPr>
          <w:rFonts w:cs="Times New Roman"/>
        </w:rPr>
        <w:fldChar w:fldCharType="begin"/>
      </w:r>
      <w:r w:rsidR="002E1770">
        <w:rPr>
          <w:rFonts w:cs="Times New Roman"/>
        </w:rPr>
        <w:instrText xml:space="preserve"> ADDIN ZOTERO_ITEM CSL_CITATION {"citationID":"cgRBuGsc","properties":{"formattedCitation":"(Upadhyay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E1770">
        <w:rPr>
          <w:rFonts w:cs="Times New Roman"/>
        </w:rPr>
        <w:fldChar w:fldCharType="separate"/>
      </w:r>
      <w:r w:rsidR="001916B7">
        <w:rPr>
          <w:rFonts w:cs="Times New Roman"/>
          <w:noProof/>
        </w:rPr>
        <w:t>(Upadhyay et al., 2019)</w:t>
      </w:r>
      <w:r w:rsidR="002E1770">
        <w:rPr>
          <w:rFonts w:cs="Times New Roman"/>
        </w:rPr>
        <w:fldChar w:fldCharType="end"/>
      </w:r>
      <w:r w:rsidR="002E1770">
        <w:rPr>
          <w:rFonts w:cs="Times New Roman"/>
        </w:rPr>
        <w:t xml:space="preserve">. This work demonstrated that HFD-TRF feeding led to </w:t>
      </w:r>
      <w:del w:id="38" w:author="Dave Bridges" w:date="2019-11-27T09:35:00Z">
        <w:r w:rsidR="002E1770" w:rsidDel="00412002">
          <w:rPr>
            <w:rFonts w:cs="Times New Roman"/>
          </w:rPr>
          <w:delText xml:space="preserve">a </w:delText>
        </w:r>
      </w:del>
      <w:r w:rsidR="002E1770">
        <w:rPr>
          <w:rFonts w:cs="Times New Roman"/>
        </w:rPr>
        <w:t xml:space="preserve">similar </w:t>
      </w:r>
      <w:del w:id="39" w:author="Dave Bridges" w:date="2019-11-27T09:35:00Z">
        <w:r w:rsidR="002E1770" w:rsidDel="00412002">
          <w:rPr>
            <w:rFonts w:cs="Times New Roman"/>
          </w:rPr>
          <w:delText>number of kcals</w:delText>
        </w:r>
      </w:del>
      <w:ins w:id="40" w:author="Dave Bridges" w:date="2019-11-27T09:35:00Z">
        <w:r w:rsidR="00412002">
          <w:rPr>
            <w:rFonts w:cs="Times New Roman"/>
          </w:rPr>
          <w:t>caloric intake</w:t>
        </w:r>
      </w:ins>
      <w:r w:rsidR="002E1770">
        <w:rPr>
          <w:rFonts w:cs="Times New Roman"/>
        </w:rPr>
        <w:t xml:space="preserve"> consumed by both HFD-TRF and HFD-AL</w:t>
      </w:r>
      <w:del w:id="41" w:author="Dave Bridges" w:date="2019-11-27T09:36:00Z">
        <w:r w:rsidR="002E1770" w:rsidDel="00412002">
          <w:rPr>
            <w:rFonts w:cs="Times New Roman"/>
          </w:rPr>
          <w:delText xml:space="preserve"> </w:delText>
        </w:r>
      </w:del>
      <w:ins w:id="42" w:author="Dave Bridges" w:date="2019-11-27T09:36:00Z">
        <w:r w:rsidR="00412002">
          <w:rPr>
            <w:rFonts w:cs="Times New Roman"/>
          </w:rPr>
          <w:t xml:space="preserve"> (</w:t>
        </w:r>
        <w:r w:rsidR="00412002" w:rsidRPr="00412002">
          <w:rPr>
            <w:rFonts w:cs="Times New Roman"/>
            <w:i/>
            <w:rPrChange w:id="43" w:author="Dave Bridges" w:date="2019-11-27T09:36:00Z">
              <w:rPr>
                <w:rFonts w:cs="Times New Roman"/>
              </w:rPr>
            </w:rPrChange>
          </w:rPr>
          <w:t>ad libitum</w:t>
        </w:r>
        <w:r w:rsidR="00412002">
          <w:rPr>
            <w:rFonts w:cs="Times New Roman"/>
          </w:rPr>
          <w:t xml:space="preserve">) </w:t>
        </w:r>
      </w:ins>
      <w:r w:rsidR="002E1770">
        <w:rPr>
          <w:rFonts w:cs="Times New Roman"/>
        </w:rPr>
        <w:t>counterparts</w:t>
      </w:r>
      <w:del w:id="44" w:author="Dave Bridges" w:date="2019-11-27T09:36:00Z">
        <w:r w:rsidR="002E1770" w:rsidDel="00412002">
          <w:rPr>
            <w:rFonts w:cs="Times New Roman"/>
          </w:rPr>
          <w:delText>. With</w:delText>
        </w:r>
      </w:del>
      <w:ins w:id="45" w:author="Dave Bridges" w:date="2019-11-27T09:36:00Z">
        <w:r w:rsidR="00412002">
          <w:rPr>
            <w:rFonts w:cs="Times New Roman"/>
          </w:rPr>
          <w:t>, with</w:t>
        </w:r>
      </w:ins>
      <w:r w:rsidR="002E1770">
        <w:rPr>
          <w:rFonts w:cs="Times New Roman"/>
        </w:rPr>
        <w:t xml:space="preserve"> similar</w:t>
      </w:r>
      <w:del w:id="46" w:author="Dave Bridges" w:date="2019-11-27T09:29:00Z">
        <w:r w:rsidR="002E1770" w:rsidDel="004F1183">
          <w:rPr>
            <w:rFonts w:cs="Times New Roman"/>
          </w:rPr>
          <w:delText xml:space="preserve"> </w:delText>
        </w:r>
      </w:del>
      <w:r w:rsidR="002E1770">
        <w:rPr>
          <w:rFonts w:cs="Times New Roman"/>
        </w:rPr>
        <w:t xml:space="preserve"> pre-pregnancy body weight gain between these groups. </w:t>
      </w:r>
      <w:del w:id="47" w:author="Dave Bridges" w:date="2019-11-27T09:36:00Z">
        <w:r w:rsidR="002E1770" w:rsidDel="00412002">
          <w:rPr>
            <w:rFonts w:cs="Times New Roman"/>
          </w:rPr>
          <w:delText>They failed to look at compartmentalization of the body weight before and during</w:delText>
        </w:r>
      </w:del>
      <w:ins w:id="48" w:author="Dave Bridges" w:date="2019-11-27T09:36:00Z">
        <w:r w:rsidR="00412002">
          <w:rPr>
            <w:rFonts w:cs="Times New Roman"/>
          </w:rPr>
          <w:t>This study did not evaluate body composition</w:t>
        </w:r>
      </w:ins>
      <w:del w:id="49" w:author="Dave Bridges" w:date="2019-11-27T09:36:00Z">
        <w:r w:rsidR="002E1770" w:rsidDel="00412002">
          <w:rPr>
            <w:rFonts w:cs="Times New Roman"/>
          </w:rPr>
          <w:delText xml:space="preserve"> pregnancy</w:delText>
        </w:r>
      </w:del>
      <w:r w:rsidR="002E1770">
        <w:rPr>
          <w:rFonts w:cs="Times New Roman"/>
        </w:rPr>
        <w:t>, and did not asses maternal insulin sensitivity or glycemi</w:t>
      </w:r>
      <w:ins w:id="50" w:author="Dave Bridges" w:date="2019-11-27T09:36:00Z">
        <w:r w:rsidR="00412002">
          <w:rPr>
            <w:rFonts w:cs="Times New Roman"/>
          </w:rPr>
          <w:t>c control</w:t>
        </w:r>
      </w:ins>
      <w:del w:id="51" w:author="Dave Bridges" w:date="2019-11-27T09:36:00Z">
        <w:r w:rsidR="002E1770" w:rsidDel="00412002">
          <w:rPr>
            <w:rFonts w:cs="Times New Roman"/>
          </w:rPr>
          <w:delText>a</w:delText>
        </w:r>
      </w:del>
      <w:r w:rsidR="002E1770">
        <w:rPr>
          <w:rFonts w:cs="Times New Roman"/>
        </w:rPr>
        <w:t>. For this reason, I propose to study the effect of TRF in mice before and during pregnancy.</w:t>
      </w:r>
    </w:p>
    <w:p w14:paraId="20DFFB42" w14:textId="77777777" w:rsidR="002E1770" w:rsidRPr="004B030F" w:rsidRDefault="002E1770" w:rsidP="004B030F">
      <w:pPr>
        <w:rPr>
          <w:ins w:id="52" w:author="Molly Carter" w:date="2019-08-21T09:12:00Z"/>
        </w:rPr>
      </w:pPr>
    </w:p>
    <w:p w14:paraId="2576A777" w14:textId="4DF9AA94" w:rsidR="00C43ACC" w:rsidRDefault="00C43ACC" w:rsidP="00C43ACC">
      <w:pPr>
        <w:pStyle w:val="Heading3"/>
      </w:pPr>
      <w:commentRangeStart w:id="53"/>
      <w:r>
        <w:t>Pregnancy is a crit</w:t>
      </w:r>
      <w:r w:rsidR="00101BEE">
        <w:t>i</w:t>
      </w:r>
      <w:r>
        <w:t xml:space="preserve">cal time for </w:t>
      </w:r>
      <w:r w:rsidR="00101BEE">
        <w:t xml:space="preserve">maternal </w:t>
      </w:r>
      <w:r>
        <w:t>health and physiological adaptation</w:t>
      </w:r>
      <w:commentRangeEnd w:id="53"/>
      <w:r w:rsidR="0010288E">
        <w:rPr>
          <w:rStyle w:val="CommentReference"/>
          <w:rFonts w:ascii="Times New Roman" w:eastAsiaTheme="minorHAnsi" w:hAnsi="Times New Roman" w:cstheme="minorBidi"/>
          <w:color w:val="auto"/>
        </w:rPr>
        <w:commentReference w:id="53"/>
      </w:r>
    </w:p>
    <w:p w14:paraId="5D606E0D" w14:textId="0D88C104" w:rsidR="00444E8B" w:rsidRDefault="00E77202" w:rsidP="00330625">
      <w:pPr>
        <w:rPr>
          <w:rFonts w:cs="Times New Roman"/>
        </w:rPr>
      </w:pPr>
      <w:del w:id="54" w:author="Dave Bridges" w:date="2019-11-27T09:38:00Z">
        <w:r w:rsidDel="005F78FD">
          <w:rPr>
            <w:rFonts w:cs="Times New Roman"/>
          </w:rPr>
          <w:delText>Nutrient composition</w:delText>
        </w:r>
      </w:del>
      <w:ins w:id="55" w:author="Dave Bridges" w:date="2019-11-27T09:38:00Z">
        <w:r w:rsidR="005F78FD">
          <w:rPr>
            <w:rFonts w:cs="Times New Roman"/>
          </w:rPr>
          <w:t>Nutrition</w:t>
        </w:r>
      </w:ins>
      <w:r>
        <w:rPr>
          <w:rFonts w:cs="Times New Roman"/>
        </w:rPr>
        <w:t xml:space="preserve"> </w:t>
      </w:r>
      <w:proofErr w:type="spellStart"/>
      <w:r>
        <w:rPr>
          <w:rFonts w:cs="Times New Roman"/>
        </w:rPr>
        <w:t>and</w:t>
      </w:r>
      <w:proofErr w:type="spellEnd"/>
      <w:r>
        <w:rPr>
          <w:rFonts w:cs="Times New Roman"/>
        </w:rPr>
        <w:t xml:space="preserve"> nutrient restriction have been well studied in </w:t>
      </w:r>
      <w:del w:id="56" w:author="Dave Bridges" w:date="2019-11-27T09:38:00Z">
        <w:r w:rsidDel="005F78FD">
          <w:rPr>
            <w:rFonts w:cs="Times New Roman"/>
          </w:rPr>
          <w:delText xml:space="preserve">the physiological state of </w:delText>
        </w:r>
      </w:del>
      <w:r>
        <w:rPr>
          <w:rFonts w:cs="Times New Roman"/>
        </w:rPr>
        <w:t>pregnancy</w:t>
      </w:r>
      <w:r w:rsidR="004241AB">
        <w:rPr>
          <w:rFonts w:cs="Times New Roman"/>
        </w:rPr>
        <w:t xml:space="preserve">. </w:t>
      </w:r>
      <w:del w:id="57" w:author="Dave Bridges" w:date="2019-11-27T09:38:00Z">
        <w:r w:rsidDel="005F78FD">
          <w:rPr>
            <w:rFonts w:cs="Times New Roman"/>
          </w:rPr>
          <w:delText>There is sufficient evidence to support that d</w:delText>
        </w:r>
      </w:del>
      <w:ins w:id="58" w:author="Dave Bridges" w:date="2019-11-27T09:38:00Z">
        <w:r w:rsidR="005F78FD">
          <w:rPr>
            <w:rFonts w:cs="Times New Roman"/>
          </w:rPr>
          <w:t>D</w:t>
        </w:r>
      </w:ins>
      <w:r>
        <w:rPr>
          <w:rFonts w:cs="Times New Roman"/>
        </w:rPr>
        <w:t xml:space="preserve">iet </w:t>
      </w:r>
      <w:r w:rsidR="006E5903">
        <w:rPr>
          <w:rFonts w:cs="Times New Roman"/>
        </w:rPr>
        <w:t>can modulate</w:t>
      </w:r>
      <w:r>
        <w:rPr>
          <w:rFonts w:cs="Times New Roman"/>
        </w:rPr>
        <w:t xml:space="preserve"> not only offspring health, but also the health of the mother during</w:t>
      </w:r>
      <w:r w:rsidR="00A06EE7">
        <w:rPr>
          <w:rFonts w:cs="Times New Roman"/>
        </w:rPr>
        <w:t>, and long after gestation</w:t>
      </w:r>
      <w:r>
        <w:rPr>
          <w:rFonts w:cs="Times New Roman"/>
        </w:rPr>
        <w:t xml:space="preserve"> (</w:t>
      </w:r>
      <w:r w:rsidR="002E1DE6">
        <w:rPr>
          <w:rFonts w:cs="Times New Roman"/>
        </w:rPr>
        <w:t xml:space="preserve">Walter, 2014; </w:t>
      </w:r>
      <w:r w:rsidR="00A06EE7">
        <w:rPr>
          <w:rFonts w:cs="Times New Roman"/>
        </w:rPr>
        <w:t>Donnelly, 2019</w:t>
      </w:r>
      <w:r>
        <w:rPr>
          <w:rFonts w:cs="Times New Roman"/>
        </w:rPr>
        <w:t xml:space="preserve">). </w:t>
      </w:r>
      <w:del w:id="59" w:author="Dave Bridges" w:date="2019-11-27T09:39:00Z">
        <w:r w:rsidR="00AC0193" w:rsidDel="005F78FD">
          <w:rPr>
            <w:rFonts w:cs="Times New Roman"/>
          </w:rPr>
          <w:delText xml:space="preserve">There have been studies that investigate maternal food restriction in both human and animal models. </w:delText>
        </w:r>
      </w:del>
      <w:r w:rsidR="00AC0193">
        <w:rPr>
          <w:rFonts w:cs="Times New Roman"/>
        </w:rPr>
        <w:t>One such study</w:t>
      </w:r>
      <w:ins w:id="60" w:author="Dave Bridges" w:date="2019-11-27T09:39:00Z">
        <w:r w:rsidR="005F78FD">
          <w:rPr>
            <w:rFonts w:cs="Times New Roman"/>
          </w:rPr>
          <w:t xml:space="preserve"> of maternal food restriction</w:t>
        </w:r>
      </w:ins>
      <w:r w:rsidR="00AC0193">
        <w:rPr>
          <w:rFonts w:cs="Times New Roman"/>
        </w:rPr>
        <w:t xml:space="preserve"> that is largely credited with the burgeoning of the </w:t>
      </w:r>
      <w:commentRangeStart w:id="61"/>
      <w:proofErr w:type="spellStart"/>
      <w:r w:rsidR="00AC0193">
        <w:rPr>
          <w:rFonts w:cs="Times New Roman"/>
        </w:rPr>
        <w:t>DOHaD</w:t>
      </w:r>
      <w:proofErr w:type="spellEnd"/>
      <w:r w:rsidR="00AC0193">
        <w:rPr>
          <w:rFonts w:cs="Times New Roman"/>
        </w:rPr>
        <w:t xml:space="preserve"> </w:t>
      </w:r>
      <w:commentRangeEnd w:id="61"/>
      <w:r w:rsidR="005F78FD">
        <w:rPr>
          <w:rStyle w:val="CommentReference"/>
        </w:rPr>
        <w:commentReference w:id="61"/>
      </w:r>
      <w:r w:rsidR="00AC0193">
        <w:rPr>
          <w:rFonts w:cs="Times New Roman"/>
        </w:rPr>
        <w:t xml:space="preserve">field is that of </w:t>
      </w:r>
      <w:r w:rsidR="004241AB">
        <w:rPr>
          <w:rFonts w:cs="Times New Roman"/>
        </w:rPr>
        <w:t>the Dutch Hunger Winter</w:t>
      </w:r>
      <w:r w:rsidR="00AC0193">
        <w:rPr>
          <w:rFonts w:cs="Times New Roman"/>
        </w:rPr>
        <w:t xml:space="preserve"> wherein the effects of severe nutrient restriction during pregnancy </w:t>
      </w:r>
      <w:r w:rsidR="004241AB">
        <w:rPr>
          <w:rFonts w:cs="Times New Roman"/>
        </w:rPr>
        <w:t xml:space="preserve">during extreme rationing in WWII had a </w:t>
      </w:r>
      <w:commentRangeStart w:id="62"/>
      <w:r w:rsidR="004241AB">
        <w:rPr>
          <w:rFonts w:cs="Times New Roman"/>
        </w:rPr>
        <w:t xml:space="preserve">profound effect </w:t>
      </w:r>
      <w:r w:rsidR="00AC0193">
        <w:rPr>
          <w:rFonts w:cs="Times New Roman"/>
        </w:rPr>
        <w:t xml:space="preserve">on offspring insulin signaling </w:t>
      </w:r>
      <w:commentRangeEnd w:id="62"/>
      <w:r w:rsidR="005F78FD">
        <w:rPr>
          <w:rStyle w:val="CommentReference"/>
        </w:rPr>
        <w:commentReference w:id="62"/>
      </w:r>
      <w:r w:rsidR="00AC0193">
        <w:rPr>
          <w:rFonts w:cs="Times New Roman"/>
        </w:rPr>
        <w:t>later in life</w:t>
      </w:r>
      <w:r w:rsidR="004241AB">
        <w:rPr>
          <w:rFonts w:cs="Times New Roman"/>
        </w:rPr>
        <w:t xml:space="preserve"> </w:t>
      </w:r>
      <w:r w:rsidR="004241AB">
        <w:rPr>
          <w:rFonts w:cs="Times New Roman"/>
        </w:rPr>
        <w:fldChar w:fldCharType="begin"/>
      </w:r>
      <w:r w:rsidR="004241AB">
        <w:rPr>
          <w:rFonts w:cs="Times New Roman"/>
        </w:rPr>
        <w:instrText xml:space="preserve"> ADDIN ZOTERO_ITEM CSL_CITATION {"citationID":"wQI0QisV","properties":{"formattedCitation":"(Heijmans et al., 2008; Schulz, 2010)","plainCitation":"(Heijmans et al., 2008; Schulz, 2010)","noteIndex":0},"citationItems":[{"id":181,"uris":["http://zotero.org/users/5073745/items/ES6TTHU8"],"uri":["http://zotero.org/users/5073745/items/ES6TTHU8"],"itemData":{"id":181,"type":"article-journal","title":"Persistent epigenetic differences associated with prenatal exposure to famine in humans","container-title":"Proceedings of the National Academy of Sciences of the United States of America","page":"17046-17049","volume":"105","issue":"44","source":"PubMed","abstract":"Extensive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life.","DOI":"10.1073/pnas.0806560105","ISSN":"1091-6490","note":"PMID: 18955703\nPMCID: PMC2579375","journalAbbreviation":"Proc. Natl. Acad. Sci. U.S.A.","language":"eng","author":[{"family":"Heijmans","given":"Bastiaan T."},{"family":"Tobi","given":"Elmar W."},{"family":"Stein","given":"Aryeh D."},{"family":"Putter","given":"Hein"},{"family":"Blauw","given":"Gerard J."},{"family":"Susser","given":"Ezra S."},{"family":"Slagboom","given":"P. Eline"},{"family":"Lumey","given":"L. H."}],"issued":{"date-parts":[["2008",11,4]]}}},{"id":124,"uris":["http://zotero.org/users/5073745/items/RN6256VM"],"uri":["http://zotero.org/users/5073745/items/RN6256VM"],"itemData":{"id":124,"type":"article-journal","title":"The Dutch Hunger Winter and the developmental origins of health and disease","container-title":"Proceedings of the National Academy of Sciences of the United States of America","page":"16757-16758","volume":"107","issue":"39","source":"PubMed Central","DOI":"10.1073/pnas.1012911107","ISSN":"0027-8424","note":"PMID: 20855592\nPMCID: PMC2947916","journalAbbreviation":"Proc Natl Acad Sci U S A","author":[{"family":"Schulz","given":"Laura C."}],"issued":{"date-parts":[["2010",9,28]]}}}],"schema":"https://github.com/citation-style-language/schema/raw/master/csl-citation.json"} </w:instrText>
      </w:r>
      <w:r w:rsidR="004241AB">
        <w:rPr>
          <w:rFonts w:cs="Times New Roman"/>
        </w:rPr>
        <w:fldChar w:fldCharType="separate"/>
      </w:r>
      <w:r w:rsidR="004241AB">
        <w:rPr>
          <w:rFonts w:cs="Times New Roman"/>
          <w:noProof/>
        </w:rPr>
        <w:t>(Heijmans et al., 2008; Schulz, 2010)</w:t>
      </w:r>
      <w:r w:rsidR="004241AB">
        <w:rPr>
          <w:rFonts w:cs="Times New Roman"/>
        </w:rPr>
        <w:fldChar w:fldCharType="end"/>
      </w:r>
      <w:r w:rsidR="00AC0193">
        <w:rPr>
          <w:rFonts w:cs="Times New Roman"/>
        </w:rPr>
        <w:t xml:space="preserve">. Other, less severe instance of food restriction have also been investigated during pregnancy. </w:t>
      </w:r>
      <w:del w:id="63" w:author="Dave Bridges" w:date="2019-11-27T09:40:00Z">
        <w:r w:rsidR="00AC0193" w:rsidDel="0010288E">
          <w:rPr>
            <w:rFonts w:cs="Times New Roman"/>
          </w:rPr>
          <w:delText xml:space="preserve">One </w:delText>
        </w:r>
      </w:del>
      <w:ins w:id="64" w:author="Dave Bridges" w:date="2019-11-27T09:40:00Z">
        <w:r w:rsidR="0010288E">
          <w:rPr>
            <w:rFonts w:cs="Times New Roman"/>
          </w:rPr>
          <w:t>Another example</w:t>
        </w:r>
        <w:r w:rsidR="0010288E">
          <w:rPr>
            <w:rFonts w:cs="Times New Roman"/>
          </w:rPr>
          <w:t xml:space="preserve"> </w:t>
        </w:r>
      </w:ins>
      <w:del w:id="65" w:author="Dave Bridges" w:date="2019-11-27T09:40:00Z">
        <w:r w:rsidR="00AC0193" w:rsidDel="0010288E">
          <w:rPr>
            <w:rFonts w:cs="Times New Roman"/>
          </w:rPr>
          <w:delText>of the most well-studied would</w:delText>
        </w:r>
      </w:del>
      <w:ins w:id="66" w:author="Dave Bridges" w:date="2019-11-27T09:40:00Z">
        <w:r w:rsidR="0010288E">
          <w:rPr>
            <w:rFonts w:cs="Times New Roman"/>
          </w:rPr>
          <w:t>is</w:t>
        </w:r>
      </w:ins>
      <w:r w:rsidR="00AC0193">
        <w:rPr>
          <w:rFonts w:cs="Times New Roman"/>
        </w:rPr>
        <w:t xml:space="preserve"> </w:t>
      </w:r>
      <w:commentRangeStart w:id="67"/>
      <w:del w:id="68" w:author="Dave Bridges" w:date="2019-11-27T09:40:00Z">
        <w:r w:rsidR="00AC0193" w:rsidDel="0010288E">
          <w:rPr>
            <w:rFonts w:cs="Times New Roman"/>
          </w:rPr>
          <w:delText xml:space="preserve">be that of </w:delText>
        </w:r>
      </w:del>
      <w:r w:rsidR="00AC0193">
        <w:rPr>
          <w:rFonts w:cs="Times New Roman"/>
        </w:rPr>
        <w:t>Ramadan fasting</w:t>
      </w:r>
      <w:commentRangeEnd w:id="67"/>
      <w:r w:rsidR="0010288E">
        <w:rPr>
          <w:rStyle w:val="CommentReference"/>
        </w:rPr>
        <w:commentReference w:id="67"/>
      </w:r>
      <w:r w:rsidR="00AC0193">
        <w:rPr>
          <w:rFonts w:cs="Times New Roman"/>
        </w:rPr>
        <w:t xml:space="preserve">. </w:t>
      </w:r>
      <w:del w:id="69" w:author="Dave Bridges" w:date="2019-11-27T09:41:00Z">
        <w:r w:rsidR="00C87264" w:rsidDel="0010288E">
          <w:rPr>
            <w:rFonts w:cs="Times New Roman"/>
          </w:rPr>
          <w:delText>It has been demonstrated by multiple studies that conception</w:delText>
        </w:r>
      </w:del>
      <w:ins w:id="70" w:author="Dave Bridges" w:date="2019-11-27T09:41:00Z">
        <w:r w:rsidR="0010288E">
          <w:rPr>
            <w:rFonts w:cs="Times New Roman"/>
          </w:rPr>
          <w:t>Conception</w:t>
        </w:r>
      </w:ins>
      <w:r w:rsidR="00C87264">
        <w:rPr>
          <w:rFonts w:cs="Times New Roman"/>
        </w:rPr>
        <w:t xml:space="preserve"> and gestation during </w:t>
      </w:r>
      <w:del w:id="71" w:author="Dave Bridges" w:date="2019-11-27T09:41:00Z">
        <w:r w:rsidR="00C87264" w:rsidDel="0010288E">
          <w:rPr>
            <w:rFonts w:cs="Times New Roman"/>
          </w:rPr>
          <w:delText xml:space="preserve">the </w:delText>
        </w:r>
      </w:del>
      <w:r w:rsidR="00C87264">
        <w:rPr>
          <w:rFonts w:cs="Times New Roman"/>
        </w:rPr>
        <w:t xml:space="preserve">Ramadan fasting </w:t>
      </w:r>
      <w:ins w:id="72" w:author="Dave Bridges" w:date="2019-11-27T09:41:00Z">
        <w:r w:rsidR="0010288E">
          <w:rPr>
            <w:rFonts w:cs="Times New Roman"/>
          </w:rPr>
          <w:t xml:space="preserve">has been shown to </w:t>
        </w:r>
      </w:ins>
      <w:del w:id="73" w:author="Dave Bridges" w:date="2019-11-27T09:41:00Z">
        <w:r w:rsidR="00C87264" w:rsidDel="0010288E">
          <w:rPr>
            <w:rFonts w:cs="Times New Roman"/>
          </w:rPr>
          <w:delText>can increase</w:delText>
        </w:r>
      </w:del>
      <w:ins w:id="74" w:author="Dave Bridges" w:date="2019-11-27T09:40:00Z">
        <w:r w:rsidR="0010288E">
          <w:rPr>
            <w:rFonts w:cs="Times New Roman"/>
          </w:rPr>
          <w:t>the</w:t>
        </w:r>
      </w:ins>
      <w:r w:rsidR="00C87264">
        <w:rPr>
          <w:rFonts w:cs="Times New Roman"/>
        </w:rPr>
        <w:t xml:space="preserve"> prevalence of low birth weight babies</w:t>
      </w:r>
      <w:ins w:id="75" w:author="Dave Bridges" w:date="2019-11-27T09:41:00Z">
        <w:r w:rsidR="0010288E">
          <w:rPr>
            <w:rFonts w:cs="Times New Roman"/>
          </w:rPr>
          <w:t xml:space="preserve"> in some </w:t>
        </w:r>
      </w:ins>
      <w:r w:rsidR="00C87264">
        <w:rPr>
          <w:rFonts w:cs="Times New Roman"/>
        </w:rPr>
        <w:fldChar w:fldCharType="begin"/>
      </w:r>
      <w:r w:rsidR="00C87264">
        <w:rPr>
          <w:rFonts w:cs="Times New Roman"/>
        </w:rPr>
        <w:instrText xml:space="preserve"> ADDIN ZOTERO_ITEM CSL_CITATION {"citationID":"ZLYNKoc5","properties":{"formattedCitation":"(Opaneye, Villegas, &amp; Abdel Azeim, 1990; Ziaee et al., 2010)","plainCitation":"(Opaneye, Villegas, &amp; Abdel Azeim, 1990; Ziaee et al., 2010)","noteIndex":0},"citationItems":[{"id":187,"uris":["http://zotero.org/users/5073745/items/2C5K4E6H"],"uri":["http://zotero.org/users/5073745/items/2C5K4E6H"],"itemData":{"id":187,"type":"article-journal","title":"Islamic Festivals and Low Birthweight Infants","container-title":"Journal of the Royal Society of Health","page":"106-107","volume":"110","issue":"3","source":"SAGE Journals","abstract":"DURING THE period between Rajab 1405 and Jamad Thani 1407 (March 1985-January 1987) a total of 5280 babies were delivered at King Khalid Hospital, Al-Kharj, Saudi-Arabia. Out of these children, 345 i.e. 6.53% weighed less than 2500g. Seventy-three, i.e. 21% of the low birthweight (LBW) babies were born during the festival months of Rama dan and Hajj. When compared with the non-festival months, the number was statistically significant p&lt;0.01; and Odds Ratio of 1.42. The perinatal mortality rate for the LBW infants was 176.8 per thousand compared with 25.82 for all deliveries during the same period of time. As in a previous report adolescent primiparae made a large contribution to the total number of LBW deliveries. Therefore there is a need for more vigilance in the care of pregnant patients and, more provisions for the care of LBW infants during the festival months.","DOI":"10.1177/146642409011000313","ISSN":"0264-0325","journalAbbreviation":"Journal of the Royal Society of Health","language":"en","author":[{"family":"Opaneye","given":"A.A."},{"family":"Villegas","given":"D.D."},{"family":"Abdel Azeim","given":"Ali"}],"issued":{"date-parts":[["1990",6,1]]}}},{"id":127,"uris":["http://zotero.org/users/5073745/items/CCGPVXWJ"],"uri":["http://zotero.org/users/5073745/items/CCGPVXWJ"],"itemData":{"id":127,"type":"article-journal","title":"The Effect of Ramadan Fasting on Outcome of Pregnancy","container-title":"Iranian Journal of Pediatrics","page":"181-186","volume":"20","issue":"2","source":"PubMed Central","abstract":"Objective\nPregnancy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mothers.","ISSN":"2008-2142","note":"PMID: 23056701\nPMCID: PMC3446023","journalAbbreviation":"Iran J Pediatr","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C87264">
        <w:rPr>
          <w:rFonts w:cs="Times New Roman"/>
        </w:rPr>
        <w:fldChar w:fldCharType="separate"/>
      </w:r>
      <w:r w:rsidR="00C87264">
        <w:rPr>
          <w:rFonts w:cs="Times New Roman"/>
          <w:noProof/>
        </w:rPr>
        <w:t>(Opaneye, Villegas, &amp; Abdel Azeim, 1990; Ziaee et al., 2010)</w:t>
      </w:r>
      <w:r w:rsidR="00C87264">
        <w:rPr>
          <w:rFonts w:cs="Times New Roman"/>
        </w:rPr>
        <w:fldChar w:fldCharType="end"/>
      </w:r>
      <w:ins w:id="76" w:author="Dave Bridges" w:date="2019-11-27T09:42:00Z">
        <w:r w:rsidR="0010288E">
          <w:rPr>
            <w:rFonts w:cs="Times New Roman"/>
          </w:rPr>
          <w:t xml:space="preserve"> but not all </w:t>
        </w:r>
      </w:ins>
      <w:del w:id="77" w:author="Dave Bridges" w:date="2019-11-27T09:42:00Z">
        <w:r w:rsidR="00C87264" w:rsidDel="0010288E">
          <w:rPr>
            <w:rFonts w:cs="Times New Roman"/>
          </w:rPr>
          <w:delText xml:space="preserve">. This is not a universal finding, as participation in Ramadan fasting in other studies exhibited no effect on birth weight </w:delText>
        </w:r>
      </w:del>
      <w:r w:rsidR="00C87264">
        <w:rPr>
          <w:rFonts w:cs="Times New Roman"/>
        </w:rPr>
        <w:fldChar w:fldCharType="begin"/>
      </w:r>
      <w:r w:rsidR="00C87264">
        <w:rPr>
          <w:rFonts w:cs="Times New Roman"/>
        </w:rPr>
        <w:instrText xml:space="preserve"> ADDIN ZOTERO_ITEM CSL_CITATION {"citationID":"eYDW5nbR","properties":{"formattedCitation":"(Daley et al., 2017; H\\uc0\\u305{}zl\\uc0\\u305{} et al., 2012)","plainCitation":"(Daley et al., 2017; Hızlı et al., 2012)","noteIndex":0},"citationItems":[{"id":192,"uris":["http://zotero.org/users/5073745/items/4J5FF7AW"],"uri":["http://zotero.org/users/5073745/items/4J5FF7AW"],"itemData":{"id":192,"type":"article-journal","title":"Are babies conceived during Ramadan born smaller and sooner than babies conceived at other times of the year? A Born in Bradford Cohort Study","container-title":"Journal of Epidemiology and Community Health","page":"722-728","volume":"71","issue":"7","source":"PubMed","abstract":"BACKGROUND: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prematurely.","DOI":"10.1136/jech-2016-208800","ISSN":"1470-2738","note":"PMID: 28360117","title-short":"Are babies conceived during Ramadan born smaller and sooner than babies conceived at other times of the year?","journalAbbreviation":"J Epidemiol Community Health","language":"eng","author":[{"family":"Daley","given":"Amanda"},{"family":"Pallan","given":"Miranda"},{"family":"Clifford","given":"Sue"},{"family":"Jolly","given":"Kate"},{"family":"Bryant","given":"Maria"},{"family":"Adab","given":"Peymane"},{"family":"Cheng","given":"K. K."},{"family":"Roalfe","given":"Andrea"}],"issued":{"date-parts":[["2017"]]}}},{"id":189,"uris":["http://zotero.org/users/5073745/items/5BSNJ3ST"],"uri":["http://zotero.org/users/5073745/items/5BSNJ3ST"],"itemData":{"id":189,"type":"article-journal","title":"Impact of maternal fasting during Ramadan on fetal Doppler parameters, maternal lipid levels and neonatal outcomes","container-title":"The Journal of Maternal-Fetal &amp; Neonatal Medicine","page":"975-977","volume":"25","issue":"7","source":"Taylor and Francis+NEJM","abstract":"Objective: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parameters.","DOI":"10.3109/14767058.2011.602142","ISSN":"1476-7058","author":[{"family":"Hızlı","given":"Deniz"},{"family":"Yılmaz","given":"Saynur Sarıcı"},{"family":"Onaran","given":"Yüksel"},{"family":"Kafalı","given":"Hasan"},{"family":"Danışman","given":"Nuri"},{"family":"Mollamahmutoğlu","given":"Leyla"}],"issued":{"date-parts":[["2012",7,1]]}}}],"schema":"https://github.com/citation-style-language/schema/raw/master/csl-citation.json"} </w:instrText>
      </w:r>
      <w:r w:rsidR="00C87264">
        <w:rPr>
          <w:rFonts w:cs="Times New Roman"/>
        </w:rPr>
        <w:fldChar w:fldCharType="separate"/>
      </w:r>
      <w:r w:rsidR="00C87264" w:rsidRPr="00C87264">
        <w:rPr>
          <w:rFonts w:cs="Times New Roman"/>
        </w:rPr>
        <w:t>(Daley et al., 2017; Hızlı et al., 2012)</w:t>
      </w:r>
      <w:r w:rsidR="00C87264">
        <w:rPr>
          <w:rFonts w:cs="Times New Roman"/>
        </w:rPr>
        <w:fldChar w:fldCharType="end"/>
      </w:r>
      <w:ins w:id="78" w:author="Dave Bridges" w:date="2019-11-27T09:42:00Z">
        <w:r w:rsidR="0010288E">
          <w:rPr>
            <w:rFonts w:cs="Times New Roman"/>
          </w:rPr>
          <w:t xml:space="preserve"> reports</w:t>
        </w:r>
      </w:ins>
      <w:r w:rsidR="00C87264">
        <w:rPr>
          <w:rFonts w:cs="Times New Roman"/>
        </w:rPr>
        <w:t xml:space="preserve">. </w:t>
      </w:r>
      <w:del w:id="79" w:author="Dave Bridges" w:date="2019-11-27T09:42:00Z">
        <w:r w:rsidR="00AC0193" w:rsidDel="0010288E">
          <w:rPr>
            <w:rFonts w:cs="Times New Roman"/>
          </w:rPr>
          <w:delText>However, as Ramadan fasting is not only time restriction of feeding, but also chrono</w:delText>
        </w:r>
        <w:r w:rsidR="004241AB" w:rsidDel="0010288E">
          <w:rPr>
            <w:rFonts w:cs="Times New Roman"/>
          </w:rPr>
          <w:delText>-</w:delText>
        </w:r>
        <w:r w:rsidR="00AC0193" w:rsidDel="0010288E">
          <w:rPr>
            <w:rFonts w:cs="Times New Roman"/>
          </w:rPr>
          <w:delText>disruption in sleep/wake patterns, I propose that time-restricted feeding is a different mode</w:delText>
        </w:r>
        <w:r w:rsidR="00C87264" w:rsidDel="0010288E">
          <w:rPr>
            <w:rFonts w:cs="Times New Roman"/>
          </w:rPr>
          <w:delText xml:space="preserve"> </w:delText>
        </w:r>
        <w:r w:rsidR="00AC0193" w:rsidDel="0010288E">
          <w:rPr>
            <w:rFonts w:cs="Times New Roman"/>
          </w:rPr>
          <w:delText xml:space="preserve">of restrictive feeding practice, and therefore would have distinct effects from Ramadan fasting.  </w:delText>
        </w:r>
      </w:del>
    </w:p>
    <w:p w14:paraId="66892A15" w14:textId="77777777" w:rsidR="002C66B0" w:rsidRDefault="002C66B0" w:rsidP="00330625">
      <w:pPr>
        <w:rPr>
          <w:rFonts w:cs="Times New Roman"/>
        </w:rPr>
      </w:pPr>
    </w:p>
    <w:p w14:paraId="42C27E7F" w14:textId="5456D611" w:rsidR="00C43ACC" w:rsidRDefault="003D6007" w:rsidP="00330625">
      <w:pPr>
        <w:rPr>
          <w:rFonts w:cs="Times New Roman"/>
        </w:rPr>
      </w:pPr>
      <w:r>
        <w:rPr>
          <w:rFonts w:cs="Times New Roman"/>
        </w:rPr>
        <w:t xml:space="preserve">Pregnancy is a time of profound physiological change for expectant mothers; including the onset of insulin resistance without hyperglycemia and increases in body weight and food intake. </w:t>
      </w:r>
      <w:moveToRangeStart w:id="80" w:author="Dave Bridges" w:date="2019-11-27T09:43:00Z" w:name="move25740219"/>
      <w:moveTo w:id="81" w:author="Dave Bridges" w:date="2019-11-27T09:43:00Z">
        <w:r w:rsidR="0010288E">
          <w:rPr>
            <w:rFonts w:cs="Times New Roman"/>
          </w:rPr>
          <w:t xml:space="preserve">The physiological adaptations to pregnancy are thought to maximize nutrient availability for the fetus. </w:t>
        </w:r>
      </w:moveTo>
      <w:moveToRangeEnd w:id="80"/>
      <w:proofErr w:type="gramStart"/>
      <w:r>
        <w:rPr>
          <w:rFonts w:cs="Times New Roman"/>
        </w:rPr>
        <w:t>This  suggests</w:t>
      </w:r>
      <w:proofErr w:type="gramEnd"/>
      <w:r>
        <w:rPr>
          <w:rFonts w:cs="Times New Roman"/>
        </w:rPr>
        <w:t xml:space="preserve"> there is a </w:t>
      </w:r>
      <w:del w:id="82" w:author="Dave Bridges" w:date="2019-11-27T09:43:00Z">
        <w:r w:rsidDel="0010288E">
          <w:rPr>
            <w:rFonts w:cs="Times New Roman"/>
          </w:rPr>
          <w:delText>molecular driver</w:delText>
        </w:r>
      </w:del>
      <w:ins w:id="83" w:author="Dave Bridges" w:date="2019-11-27T09:43:00Z">
        <w:r w:rsidR="0010288E">
          <w:rPr>
            <w:rFonts w:cs="Times New Roman"/>
          </w:rPr>
          <w:t>physiological mechanism</w:t>
        </w:r>
      </w:ins>
      <w:r>
        <w:rPr>
          <w:rFonts w:cs="Times New Roman"/>
        </w:rPr>
        <w:t xml:space="preserve"> to reassign</w:t>
      </w:r>
      <w:r w:rsidR="00A06EE7">
        <w:rPr>
          <w:rFonts w:cs="Times New Roman"/>
        </w:rPr>
        <w:t xml:space="preserve"> </w:t>
      </w:r>
      <w:r>
        <w:rPr>
          <w:rFonts w:cs="Times New Roman"/>
        </w:rPr>
        <w:t xml:space="preserve">the desired </w:t>
      </w:r>
      <w:ins w:id="84" w:author="Dave Bridges" w:date="2019-11-27T09:43:00Z">
        <w:r w:rsidR="0010288E">
          <w:rPr>
            <w:rFonts w:cs="Times New Roman"/>
          </w:rPr>
          <w:t xml:space="preserve">glycemic </w:t>
        </w:r>
      </w:ins>
      <w:r>
        <w:rPr>
          <w:rFonts w:cs="Times New Roman"/>
        </w:rPr>
        <w:t xml:space="preserve">set point, making the study of pregnancy a relevant and important implication for not only overweight and obese women of childbearing age, but also </w:t>
      </w:r>
      <w:r w:rsidR="002A360D">
        <w:rPr>
          <w:rFonts w:cs="Times New Roman"/>
        </w:rPr>
        <w:t>obese adults in general</w:t>
      </w:r>
      <w:r>
        <w:rPr>
          <w:rFonts w:cs="Times New Roman"/>
        </w:rPr>
        <w:t xml:space="preserve">. </w:t>
      </w:r>
      <w:moveFromRangeStart w:id="85" w:author="Dave Bridges" w:date="2019-11-27T09:43:00Z" w:name="move25740219"/>
      <w:moveFrom w:id="86" w:author="Dave Bridges" w:date="2019-11-27T09:43:00Z">
        <w:r w:rsidR="002A360D" w:rsidDel="0010288E">
          <w:rPr>
            <w:rFonts w:cs="Times New Roman"/>
          </w:rPr>
          <w:t xml:space="preserve">The physiological adaptations to pregnancy are thought to maximize nutrient availability for the fetus. </w:t>
        </w:r>
      </w:moveFrom>
      <w:moveFromRangeEnd w:id="85"/>
    </w:p>
    <w:p w14:paraId="1E69FA8F" w14:textId="1E697524" w:rsidR="002C66B0" w:rsidRDefault="002C793C" w:rsidP="00330625">
      <w:pPr>
        <w:rPr>
          <w:rFonts w:cs="Times New Roman"/>
        </w:rPr>
      </w:pPr>
      <w:del w:id="87" w:author="Dave Bridges" w:date="2019-11-27T09:44:00Z">
        <w:r w:rsidDel="00B84507">
          <w:rPr>
            <w:rFonts w:cs="Times New Roman"/>
            <w:noProof/>
          </w:rPr>
          <w:lastRenderedPageBreak/>
          <w:drawing>
            <wp:anchor distT="0" distB="0" distL="114300" distR="114300" simplePos="0" relativeHeight="251659264" behindDoc="1" locked="0" layoutInCell="1" allowOverlap="1" wp14:anchorId="07C4E6F3" wp14:editId="4EBFB979">
              <wp:simplePos x="0" y="0"/>
              <wp:positionH relativeFrom="column">
                <wp:posOffset>4517101</wp:posOffset>
              </wp:positionH>
              <wp:positionV relativeFrom="paragraph">
                <wp:posOffset>214</wp:posOffset>
              </wp:positionV>
              <wp:extent cx="2214880" cy="15335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s-2.pdf"/>
                      <pic:cNvPicPr/>
                    </pic:nvPicPr>
                    <pic:blipFill rotWithShape="1">
                      <a:blip r:embed="rId12">
                        <a:extLst>
                          <a:ext uri="{28A0092B-C50C-407E-A947-70E740481C1C}">
                            <a14:useLocalDpi xmlns:a14="http://schemas.microsoft.com/office/drawing/2010/main" val="0"/>
                          </a:ext>
                        </a:extLst>
                      </a:blip>
                      <a:srcRect/>
                      <a:stretch/>
                    </pic:blipFill>
                    <pic:spPr bwMode="auto">
                      <a:xfrm>
                        <a:off x="0" y="0"/>
                        <a:ext cx="2214880"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p>
    <w:p w14:paraId="3607668F" w14:textId="1091AC05" w:rsidR="00C43ACC" w:rsidRDefault="00C43ACC" w:rsidP="00C43ACC">
      <w:pPr>
        <w:pStyle w:val="Heading3"/>
      </w:pPr>
      <w:r>
        <w:t>Insulin Resistance</w:t>
      </w:r>
      <w:r w:rsidR="00E85858">
        <w:t xml:space="preserve"> </w:t>
      </w:r>
    </w:p>
    <w:p w14:paraId="40E47575" w14:textId="3F80E7E0" w:rsidR="00C43ACC" w:rsidRDefault="00B84507" w:rsidP="00330625">
      <w:pPr>
        <w:rPr>
          <w:rFonts w:cs="Times New Roman"/>
        </w:rPr>
      </w:pPr>
      <w:ins w:id="88" w:author="Dave Bridges" w:date="2019-11-27T09:43:00Z">
        <w:r>
          <w:rPr>
            <w:rFonts w:cs="Times New Roman"/>
            <w:noProof/>
          </w:rPr>
          <mc:AlternateContent>
            <mc:Choice Requires="wps">
              <w:drawing>
                <wp:anchor distT="0" distB="0" distL="114300" distR="114300" simplePos="0" relativeHeight="251662336" behindDoc="0" locked="0" layoutInCell="1" allowOverlap="1" wp14:anchorId="13F78E3C" wp14:editId="5FBBCB6E">
                  <wp:simplePos x="0" y="0"/>
                  <wp:positionH relativeFrom="column">
                    <wp:posOffset>3743960</wp:posOffset>
                  </wp:positionH>
                  <wp:positionV relativeFrom="paragraph">
                    <wp:posOffset>55880</wp:posOffset>
                  </wp:positionV>
                  <wp:extent cx="2029460" cy="2120900"/>
                  <wp:effectExtent l="0" t="0" r="2540" b="0"/>
                  <wp:wrapSquare wrapText="left"/>
                  <wp:docPr id="5" name="Text Box 5"/>
                  <wp:cNvGraphicFramePr/>
                  <a:graphic xmlns:a="http://schemas.openxmlformats.org/drawingml/2006/main">
                    <a:graphicData uri="http://schemas.microsoft.com/office/word/2010/wordprocessingShape">
                      <wps:wsp>
                        <wps:cNvSpPr txBox="1"/>
                        <wps:spPr>
                          <a:xfrm>
                            <a:off x="0" y="0"/>
                            <a:ext cx="2029460" cy="2120900"/>
                          </a:xfrm>
                          <a:prstGeom prst="rect">
                            <a:avLst/>
                          </a:prstGeom>
                          <a:solidFill>
                            <a:schemeClr val="lt1"/>
                          </a:solidFill>
                          <a:ln w="6350">
                            <a:noFill/>
                          </a:ln>
                        </wps:spPr>
                        <wps:txbx>
                          <w:txbxContent>
                            <w:p w14:paraId="3B1233A6" w14:textId="5532D5B6" w:rsidR="00B84507" w:rsidRDefault="00B84507" w:rsidP="00B84507">
                              <w:pPr>
                                <w:rPr>
                                  <w:ins w:id="89" w:author="Dave Bridges" w:date="2019-11-27T09:28:00Z"/>
                                </w:rPr>
                              </w:pPr>
                              <w:ins w:id="90" w:author="Dave Bridges" w:date="2019-11-27T09:43:00Z">
                                <w:r>
                                  <w:rPr>
                                    <w:noProof/>
                                  </w:rPr>
                                  <w:drawing>
                                    <wp:inline distT="0" distB="0" distL="0" distR="0" wp14:anchorId="1D702459" wp14:editId="2D3B40D4">
                                      <wp:extent cx="1840230" cy="1273810"/>
                                      <wp:effectExtent l="0" t="0" r="1270" b="0"/>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a:stretch/>
                                            </pic:blipFill>
                                            <pic:spPr bwMode="auto">
                                              <a:xfrm>
                                                <a:off x="0" y="0"/>
                                                <a:ext cx="1840230" cy="1273810"/>
                                              </a:xfrm>
                                              <a:prstGeom prst="rect">
                                                <a:avLst/>
                                              </a:prstGeom>
                                              <a:ln>
                                                <a:noFill/>
                                              </a:ln>
                                              <a:extLst>
                                                <a:ext uri="{53640926-AAD7-44D8-BBD7-CCE9431645EC}">
                                                  <a14:shadowObscured xmlns:a14="http://schemas.microsoft.com/office/drawing/2010/main"/>
                                                </a:ext>
                                              </a:extLst>
                                            </pic:spPr>
                                          </pic:pic>
                                        </a:graphicData>
                                      </a:graphic>
                                    </wp:inline>
                                  </w:drawing>
                                </w:r>
                              </w:ins>
                            </w:p>
                            <w:p w14:paraId="44544916" w14:textId="4823BF29" w:rsidR="00B84507" w:rsidRDefault="00B84507" w:rsidP="00B84507">
                              <w:ins w:id="91" w:author="Dave Bridges" w:date="2019-11-27T09:28:00Z">
                                <w:r>
                                  <w:t xml:space="preserve">Figure </w:t>
                                </w:r>
                              </w:ins>
                              <w:ins w:id="92" w:author="Dave Bridges" w:date="2019-11-27T09:44:00Z">
                                <w:r>
                                  <w:t>2</w:t>
                                </w:r>
                              </w:ins>
                              <w:ins w:id="93" w:author="Dave Bridges" w:date="2019-11-27T09:28:00Z">
                                <w:r>
                                  <w:t>: XXXX</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78E3C" id="Text Box 5" o:spid="_x0000_s1027" type="#_x0000_t202" style="position:absolute;margin-left:294.8pt;margin-top:4.4pt;width:159.8pt;height:1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" fillcolor="white [3201]" stroked="f" strokeweight=".5pt">
                  <v:textbox>
                    <w:txbxContent>
                      <w:p w14:paraId="3B1233A6" w14:textId="5532D5B6" w:rsidR="00B84507" w:rsidRDefault="00B84507" w:rsidP="00B84507">
                        <w:pPr>
                          <w:rPr>
                            <w:ins w:id="94" w:author="Dave Bridges" w:date="2019-11-27T09:28:00Z"/>
                          </w:rPr>
                        </w:pPr>
                        <w:ins w:id="95" w:author="Dave Bridges" w:date="2019-11-27T09:43:00Z">
                          <w:r>
                            <w:rPr>
                              <w:noProof/>
                            </w:rPr>
                            <w:drawing>
                              <wp:inline distT="0" distB="0" distL="0" distR="0" wp14:anchorId="1D702459" wp14:editId="2D3B40D4">
                                <wp:extent cx="1840230" cy="1273810"/>
                                <wp:effectExtent l="0" t="0" r="1270" b="0"/>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a:stretch/>
                                      </pic:blipFill>
                                      <pic:spPr bwMode="auto">
                                        <a:xfrm>
                                          <a:off x="0" y="0"/>
                                          <a:ext cx="1840230" cy="1273810"/>
                                        </a:xfrm>
                                        <a:prstGeom prst="rect">
                                          <a:avLst/>
                                        </a:prstGeom>
                                        <a:ln>
                                          <a:noFill/>
                                        </a:ln>
                                        <a:extLst>
                                          <a:ext uri="{53640926-AAD7-44D8-BBD7-CCE9431645EC}">
                                            <a14:shadowObscured xmlns:a14="http://schemas.microsoft.com/office/drawing/2010/main"/>
                                          </a:ext>
                                        </a:extLst>
                                      </pic:spPr>
                                    </pic:pic>
                                  </a:graphicData>
                                </a:graphic>
                              </wp:inline>
                            </w:drawing>
                          </w:r>
                        </w:ins>
                      </w:p>
                      <w:p w14:paraId="44544916" w14:textId="4823BF29" w:rsidR="00B84507" w:rsidRDefault="00B84507" w:rsidP="00B84507">
                        <w:ins w:id="96" w:author="Dave Bridges" w:date="2019-11-27T09:28:00Z">
                          <w:r>
                            <w:t xml:space="preserve">Figure </w:t>
                          </w:r>
                        </w:ins>
                        <w:ins w:id="97" w:author="Dave Bridges" w:date="2019-11-27T09:44:00Z">
                          <w:r>
                            <w:t>2</w:t>
                          </w:r>
                        </w:ins>
                        <w:ins w:id="98" w:author="Dave Bridges" w:date="2019-11-27T09:28:00Z">
                          <w:r>
                            <w:t>: XXXX</w:t>
                          </w:r>
                        </w:ins>
                      </w:p>
                    </w:txbxContent>
                  </v:textbox>
                  <w10:wrap type="square" side="left"/>
                </v:shape>
              </w:pict>
            </mc:Fallback>
          </mc:AlternateContent>
        </w:r>
      </w:ins>
      <w:r w:rsidR="002A360D">
        <w:rPr>
          <w:rFonts w:cs="Times New Roman"/>
        </w:rPr>
        <w:t>The induction of insulin resistance in the mother during mid and late gestation has evolved to make available extra glucose and free fatty acids in maternal circulation and further prevent maternal storage of these substrates, allowing consistent nutrient flux toward the developing fetus.</w:t>
      </w:r>
      <w:r w:rsidR="001F0023">
        <w:rPr>
          <w:rFonts w:cs="Times New Roman"/>
        </w:rPr>
        <w:t xml:space="preserve"> Although insulin resistance and weight gain are considered normal adaptations to pregnancy, there are many women who experience excessive, pathological insulin resistance and </w:t>
      </w:r>
      <w:r w:rsidR="00D64926">
        <w:rPr>
          <w:rFonts w:cs="Times New Roman"/>
        </w:rPr>
        <w:t xml:space="preserve">gestational </w:t>
      </w:r>
      <w:r w:rsidR="001F0023">
        <w:rPr>
          <w:rFonts w:cs="Times New Roman"/>
        </w:rPr>
        <w:t>weight gain</w:t>
      </w:r>
      <w:r w:rsidR="00D80880">
        <w:rPr>
          <w:rFonts w:cs="Times New Roman"/>
        </w:rPr>
        <w:t xml:space="preserve">. </w:t>
      </w:r>
      <w:r w:rsidR="00413F50">
        <w:rPr>
          <w:rFonts w:cs="Times New Roman"/>
        </w:rPr>
        <w:t xml:space="preserve">Cho and colleagues estimate </w:t>
      </w:r>
      <w:r w:rsidR="00A358A3">
        <w:rPr>
          <w:rFonts w:cs="Times New Roman"/>
        </w:rPr>
        <w:t>that</w:t>
      </w:r>
      <w:r w:rsidR="00413F50">
        <w:rPr>
          <w:rFonts w:cs="Times New Roman"/>
        </w:rPr>
        <w:t xml:space="preserve"> global</w:t>
      </w:r>
      <w:r w:rsidR="00A358A3">
        <w:rPr>
          <w:rFonts w:cs="Times New Roman"/>
        </w:rPr>
        <w:t>ly,</w:t>
      </w:r>
      <w:r w:rsidR="00413F50">
        <w:rPr>
          <w:rFonts w:cs="Times New Roman"/>
        </w:rPr>
        <w:t xml:space="preserve"> </w:t>
      </w:r>
      <w:r w:rsidR="00D64926">
        <w:rPr>
          <w:rFonts w:cs="Times New Roman"/>
        </w:rPr>
        <w:t xml:space="preserve">gestational diabetes </w:t>
      </w:r>
      <w:r w:rsidR="00413F50">
        <w:rPr>
          <w:rFonts w:cs="Times New Roman"/>
        </w:rPr>
        <w:t>a</w:t>
      </w:r>
      <w:r w:rsidR="00A358A3">
        <w:rPr>
          <w:rFonts w:cs="Times New Roman"/>
        </w:rPr>
        <w:t xml:space="preserve">ffects </w:t>
      </w:r>
      <w:r w:rsidR="00413F50">
        <w:rPr>
          <w:rFonts w:cs="Times New Roman"/>
        </w:rPr>
        <w:t xml:space="preserve"> 9.8 % of pregnancies in women aged 20-24 years; the prevalence dramatically increases for women of advanced age during pregnancy (45-49 years) to 45.1% </w:t>
      </w:r>
      <w:r w:rsidR="00A358A3">
        <w:rPr>
          <w:rFonts w:cs="Times New Roman"/>
        </w:rPr>
        <w:fldChar w:fldCharType="begin"/>
      </w:r>
      <w:r w:rsidR="00A358A3">
        <w:rPr>
          <w:rFonts w:cs="Times New Roman"/>
        </w:rPr>
        <w:instrText xml:space="preserve"> ADDIN ZOTERO_ITEM CSL_CITATION {"citationID":"LeJdLuLu","properties":{"formattedCitation":"(Cho et al., 2018)","plainCitation":"(Cho et al., 2018)","noteIndex":0},"citationItems":[{"id":22,"uris":["http://zotero.org/users/5073745/items/3RZMJBXF"],"uri":["http://zotero.org/users/5073745/items/3RZMJBXF"],"itemData":{"id":22,"type":"article-journal","title":"IDF Diabetes Atlas: Global estimates of diabetes prevalence for 2017 and projections for 2045","container-title":"Diabetes Research and Clinical Practice","page":"271-281","volume":"138","source":"ScienceDirect","abstract":"Introduction\nSince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world.","DOI":"10.1016/j.diabres.2018.02.023","ISSN":"0168-8227","title-short":"IDF Diabetes Atlas","journalAbbreviation":"Diabetes Research and Clinical Practice","author":[{"family":"Cho","given":"N.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sidR="00A358A3">
        <w:rPr>
          <w:rFonts w:cs="Times New Roman"/>
        </w:rPr>
        <w:fldChar w:fldCharType="separate"/>
      </w:r>
      <w:r w:rsidR="00A358A3" w:rsidRPr="004B030F">
        <w:rPr>
          <w:rFonts w:cs="Times New Roman"/>
          <w:noProof/>
        </w:rPr>
        <w:t>(Cho et al., 2018)</w:t>
      </w:r>
      <w:r w:rsidR="00A358A3">
        <w:rPr>
          <w:rFonts w:cs="Times New Roman"/>
        </w:rPr>
        <w:fldChar w:fldCharType="end"/>
      </w:r>
      <w:r w:rsidR="00A358A3">
        <w:rPr>
          <w:rFonts w:cs="Times New Roman"/>
        </w:rPr>
        <w:t>.</w:t>
      </w:r>
      <w:r w:rsidR="00413F50">
        <w:rPr>
          <w:rFonts w:cs="Times New Roman"/>
        </w:rPr>
        <w:t xml:space="preserve"> </w:t>
      </w:r>
      <w:r w:rsidR="007F29C4">
        <w:rPr>
          <w:rFonts w:cs="Times New Roman"/>
        </w:rPr>
        <w:t>Furthermore, a</w:t>
      </w:r>
      <w:r w:rsidR="00101BEE">
        <w:rPr>
          <w:rFonts w:cs="Times New Roman"/>
        </w:rPr>
        <w:t xml:space="preserve"> </w:t>
      </w:r>
      <w:r w:rsidR="007F29C4">
        <w:rPr>
          <w:rFonts w:cs="Times New Roman"/>
        </w:rPr>
        <w:t xml:space="preserve">meta-analysis of incidence of type 2 diabetes found that </w:t>
      </w:r>
      <w:r w:rsidR="00D538F0">
        <w:rPr>
          <w:rFonts w:cs="Times New Roman"/>
        </w:rPr>
        <w:t>women with a history of gestational diabetes are at 7.43 times the risk than women who were normoglycemic during their pregnancies</w:t>
      </w:r>
      <w:r w:rsidR="007F29C4">
        <w:rPr>
          <w:rFonts w:cs="Times New Roman"/>
        </w:rPr>
        <w:t xml:space="preserve"> </w:t>
      </w:r>
      <w:r w:rsidR="00A358A3">
        <w:rPr>
          <w:rFonts w:cs="Times New Roman"/>
        </w:rPr>
        <w:fldChar w:fldCharType="begin"/>
      </w:r>
      <w:r w:rsidR="00A358A3">
        <w:rPr>
          <w:rFonts w:cs="Times New Roman"/>
        </w:rPr>
        <w:instrText xml:space="preserve"> ADDIN ZOTERO_ITEM CSL_CITATION {"citationID":"pt7vq7PP","properties":{"formattedCitation":"(Bellamy, Casas, Hingorani, &amp; Williams, 2009)","plainCitation":"(Bellamy, Casas, Hingorani, &amp; Williams, 2009)","noteIndex":0},"citationItems":[{"id":25,"uris":["http://zotero.org/users/5073745/items/2Y4WYSQJ"],"uri":["http://zotero.org/users/5073745/items/2Y4WYSQJ"],"itemData":{"id":25,"type":"article-journal","title":"Type 2 diabetes mellitus after gestational diabetes: a systematic review and meta-analysis","container-title":"The Lancet","page":"1773-1779","volume":"373","issue":"9677","source":"ScienceDirect","abstract":"Summary\nBackground\nWomen with gestational diabetes are at increased risk of developing type 2 diabetes, but the risk and time of onset have not been fully quantified. We therefore did a comprehensive systematic review and meta-analysis to assess the strength of association between these conditions and the effect of factors that might modify the risk.\nMethods\nWe identified cohort studies in which women who had developed type 2 diabetes after gestational diabetes were followed up between Jan 1, 1960, and Jan 31, 2009, from Embase and Medline. 205 relevant reports were hand searched. We selected 20 studies that included 675 455 women and 10 859 type 2 diabetic events. We calculated and pooled unadjusted relative risks (RRs) with 95% CIs for each study using a random-effects model. Subgroups analysed were the number of cases of type 2 diabetes, ethnic origin, duration of follow-up, maternal age, body-mass index, and diagnostic criteria.\nFindings\nWomen with gestational diabetes had an increased risk of developing type 2 diabetes compared with those who had a normoglycaemic pregnancy (RR 7·43, 95% CI 4·79–11·51). Although the largest study (659 164 women; 9502 cases of type 2 diabetes) had the largest RR (12·6, 95% CI 12·15–13·19), RRs were generally consistent among the subgroups assessed.\nInterpretation\nIncreased awareness of the magnitude and timing of the risk of type 2 diabetes after gestational diabetes among patients and clinicians could provide an opportunity to test and use dietary, lifestyle, and pharmacological interventions that might prevent or delay the onset of type 2 diabetes in affected women.\nFunding\nNone.","DOI":"10.1016/S0140-6736(09)60731-5","ISSN":"0140-6736","title-short":"Type 2 diabetes mellitus after gestational diabetes","journalAbbreviation":"The Lancet","author":[{"family":"Bellamy","given":"Leanne"},{"family":"Casas","given":"Juan-Pablo"},{"family":"Hingorani","given":"Aroon D"},{"family":"Williams","given":"David"}],"issued":{"date-parts":[["2009",5,23]]}}}],"schema":"https://github.com/citation-style-language/schema/raw/master/csl-citation.json"} </w:instrText>
      </w:r>
      <w:r w:rsidR="00A358A3">
        <w:rPr>
          <w:rFonts w:cs="Times New Roman"/>
        </w:rPr>
        <w:fldChar w:fldCharType="separate"/>
      </w:r>
      <w:r w:rsidR="001916B7">
        <w:rPr>
          <w:rFonts w:cs="Times New Roman"/>
          <w:noProof/>
        </w:rPr>
        <w:t>(Bellamy, Casas, Hingorani, &amp; Williams, 2009)</w:t>
      </w:r>
      <w:r w:rsidR="00A358A3">
        <w:rPr>
          <w:rFonts w:cs="Times New Roman"/>
        </w:rPr>
        <w:fldChar w:fldCharType="end"/>
      </w:r>
      <w:r w:rsidR="00A358A3">
        <w:rPr>
          <w:rFonts w:cs="Times New Roman"/>
        </w:rPr>
        <w:t>.</w:t>
      </w:r>
      <w:r w:rsidR="007F29C4">
        <w:rPr>
          <w:rFonts w:cs="Times New Roman"/>
        </w:rPr>
        <w:t xml:space="preserve"> </w:t>
      </w:r>
      <w:r w:rsidR="00D80880">
        <w:rPr>
          <w:rFonts w:cs="Times New Roman"/>
        </w:rPr>
        <w:t xml:space="preserve">This makes insulin resistance during gestation a critical public health problem that deserves research attention. </w:t>
      </w:r>
    </w:p>
    <w:p w14:paraId="31383455" w14:textId="77777777" w:rsidR="002C66B0" w:rsidRDefault="002C66B0" w:rsidP="00330625">
      <w:pPr>
        <w:rPr>
          <w:rFonts w:cs="Times New Roman"/>
        </w:rPr>
      </w:pPr>
    </w:p>
    <w:p w14:paraId="60D5141D" w14:textId="60DF80A0" w:rsidR="00C43ACC" w:rsidRDefault="00D80880" w:rsidP="00C43ACC">
      <w:pPr>
        <w:pStyle w:val="Heading3"/>
      </w:pPr>
      <w:commentRangeStart w:id="99"/>
      <w:r>
        <w:t>Gestational w</w:t>
      </w:r>
      <w:r w:rsidR="00C43ACC">
        <w:t>eight gain</w:t>
      </w:r>
      <w:r>
        <w:t xml:space="preserve"> and </w:t>
      </w:r>
      <w:ins w:id="100" w:author="Dave Bridges" w:date="2019-11-27T09:47:00Z">
        <w:r w:rsidR="00D357A3">
          <w:t>f</w:t>
        </w:r>
      </w:ins>
      <w:del w:id="101" w:author="Dave Bridges" w:date="2019-11-27T09:47:00Z">
        <w:r w:rsidR="00C43ACC" w:rsidDel="00D357A3">
          <w:delText>F</w:delText>
        </w:r>
      </w:del>
      <w:r w:rsidR="00C43ACC">
        <w:t>ood intake</w:t>
      </w:r>
      <w:commentRangeEnd w:id="99"/>
      <w:r w:rsidR="00D357A3">
        <w:rPr>
          <w:rStyle w:val="CommentReference"/>
          <w:rFonts w:ascii="Times New Roman" w:eastAsiaTheme="minorHAnsi" w:hAnsi="Times New Roman" w:cstheme="minorBidi"/>
          <w:color w:val="auto"/>
        </w:rPr>
        <w:commentReference w:id="99"/>
      </w:r>
    </w:p>
    <w:p w14:paraId="5DBE1F94" w14:textId="70AB21A1" w:rsidR="002A360D" w:rsidRDefault="00D80880" w:rsidP="00330625">
      <w:pPr>
        <w:rPr>
          <w:rFonts w:cs="Times New Roman"/>
        </w:rPr>
      </w:pPr>
      <w:r>
        <w:rPr>
          <w:rFonts w:cs="Times New Roman"/>
        </w:rPr>
        <w:t xml:space="preserve">Weight gain is expected </w:t>
      </w:r>
      <w:r w:rsidR="00D34749">
        <w:rPr>
          <w:rFonts w:cs="Times New Roman"/>
        </w:rPr>
        <w:t>for</w:t>
      </w:r>
      <w:r>
        <w:rPr>
          <w:rFonts w:cs="Times New Roman"/>
        </w:rPr>
        <w:t xml:space="preserve"> a health</w:t>
      </w:r>
      <w:r w:rsidR="00D34749">
        <w:rPr>
          <w:rFonts w:cs="Times New Roman"/>
        </w:rPr>
        <w:t>ful</w:t>
      </w:r>
      <w:r>
        <w:rPr>
          <w:rFonts w:cs="Times New Roman"/>
        </w:rPr>
        <w:t xml:space="preserve"> pregnancy. The </w:t>
      </w:r>
      <w:del w:id="102" w:author="Dave Bridges" w:date="2019-11-27T09:47:00Z">
        <w:r w:rsidDel="00D357A3">
          <w:rPr>
            <w:rFonts w:cs="Times New Roman"/>
          </w:rPr>
          <w:delText xml:space="preserve">IOM </w:delText>
        </w:r>
      </w:del>
      <w:ins w:id="103" w:author="Dave Bridges" w:date="2019-11-27T09:47:00Z">
        <w:r w:rsidR="00D357A3">
          <w:rPr>
            <w:rFonts w:cs="Times New Roman"/>
          </w:rPr>
          <w:t>Institute of Medicine</w:t>
        </w:r>
        <w:r w:rsidR="00D357A3">
          <w:rPr>
            <w:rFonts w:cs="Times New Roman"/>
          </w:rPr>
          <w:t xml:space="preserve"> </w:t>
        </w:r>
      </w:ins>
      <w:r>
        <w:rPr>
          <w:rFonts w:cs="Times New Roman"/>
        </w:rPr>
        <w:t xml:space="preserve">recommended amount of weight to gain is based on pre-pregnancy body mass index (BMI) </w:t>
      </w:r>
      <w:r w:rsidR="003E43D9">
        <w:rPr>
          <w:rFonts w:cs="Times New Roman"/>
        </w:rPr>
        <w:fldChar w:fldCharType="begin"/>
      </w:r>
      <w:r w:rsidR="003E43D9">
        <w:rPr>
          <w:rFonts w:cs="Times New Roman"/>
        </w:rPr>
        <w:instrText xml:space="preserve"> ADDIN ZOTERO_ITEM CSL_CITATION {"citationID":"7VbTY2XC","properties":{"formattedCitation":"(Rasmussen et al., 2010)","plainCitation":"(Rasmussen et al., 2010)","noteIndex":0},"citationItems":[{"id":96,"uris":["http://zotero.org/users/5073745/items/TYE4DQYE"],"uri":["http://zotero.org/users/5073745/items/TYE4DQYE"],"itemData":{"id":96,"type":"article-journal","title":"Recommendations for Weight Gain During Pregnancy in the Context of the Obesity Epidemic","container-title":"Obstetrics and gynecology","page":"1191-1195","volume":"116","issue":"5","source":"PubMed Central","abstract":"The Institute of Medicine and the National Research Council have issued new guidelines for gestational weight gain as well as recommendations for action and research that call for “a radical change in the care provided to women of childbearing age.” For the first time, these guidelines consider the outcomes of both mother and child during and after delivery and the trade-offs between them. The recommendations call for women to begin pregnancy at a healthy weight and to gain within the guidelines, a goal not previously achieved. They also call for individualized preconceptional, prenatal, and postpartum care to help women attain a healthy weight, gain within the guidelines, and return to a healthy weight. Scientific evidence was inadequate to provide specific guidelines by obesity class or to support a public health recommendation to reduce the guidelines below 5–9 kg (11–20 lb) for obese women.","DOI":"10.1097/AOG.0b013e3181f60da7","ISSN":"0029-7844","note":"PMID: 20966705\nPMCID: PMC4288953","journalAbbreviation":"Obstet Gynecol","author":[{"family":"Rasmussen","given":"Kathleen M."},{"family":"Abrams","given":"Barbara"},{"family":"Bodnar","given":"Lisa M."},{"family":"Butte","given":"Nancy F."},{"family":"Catalano","given":"Patrick M."},{"family":"Siega-Riz","given":"Anna Maria"}],"issued":{"date-parts":[["2010",11]]}}}],"schema":"https://github.com/citation-style-language/schema/raw/master/csl-citation.json"} </w:instrText>
      </w:r>
      <w:r w:rsidR="003E43D9">
        <w:rPr>
          <w:rFonts w:cs="Times New Roman"/>
        </w:rPr>
        <w:fldChar w:fldCharType="separate"/>
      </w:r>
      <w:r w:rsidR="001916B7">
        <w:rPr>
          <w:rFonts w:cs="Times New Roman"/>
          <w:noProof/>
        </w:rPr>
        <w:t>(Rasmussen et al., 2010)</w:t>
      </w:r>
      <w:r w:rsidR="003E43D9">
        <w:rPr>
          <w:rFonts w:cs="Times New Roman"/>
        </w:rPr>
        <w:fldChar w:fldCharType="end"/>
      </w:r>
      <w:r w:rsidR="003E43D9">
        <w:rPr>
          <w:rFonts w:cs="Times New Roman"/>
        </w:rPr>
        <w:t>.</w:t>
      </w:r>
      <w:r>
        <w:rPr>
          <w:rFonts w:cs="Times New Roman"/>
        </w:rPr>
        <w:t xml:space="preserve"> Since the</w:t>
      </w:r>
      <w:r w:rsidR="00D34749">
        <w:rPr>
          <w:rFonts w:cs="Times New Roman"/>
        </w:rPr>
        <w:t>se</w:t>
      </w:r>
      <w:r>
        <w:rPr>
          <w:rFonts w:cs="Times New Roman"/>
        </w:rPr>
        <w:t xml:space="preserve"> recommendations were published, many studies have evaluated the prevalence of</w:t>
      </w:r>
      <w:r w:rsidR="00D64926">
        <w:rPr>
          <w:rFonts w:cs="Times New Roman"/>
        </w:rPr>
        <w:t xml:space="preserve"> </w:t>
      </w:r>
      <w:r w:rsidR="00D34749">
        <w:rPr>
          <w:rFonts w:cs="Times New Roman"/>
        </w:rPr>
        <w:t xml:space="preserve">excessive </w:t>
      </w:r>
      <w:r w:rsidR="00074954">
        <w:rPr>
          <w:rFonts w:cs="Times New Roman"/>
        </w:rPr>
        <w:t xml:space="preserve">gestational weight </w:t>
      </w:r>
      <w:r w:rsidR="00D64926">
        <w:rPr>
          <w:rFonts w:cs="Times New Roman"/>
        </w:rPr>
        <w:t>gai</w:t>
      </w:r>
      <w:r w:rsidR="00D34749">
        <w:rPr>
          <w:rFonts w:cs="Times New Roman"/>
        </w:rPr>
        <w:t>n</w:t>
      </w:r>
      <w:r w:rsidR="00074954">
        <w:rPr>
          <w:rFonts w:cs="Times New Roman"/>
        </w:rPr>
        <w:t>.</w:t>
      </w:r>
      <w:r w:rsidR="00D64926">
        <w:rPr>
          <w:rFonts w:cs="Times New Roman"/>
        </w:rPr>
        <w:t xml:space="preserve"> </w:t>
      </w:r>
      <w:r w:rsidR="00074954">
        <w:rPr>
          <w:rFonts w:cs="Times New Roman"/>
        </w:rPr>
        <w:t xml:space="preserve">This excessive gain of weight </w:t>
      </w:r>
      <w:r w:rsidR="00E67A3C">
        <w:rPr>
          <w:rFonts w:cs="Times New Roman"/>
        </w:rPr>
        <w:t>d</w:t>
      </w:r>
      <w:r w:rsidR="00074954">
        <w:rPr>
          <w:rFonts w:cs="Times New Roman"/>
        </w:rPr>
        <w:t xml:space="preserve">uring gestation appears to be highly prevalent, </w:t>
      </w:r>
      <w:del w:id="104" w:author="Dave Bridges" w:date="2019-11-27T09:48:00Z">
        <w:r w:rsidR="00074954" w:rsidDel="00D357A3">
          <w:rPr>
            <w:rFonts w:cs="Times New Roman"/>
          </w:rPr>
          <w:delText>with rates from</w:delText>
        </w:r>
      </w:del>
      <w:ins w:id="105" w:author="Dave Bridges" w:date="2019-11-27T09:48:00Z">
        <w:r w:rsidR="00D357A3">
          <w:rPr>
            <w:rFonts w:cs="Times New Roman"/>
          </w:rPr>
          <w:t>approximately</w:t>
        </w:r>
      </w:ins>
      <w:r w:rsidR="00074954">
        <w:rPr>
          <w:rFonts w:cs="Times New Roman"/>
        </w:rPr>
        <w:t xml:space="preserve"> 47% of sampled women</w:t>
      </w:r>
      <w:r w:rsidR="00A358A3">
        <w:rPr>
          <w:rFonts w:cs="Times New Roman"/>
        </w:rPr>
        <w:t xml:space="preserve"> </w:t>
      </w:r>
      <w:r w:rsidR="004B030F">
        <w:rPr>
          <w:rFonts w:cs="Times New Roman"/>
        </w:rPr>
        <w:fldChar w:fldCharType="begin"/>
      </w:r>
      <w:r w:rsidR="004B030F">
        <w:rPr>
          <w:rFonts w:cs="Times New Roman"/>
        </w:rPr>
        <w:instrText xml:space="preserve"> ADDIN ZOTERO_ITEM CSL_CITATION {"citationID":"oITTUfbm","properties":{"formattedCitation":"(Goldstein et al., 2017)","plainCitation":"(Goldstein et al., 2017)","noteIndex":0},"citationItems":[{"id":80,"uris":["http://zotero.org/users/5073745/items/AA24S3BJ"],"uri":["http://zotero.org/users/5073745/items/AA24S3BJ"],"itemData":{"id":80,"type":"article-journal","title":"Association of Gestational Weight Gain With Maternal and Infant Outcomes: A Systematic Review and Meta-analysis","container-title":"JAMA","page":"2207-2225","volume":"317","issue":"21","source":"jamanetwork-com.proxy.lib.umich.edu","abstract":"&lt;h3&gt;Importance&lt;/h3&gt;&lt;p&gt;Body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outcomes.&lt;/p&gt;","DOI":"10.1001/jama.2017.3635","ISSN":"0098-7484","title-short":"Association of Gestational Weight Gain With Maternal and Infant Outcomes","journalAbbreviation":"JAMA","language":"en","author":[{"family":"Goldstein","given":"Rebecca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J."}],"issued":{"date-parts":[["2017",6,6]]}}}],"schema":"https://github.com/citation-style-language/schema/raw/master/csl-citation.json"} </w:instrText>
      </w:r>
      <w:r w:rsidR="004B030F">
        <w:rPr>
          <w:rFonts w:cs="Times New Roman"/>
        </w:rPr>
        <w:fldChar w:fldCharType="separate"/>
      </w:r>
      <w:r w:rsidR="004B030F">
        <w:rPr>
          <w:rFonts w:cs="Times New Roman"/>
          <w:noProof/>
        </w:rPr>
        <w:t>(Goldstein et al., 2017)</w:t>
      </w:r>
      <w:r w:rsidR="004B030F">
        <w:rPr>
          <w:rFonts w:cs="Times New Roman"/>
        </w:rPr>
        <w:fldChar w:fldCharType="end"/>
      </w:r>
      <w:r w:rsidR="00D34749">
        <w:rPr>
          <w:rFonts w:cs="Times New Roman"/>
        </w:rPr>
        <w:fldChar w:fldCharType="begin"/>
      </w:r>
      <w:r w:rsidR="004B030F">
        <w:rPr>
          <w:rFonts w:cs="Times New Roman"/>
        </w:rPr>
        <w:instrText xml:space="preserve"> ADDIN ZOTERO_ITEM CSL_CITATION {"citationID":"6KsqrH0i","properties":{"formattedCitation":"(Goldstein et al., 2017; McClure, Catov, Ness, &amp; Bodnar, 2013)","plainCitation":"(Goldstein et al., 2017; McClure, Catov, Ness, &amp; Bodnar, 2013)","dontUpdate":true,"noteIndex":0},"citationItems":[{"id":80,"uris":["http://zotero.org/users/5073745/items/AA24S3BJ"],"uri":["http://zotero.org/users/5073745/items/AA24S3BJ"],"itemData":{"id":80,"type":"article-journal","title":"Association of Gestational Weight Gain With Maternal and Infant Outcomes: A Systematic Review and Meta-analysis","container-title":"JAMA","page":"2207-2225","volume":"317","issue":"21","source":"jamanetwork-com.proxy.lib.umich.edu","abstract":"&lt;h3&gt;Importance&lt;/h3&gt;&lt;p&gt;Body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outcomes.&lt;/p&gt;","DOI":"10.1001/jama.2017.3635","ISSN":"0098-7484","title-short":"Association of Gestational Weight Gain With Maternal and Infant Outcomes","journalAbbreviation":"JAMA","language":"en","author":[{"family":"Goldstein","given":"Rebecca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J."}],"issued":{"date-parts":[["2017",6,6]]}}},{"id":77,"uris":["http://zotero.org/users/5073745/items/NIKDBLRL"],"uri":["http://zotero.org/users/5073745/items/NIKDBLRL"],"itemData":{"id":77,"type":"article-journal","title":"Associations between gestational weight gain and BMI, abdominal adiposity, and traditional measures of cardiometabolic risk in mothers 8 y postpartum","container-title":"The American Journal of Clinical Nutrition","page":"1218-1225","volume":"98","issue":"5","source":"academic-oup-com.proxy.lib.umich.edu","abstract":"ABSTRACT.  Background: Researchers have proposed biologically plausible mechanisms linking excessive gestational weight gain (GWG) to maternal metabolic and car","DOI":"10.3945/ajcn.112.055772","ISSN":"0002-9165","journalAbbreviation":"Am J Clin Nutr","language":"en","author":[{"family":"McClure","given":"Candace K."},{"family":"Catov","given":"Janet M."},{"family":"Ness","given":"Roberta"},{"family":"Bodnar","given":"Lisa M."}],"issued":{"date-parts":[["2013",11,1]]}}}],"schema":"https://github.com/citation-style-language/schema/raw/master/csl-citation.json"} </w:instrText>
      </w:r>
      <w:r w:rsidR="00D34749">
        <w:rPr>
          <w:rFonts w:cs="Times New Roman"/>
        </w:rPr>
        <w:fldChar w:fldCharType="end"/>
      </w:r>
      <w:r w:rsidR="00D34749">
        <w:rPr>
          <w:rFonts w:cs="Times New Roman"/>
        </w:rPr>
        <w:t>. Therefore</w:t>
      </w:r>
      <w:r w:rsidR="00413F50">
        <w:rPr>
          <w:rFonts w:cs="Times New Roman"/>
        </w:rPr>
        <w:t xml:space="preserve">, the </w:t>
      </w:r>
      <w:r w:rsidR="00D34749">
        <w:rPr>
          <w:rFonts w:cs="Times New Roman"/>
        </w:rPr>
        <w:t xml:space="preserve">prevalent and problematic </w:t>
      </w:r>
      <w:r w:rsidR="00413F50">
        <w:rPr>
          <w:rFonts w:cs="Times New Roman"/>
        </w:rPr>
        <w:t xml:space="preserve">excessive weight gain in pregnancy </w:t>
      </w:r>
      <w:r w:rsidR="00D34749">
        <w:rPr>
          <w:rFonts w:cs="Times New Roman"/>
        </w:rPr>
        <w:t>is</w:t>
      </w:r>
      <w:ins w:id="106" w:author="Dave Bridges" w:date="2019-11-27T09:48:00Z">
        <w:r w:rsidR="00D357A3">
          <w:rPr>
            <w:rFonts w:cs="Times New Roman"/>
          </w:rPr>
          <w:t xml:space="preserve"> also</w:t>
        </w:r>
      </w:ins>
      <w:r w:rsidR="00D34749">
        <w:rPr>
          <w:rFonts w:cs="Times New Roman"/>
        </w:rPr>
        <w:t xml:space="preserve"> an</w:t>
      </w:r>
      <w:r w:rsidR="00413F50">
        <w:rPr>
          <w:rFonts w:cs="Times New Roman"/>
        </w:rPr>
        <w:t xml:space="preserve"> </w:t>
      </w:r>
      <w:proofErr w:type="gramStart"/>
      <w:r w:rsidR="00413F50">
        <w:rPr>
          <w:rFonts w:cs="Times New Roman"/>
        </w:rPr>
        <w:t>urgent public health problems</w:t>
      </w:r>
      <w:proofErr w:type="gramEnd"/>
      <w:r w:rsidR="00413F50">
        <w:rPr>
          <w:rFonts w:cs="Times New Roman"/>
        </w:rPr>
        <w:t xml:space="preserve"> that need</w:t>
      </w:r>
      <w:r w:rsidR="00D34749">
        <w:rPr>
          <w:rFonts w:cs="Times New Roman"/>
        </w:rPr>
        <w:t>s</w:t>
      </w:r>
      <w:r w:rsidR="00413F50">
        <w:rPr>
          <w:rFonts w:cs="Times New Roman"/>
        </w:rPr>
        <w:t xml:space="preserve"> to be addressed to improve health indices of not only child health, but also maternal cardiometabolic health. </w:t>
      </w:r>
    </w:p>
    <w:p w14:paraId="1D5DE409" w14:textId="3601F0A2" w:rsidR="00EB550A" w:rsidRDefault="00EB550A" w:rsidP="00330625">
      <w:pPr>
        <w:rPr>
          <w:rFonts w:cs="Times New Roman"/>
        </w:rPr>
      </w:pPr>
    </w:p>
    <w:p w14:paraId="037935A5" w14:textId="768C8A3E" w:rsidR="00EB550A" w:rsidRDefault="00EB550A" w:rsidP="00EB550A">
      <w:pPr>
        <w:pStyle w:val="Heading3"/>
      </w:pPr>
      <w:r>
        <w:t>Digestive efficiency and chrono</w:t>
      </w:r>
      <w:r w:rsidR="00E91E9A">
        <w:t>-</w:t>
      </w:r>
      <w:r>
        <w:t>d</w:t>
      </w:r>
      <w:r w:rsidR="008C7E3D">
        <w:t>i</w:t>
      </w:r>
      <w:r>
        <w:t>sruption</w:t>
      </w:r>
    </w:p>
    <w:p w14:paraId="65D5298C" w14:textId="4EA21378" w:rsidR="006D1DC0" w:rsidRDefault="00EB550A" w:rsidP="00A33C49">
      <w:pPr>
        <w:rPr>
          <w:ins w:id="107" w:author="Dave Bridges" w:date="2019-11-27T09:50:00Z"/>
        </w:rPr>
      </w:pPr>
      <w:del w:id="108" w:author="Dave Bridges" w:date="2019-11-27T09:49:00Z">
        <w:r w:rsidDel="00D357A3">
          <w:delText>Although we often read energy taken in and perceive it to mean that all of that energy is utilized or absorbed at similar levels in all people, it is likely not true</w:delText>
        </w:r>
      </w:del>
      <w:ins w:id="109" w:author="Dave Bridges" w:date="2019-11-27T09:49:00Z">
        <w:r w:rsidR="00D357A3">
          <w:t>Energy intake is both ingestion of food, as well as the efficiency by which energy is absorbed</w:t>
        </w:r>
      </w:ins>
      <w:r>
        <w:t xml:space="preserve">. </w:t>
      </w:r>
      <w:r w:rsidR="00FC1A73">
        <w:t>Digestive efficiency many change as a function of genotype</w:t>
      </w:r>
      <w:del w:id="110" w:author="Dave Bridges" w:date="2019-11-27T09:49:00Z">
        <w:r w:rsidR="00FC1A73" w:rsidDel="00D357A3">
          <w:delText xml:space="preserve"> (clock KO’s, </w:delText>
        </w:r>
        <w:r w:rsidR="00FC1A73" w:rsidDel="00D357A3">
          <w:fldChar w:fldCharType="begin"/>
        </w:r>
        <w:r w:rsidR="00FC1A73" w:rsidDel="00D357A3">
          <w:delInstrText xml:space="preserve"> ADDIN ZOTERO_ITEM CSL_CITATION {"citationID":"l1TUqIxG","properties":{"formattedCitation":"(Pan &amp; Hussain, 2009)","plainCitation":"(Pan &amp; Hussain, 2009)","noteIndex":0},"citationItems":[{"id":107,"uris":["http://zotero.org/users/5073745/items/VH26EMNZ"],"uri":["http://zotero.org/users/5073745/items/VH26EMNZ"],"itemData":{"id":107,"type":"article-journal","title":"Clock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Mahmood"}],"issued":{"date-parts":[["2009",9,1]]}}}],"schema":"https://github.com/citation-style-language/schema/raw/master/csl-citation.json"} </w:delInstrText>
        </w:r>
        <w:r w:rsidR="00FC1A73" w:rsidDel="00D357A3">
          <w:fldChar w:fldCharType="separate"/>
        </w:r>
        <w:r w:rsidR="00FC1A73" w:rsidDel="00D357A3">
          <w:rPr>
            <w:noProof/>
          </w:rPr>
          <w:delText>(Pan &amp; Hussain, 2009)</w:delText>
        </w:r>
        <w:r w:rsidR="00FC1A73" w:rsidDel="00D357A3">
          <w:fldChar w:fldCharType="end"/>
        </w:r>
      </w:del>
      <w:r w:rsidR="00155E45">
        <w:t>, physiological state, or diet</w:t>
      </w:r>
      <w:del w:id="111" w:author="Dave Bridges" w:date="2019-11-27T09:50:00Z">
        <w:r w:rsidR="00FC1A73" w:rsidDel="00D357A3">
          <w:delText>)</w:delText>
        </w:r>
      </w:del>
      <w:r w:rsidR="00155E45">
        <w:t xml:space="preserve">. </w:t>
      </w:r>
      <w:del w:id="112" w:author="Dave Bridges" w:date="2019-11-27T09:50:00Z">
        <w:r w:rsidR="00155E45" w:rsidDel="00D357A3">
          <w:delText xml:space="preserve">Furthermore, it has been demonstrated that </w:delText>
        </w:r>
      </w:del>
      <w:ins w:id="113" w:author="Dave Bridges" w:date="2019-11-27T09:50:00Z">
        <w:r w:rsidR="00D357A3">
          <w:t>P</w:t>
        </w:r>
      </w:ins>
      <w:del w:id="114" w:author="Dave Bridges" w:date="2019-11-27T09:50:00Z">
        <w:r w:rsidR="00155E45" w:rsidDel="00D357A3">
          <w:delText>p</w:delText>
        </w:r>
      </w:del>
      <w:r w:rsidR="00155E45">
        <w:t>erturbation of the circadian system can lead to preferential absorption of certain macronutrients; such as preferred carbohydrate to protein metabolism and overall increased fatty acid absorption with disruption of Clock done by pan and colleagues</w:t>
      </w:r>
      <w:r w:rsidR="00155E45">
        <w:fldChar w:fldCharType="begin"/>
      </w:r>
      <w:r w:rsidR="00155E45">
        <w:instrText xml:space="preserve"> ADDIN ZOTERO_ITEM CSL_CITATION {"citationID":"RuRsMi0C","properties":{"formattedCitation":"(Pan &amp; Hussain, 2009)","plainCitation":"(Pan &amp; Hussain, 2009)","noteIndex":0},"citationItems":[{"id":107,"uris":["http://zotero.org/users/5073745/items/VH26EMNZ"],"uri":["http://zotero.org/users/5073745/items/VH26EMNZ"],"itemData":{"id":107,"type":"article-journal","title":"Clock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Mahmood"}],"issued":{"date-parts":[["2009",9,1]]}}}],"schema":"https://github.com/citation-style-language/schema/raw/master/csl-citation.json"} </w:instrText>
      </w:r>
      <w:r w:rsidR="00155E45">
        <w:fldChar w:fldCharType="separate"/>
      </w:r>
      <w:r w:rsidR="00155E45">
        <w:rPr>
          <w:noProof/>
        </w:rPr>
        <w:t>(Pan &amp; Hussain, 2009)</w:t>
      </w:r>
      <w:r w:rsidR="00155E45">
        <w:fldChar w:fldCharType="end"/>
      </w:r>
      <w:r w:rsidR="00155E45">
        <w:t>. It has also been demonstrated that timing of food is sufficient to entrain the circadian system</w:t>
      </w:r>
      <w:r w:rsidR="00DF1B2B">
        <w:t xml:space="preserve"> </w:t>
      </w:r>
      <w:commentRangeStart w:id="115"/>
      <w:r w:rsidR="00DF1B2B">
        <w:fldChar w:fldCharType="begin"/>
      </w:r>
      <w:r w:rsidR="00DF1B2B">
        <w:instrText xml:space="preserve"> ADDIN ZOTERO_ITEM CSL_CITATION {"citationID":"7oyoWSIC","properties":{"formattedCitation":"(Sherman et al., 2012)","plainCitation":"(Sherman et al., 2012)","noteIndex":0},"citationItems":[{"id":12,"uris":["http://zotero.org/users/5073745/items/P497KC7N"],"uri":["http://zotero.org/users/5073745/items/P497KC7N"],"itemData":{"id":12,"type":"article-journal","title":"Timed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schema":"https://github.com/citation-style-language/schema/raw/master/csl-citation.json"} </w:instrText>
      </w:r>
      <w:r w:rsidR="00DF1B2B">
        <w:fldChar w:fldCharType="separate"/>
      </w:r>
      <w:r w:rsidR="00DF1B2B">
        <w:rPr>
          <w:noProof/>
        </w:rPr>
        <w:t>(Sherman et al., 2012)</w:t>
      </w:r>
      <w:r w:rsidR="00DF1B2B">
        <w:fldChar w:fldCharType="end"/>
      </w:r>
      <w:commentRangeEnd w:id="115"/>
      <w:r w:rsidR="004C7236">
        <w:rPr>
          <w:rStyle w:val="CommentReference"/>
        </w:rPr>
        <w:commentReference w:id="115"/>
      </w:r>
      <w:r w:rsidR="00DF1B2B">
        <w:t xml:space="preserve">. </w:t>
      </w:r>
    </w:p>
    <w:p w14:paraId="3AD1CD2E" w14:textId="1DB93322" w:rsidR="0082283C" w:rsidRDefault="0082283C" w:rsidP="00A33C49">
      <w:pPr>
        <w:rPr>
          <w:ins w:id="116" w:author="Dave Bridges" w:date="2019-11-27T09:50:00Z"/>
        </w:rPr>
      </w:pPr>
    </w:p>
    <w:p w14:paraId="64EB5586" w14:textId="3974F02A" w:rsidR="0082283C" w:rsidRDefault="0082283C" w:rsidP="00A33C49">
      <w:ins w:id="117" w:author="Dave Bridges" w:date="2019-11-27T09:50:00Z">
        <w:r>
          <w:t>Based on the importance of gestational health</w:t>
        </w:r>
      </w:ins>
      <w:ins w:id="118" w:author="Dave Bridges" w:date="2019-11-27T09:51:00Z">
        <w:r>
          <w:t xml:space="preserve"> on the mother</w:t>
        </w:r>
      </w:ins>
      <w:ins w:id="119" w:author="Dave Bridges" w:date="2019-11-27T09:52:00Z">
        <w:r>
          <w:t xml:space="preserve"> and child</w:t>
        </w:r>
      </w:ins>
      <w:ins w:id="120" w:author="Dave Bridges" w:date="2019-11-27T09:51:00Z">
        <w:r>
          <w:t>, and the effectiveness and popularity</w:t>
        </w:r>
      </w:ins>
      <w:ins w:id="121" w:author="Dave Bridges" w:date="2019-11-27T09:52:00Z">
        <w:r>
          <w:t xml:space="preserve"> and effectiveness</w:t>
        </w:r>
      </w:ins>
      <w:ins w:id="122" w:author="Dave Bridges" w:date="2019-11-27T09:51:00Z">
        <w:r>
          <w:t xml:space="preserve"> of time-restricted </w:t>
        </w:r>
      </w:ins>
      <w:ins w:id="123" w:author="Dave Bridges" w:date="2019-11-27T09:52:00Z">
        <w:r>
          <w:t xml:space="preserve">feeding, it is tempting to speculate that this could be a potential intervention during pregnancy.  There are a </w:t>
        </w:r>
        <w:proofErr w:type="gramStart"/>
        <w:r>
          <w:t>substantial gaps</w:t>
        </w:r>
        <w:proofErr w:type="gramEnd"/>
        <w:r>
          <w:t xml:space="preserve"> in our knowledge of </w:t>
        </w:r>
      </w:ins>
      <w:ins w:id="124" w:author="Dave Bridges" w:date="2019-11-27T09:53:00Z">
        <w:r>
          <w:t>the physiology of TRF during pregnancy, and the mechanisms connecting it to maternal glycemia.</w:t>
        </w:r>
      </w:ins>
      <w:ins w:id="125" w:author="Dave Bridges" w:date="2019-11-27T09:52:00Z">
        <w:r>
          <w:t xml:space="preserve"> </w:t>
        </w:r>
      </w:ins>
      <w:ins w:id="126" w:author="Dave Bridges" w:date="2019-11-27T09:53:00Z">
        <w:r>
          <w:t xml:space="preserve">This aim will use a rodent model of </w:t>
        </w:r>
        <w:proofErr w:type="spellStart"/>
        <w:r>
          <w:t>eTRF</w:t>
        </w:r>
        <w:proofErr w:type="spellEnd"/>
        <w:r>
          <w:t xml:space="preserve"> to </w:t>
        </w:r>
      </w:ins>
      <w:ins w:id="127" w:author="Dave Bridges" w:date="2019-11-27T09:54:00Z">
        <w:r>
          <w:t>determine effects on</w:t>
        </w:r>
      </w:ins>
      <w:bookmarkStart w:id="128" w:name="_GoBack"/>
      <w:bookmarkEnd w:id="128"/>
      <w:ins w:id="129" w:author="Dave Bridges" w:date="2019-11-27T09:53:00Z">
        <w:r>
          <w:t xml:space="preserve"> maternal ferti</w:t>
        </w:r>
      </w:ins>
      <w:ins w:id="130" w:author="Dave Bridges" w:date="2019-11-27T09:54:00Z">
        <w:r>
          <w:t xml:space="preserve">lity, </w:t>
        </w:r>
      </w:ins>
      <w:ins w:id="131" w:author="Dave Bridges" w:date="2019-11-27T09:53:00Z">
        <w:r>
          <w:t>food intake, body composition,</w:t>
        </w:r>
      </w:ins>
      <w:ins w:id="132" w:author="Dave Bridges" w:date="2019-11-27T09:54:00Z">
        <w:r>
          <w:t xml:space="preserve"> and glycemia</w:t>
        </w:r>
      </w:ins>
    </w:p>
    <w:p w14:paraId="0BBC5B5B" w14:textId="77777777" w:rsidR="00A33C49" w:rsidRDefault="00A33C49" w:rsidP="00A33C49"/>
    <w:p w14:paraId="6B37A3E6" w14:textId="5F0AE7A1" w:rsidR="006D1DC0" w:rsidRDefault="006D1DC0" w:rsidP="00D95E7B">
      <w:pPr>
        <w:pStyle w:val="Heading2"/>
      </w:pPr>
      <w:r>
        <w:t xml:space="preserve">Aim </w:t>
      </w:r>
      <w:proofErr w:type="gramStart"/>
      <w:r>
        <w:t xml:space="preserve">1.1 </w:t>
      </w:r>
      <w:r w:rsidR="004241AB">
        <w:t xml:space="preserve"> Assess</w:t>
      </w:r>
      <w:proofErr w:type="gramEnd"/>
      <w:r w:rsidR="004241AB">
        <w:t xml:space="preserve"> the effects of </w:t>
      </w:r>
      <w:proofErr w:type="spellStart"/>
      <w:r w:rsidR="004241AB">
        <w:t>eTRF</w:t>
      </w:r>
      <w:proofErr w:type="spellEnd"/>
      <w:r w:rsidR="004241AB">
        <w:t xml:space="preserve"> on female f</w:t>
      </w:r>
      <w:r>
        <w:t xml:space="preserve">ertility </w:t>
      </w:r>
    </w:p>
    <w:p w14:paraId="6C79B80B" w14:textId="79E12540" w:rsidR="0004750C" w:rsidRDefault="00826EBC" w:rsidP="001B306C">
      <w:pPr>
        <w:ind w:firstLine="720"/>
        <w:rPr>
          <w:rFonts w:eastAsia="Times New Roman" w:cs="Times New Roman"/>
          <w:color w:val="000000"/>
        </w:rPr>
      </w:pPr>
      <w:r w:rsidRPr="00826EBC">
        <w:rPr>
          <w:rFonts w:eastAsia="Times New Roman" w:cs="Times New Roman"/>
          <w:color w:val="000000"/>
        </w:rPr>
        <w:t>Fertility represents yet another biological function that demonstrates circadian rhythm</w:t>
      </w:r>
      <w:r>
        <w:rPr>
          <w:rFonts w:eastAsia="Times New Roman" w:cs="Times New Roman"/>
          <w:color w:val="000000"/>
        </w:rPr>
        <w:fldChar w:fldCharType="begin"/>
      </w:r>
      <w:r w:rsidR="001E0AFA">
        <w:rPr>
          <w:rFonts w:eastAsia="Times New Roman" w:cs="Times New Roman"/>
          <w:color w:val="000000"/>
        </w:rPr>
        <w:instrText xml:space="preserve"> ADDIN ZOTERO_ITEM CSL_CITATION {"citationID":"2efIC77F","properties":{"formattedCitation":"(W.-X. Zhang, Chen, &amp; Liu, 2016)","plainCitation":"(W.-X. Zhang, Chen, &amp; Liu, 2016)","noteIndex":0},"citationItems":[{"id":176,"uris":["http://zotero.org/users/5073745/items/D4T7S7WP"],"uri":["http://zotero.org/users/5073745/items/D4T7S7WP"],"itemData":{"id":176,"type":"article-journal","title":"Regulation of reproduction by the circadian rhythms","container-title":"Sheng Li Xue Bao: [Acta Physiologica Sinica]","page":"799-808","volume":"68","issue":"6","source":"PubMed","abstract":"Mammals synchronize their circadian activity primarily to the cycles of light and darkness in the environment. Circadian rhythm is controlled by the central clock in the hypothalamic suprachiasmatic nucleus (SCN) and the peripheral clocks in various tissues. More importantly, the central clock can integrate photic/nonphotic signals to generate rhythmic outputs, and then drive the slave oscillators in peripheral tissues through neuroendocrine and behavioral signals. Human reproductive activities, as some other physiological functions, are controlled by the biological clocks. Accumulating lines of epidemiological and genetic evidence indicate that disruption of circadian clock can be directly involved in multiple pathological processes, including infertility. In this review, we mainly discuss the presence of a circadian clock in reproductive tissues and its roles in follicles development, ovulation, spermatogenesis, fertilization and embryo implantation, etc. As the increased shift work and assisted reproductive technologies possibly disrupt circadian rhythmicity to impact reproduction, the importance of circadian rhythms should be highlighted in the regulation of reproductive process.","ISSN":"0371-0874","note":"PMID: 28004075","journalAbbreviation":"Sheng Li Xue Bao","language":"eng","author":[{"family":"Zhang","given":"Wen-Xiang"},{"family":"Chen","given":"Si-Yu"},{"family":"Liu","given":"Chang"}],"issued":{"date-parts":[["2016",12,25]]}}}],"schema":"https://github.com/citation-style-language/schema/raw/master/csl-citation.json"} </w:instrText>
      </w:r>
      <w:r>
        <w:rPr>
          <w:rFonts w:eastAsia="Times New Roman" w:cs="Times New Roman"/>
          <w:color w:val="000000"/>
        </w:rPr>
        <w:fldChar w:fldCharType="separate"/>
      </w:r>
      <w:r w:rsidR="001E0AFA">
        <w:rPr>
          <w:rFonts w:eastAsia="Times New Roman" w:cs="Times New Roman"/>
          <w:noProof/>
          <w:color w:val="000000"/>
        </w:rPr>
        <w:t>(W.-X. Zhang, Chen, &amp; Liu, 2016)</w:t>
      </w:r>
      <w:r>
        <w:rPr>
          <w:rFonts w:eastAsia="Times New Roman" w:cs="Times New Roman"/>
          <w:color w:val="000000"/>
        </w:rPr>
        <w:fldChar w:fldCharType="end"/>
      </w:r>
      <w:r w:rsidRPr="00826EBC">
        <w:rPr>
          <w:rFonts w:eastAsia="Times New Roman" w:cs="Times New Roman"/>
          <w:color w:val="000000"/>
        </w:rPr>
        <w:t xml:space="preserve">. As </w:t>
      </w:r>
      <w:r>
        <w:rPr>
          <w:rFonts w:eastAsia="Times New Roman" w:cs="Times New Roman"/>
          <w:color w:val="000000"/>
        </w:rPr>
        <w:t>demonstrated</w:t>
      </w:r>
      <w:r w:rsidRPr="00826EBC">
        <w:rPr>
          <w:rFonts w:eastAsia="Times New Roman" w:cs="Times New Roman"/>
          <w:color w:val="000000"/>
        </w:rPr>
        <w:t xml:space="preserve"> by </w:t>
      </w:r>
      <w:proofErr w:type="spellStart"/>
      <w:r>
        <w:rPr>
          <w:rFonts w:eastAsia="Times New Roman" w:cs="Times New Roman"/>
          <w:color w:val="000000"/>
        </w:rPr>
        <w:t>Mereness</w:t>
      </w:r>
      <w:proofErr w:type="spellEnd"/>
      <w:r>
        <w:rPr>
          <w:rFonts w:eastAsia="Times New Roman" w:cs="Times New Roman"/>
          <w:color w:val="000000"/>
        </w:rPr>
        <w:t xml:space="preserve"> </w:t>
      </w:r>
      <w:r w:rsidRPr="00826EBC">
        <w:rPr>
          <w:rFonts w:eastAsia="Times New Roman" w:cs="Times New Roman"/>
          <w:color w:val="000000"/>
        </w:rPr>
        <w:t xml:space="preserve">et al, </w:t>
      </w:r>
      <w:r>
        <w:rPr>
          <w:rFonts w:eastAsia="Times New Roman" w:cs="Times New Roman"/>
          <w:color w:val="000000"/>
        </w:rPr>
        <w:t>t</w:t>
      </w:r>
      <w:r w:rsidRPr="00826EBC">
        <w:rPr>
          <w:rFonts w:eastAsia="Times New Roman" w:cs="Times New Roman"/>
          <w:color w:val="000000"/>
        </w:rPr>
        <w:t>he coordination of the preovulatory l</w:t>
      </w:r>
      <w:r>
        <w:rPr>
          <w:rFonts w:eastAsia="Times New Roman" w:cs="Times New Roman"/>
          <w:color w:val="000000"/>
        </w:rPr>
        <w:t>utei</w:t>
      </w:r>
      <w:r w:rsidRPr="00826EBC">
        <w:rPr>
          <w:rFonts w:eastAsia="Times New Roman" w:cs="Times New Roman"/>
          <w:color w:val="000000"/>
        </w:rPr>
        <w:t>nizing hormone surge as well as the coordination of ovary responsiveness to gonadotropins demonstrate entrainment by the CLOCK-BMAL1 system, and even show cell-specific regulation in female mice</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{"citationID":"ZOgvt2V8","properties":{"formattedCitation":"(Mereness et al., 2016)","plainCitation":"(Mereness et al., 2016)","noteIndex":0},"citationItems":[{"id":173,"uris":["http://zotero.org/users/5073745/items/IL5258J8"],"uri":["http://zotero.org/users/5073745/items/IL5258J8"],"itemData":{"id":173,"type":"article-journal","title":"Conditional Deletion of Bmal1 in Ovarian Theca Cells Disrupts Ovulation in Female Mice","container-title":"Endocrinology","page":"913-927","volume":"157","issue":"2","source":"academic-oup-com.proxy.lib.umich.edu","abstract":"Abstract.  Rhythmic events in female reproductive physiology, including ovulation, are tightly controlled by the circadian timing system. The molecular clock, a","DOI":"10.1210/en.2015-1645","ISSN":"0013-7227","journalAbbreviation":"Endocrinology","language":"en","author":[{"family":"Mereness","given":"Amanda L."},{"family":"Murphy","given":"Zachary C."},{"family":"Forrestel","given":"Andrew C."},{"family":"Butler","given":"Susan"},{"family":"Ko","given":"CheMyong"},{"family":"Richards","given":"JoAnne S."},{"family":"Sellix","given":"Michael T."}],"issued":{"date-parts":[["2016",2,1]]}}}],"schema":"https://github.com/citation-style-language/schema/raw/master/csl-citation.json"}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(Mereness et al., 2016)</w:t>
      </w:r>
      <w:r>
        <w:rPr>
          <w:rFonts w:eastAsia="Times New Roman" w:cs="Times New Roman"/>
          <w:color w:val="000000"/>
        </w:rPr>
        <w:fldChar w:fldCharType="end"/>
      </w:r>
      <w:r w:rsidRPr="00826EBC">
        <w:rPr>
          <w:rFonts w:eastAsia="Times New Roman" w:cs="Times New Roman"/>
          <w:color w:val="000000"/>
        </w:rPr>
        <w:t>. Swamy and colleagues determined that phase shifting of the period of food availability is sufficient to not only entrain the liver clock in breeding female mice, but also modulate fertility and fecundity</w:t>
      </w:r>
      <w:r>
        <w:rPr>
          <w:rFonts w:eastAsia="Times New Roman" w:cs="Times New Roman"/>
          <w:color w:val="000000"/>
        </w:rPr>
        <w:fldChar w:fldCharType="begin"/>
      </w:r>
      <w:r>
        <w:rPr>
          <w:rFonts w:eastAsia="Times New Roman" w:cs="Times New Roman"/>
          <w:color w:val="000000"/>
        </w:rPr>
        <w:instrText xml:space="preserve"> ADDIN ZOTERO_ITEM CSL_CITATION {"citationID":"ekLGPuul","properties":{"formattedCitation":"(Swamy et al., 2018)","plainCitation":"(Swamy et al., 2018)","noteIndex":0},"citationItems":[{"id":168,"uris":["http://zotero.org/users/5073745/items/4F2IJ74D"],"uri":["http://zotero.org/users/5073745/items/4F2IJ74D"],"itemData":{"id":168,"type":"article-journal","title":"Circadian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(Swamy et al., 2018)</w:t>
      </w:r>
      <w:r>
        <w:rPr>
          <w:rFonts w:eastAsia="Times New Roman" w:cs="Times New Roman"/>
          <w:color w:val="000000"/>
        </w:rPr>
        <w:fldChar w:fldCharType="end"/>
      </w:r>
      <w:r>
        <w:rPr>
          <w:rFonts w:eastAsia="Times New Roman" w:cs="Times New Roman"/>
          <w:color w:val="000000"/>
        </w:rPr>
        <w:t>.</w:t>
      </w:r>
      <w:r w:rsidRPr="00826EBC">
        <w:rPr>
          <w:rFonts w:eastAsia="Times New Roman" w:cs="Times New Roman"/>
          <w:color w:val="000000"/>
        </w:rPr>
        <w:t xml:space="preserve"> Using a light-feeding paradigm, this group demonstrated reduced copulatory plug appearance, reduced embryo implantations, and fewer litters carried compared to dark-fed counterparts</w:t>
      </w:r>
      <w:r>
        <w:rPr>
          <w:rFonts w:eastAsia="Times New Roman" w:cs="Times New Roman"/>
          <w:color w:val="000000"/>
        </w:rPr>
        <w:fldChar w:fldCharType="begin"/>
      </w:r>
      <w:r>
        <w:rPr>
          <w:rFonts w:eastAsia="Times New Roman" w:cs="Times New Roman"/>
          <w:color w:val="000000"/>
        </w:rPr>
        <w:instrText xml:space="preserve"> ADDIN ZOTERO_ITEM CSL_CITATION {"citationID":"YOsseYUZ","properties":{"formattedCitation":"(Swamy et al., 2018)","plainCitation":"(Swamy et al., 2018)","noteIndex":0},"citationItems":[{"id":168,"uris":["http://zotero.org/users/5073745/items/4F2IJ74D"],"uri":["http://zotero.org/users/5073745/items/4F2IJ74D"],"itemData":{"id":168,"type":"article-journal","title":"Circadian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(Swamy et al., 2018)</w:t>
      </w:r>
      <w:r>
        <w:rPr>
          <w:rFonts w:eastAsia="Times New Roman" w:cs="Times New Roman"/>
          <w:color w:val="000000"/>
        </w:rPr>
        <w:fldChar w:fldCharType="end"/>
      </w:r>
      <w:r>
        <w:rPr>
          <w:rFonts w:eastAsia="Times New Roman" w:cs="Times New Roman"/>
          <w:color w:val="000000"/>
        </w:rPr>
        <w:t xml:space="preserve">. </w:t>
      </w:r>
      <w:r w:rsidRPr="00826EBC">
        <w:rPr>
          <w:rFonts w:eastAsia="Times New Roman" w:cs="Times New Roman"/>
          <w:color w:val="000000"/>
        </w:rPr>
        <w:t>Interestingly enough, this was seen without a change in the pattern and regularity of estrous cycling, and furthermore without an increase in post-implantation loss in chrono-disrupted dams (Swamy 2018). The evidence in humans is less clear. A recent meta-analysis of the effects of shift work on infertility demonstrated that the association between shift work and infertility is highly confounded by things like unhealthy lifestyle in shift workers, higher prevalence of risky health behaviors like smoking in shift workers, and the likelihood that women who are working are less likely to have children, creating sampling bias</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{"citationID":"EN5tavWH","properties":{"formattedCitation":"(Fernandez et al., 2016)","plainCitation":"(Fernandez et al., 2016)","noteIndex":0},"citationItems":[{"id":166,"uris":["http://zotero.org/users/5073745/items/GGWNSIR9"],"uri":["http://zotero.org/users/5073745/items/GGWNSIR9"],"itemData":{"id":166,"type":"article-journal","title":"Fixed or Rotating Night Shift Work Undertaken by Women: Implications for Fertility and Miscarriage","container-title":"Seminars in Reproductive Medicine","page":"74-82","volume":"34","issue":"2","source":"www.thieme-connect.com","abstract":"This review summarizes the evidence concerning effects of night shift work on women's reproductive health, specifically difficulty in conceiving and miscarriage. We distinguish between fixed night shift and rotating night shift, as the population subgroups exposed, the social and biological mechanisms, and the magnitude of effects are likely to differ; of note, women working fixed night shift are known to have high tolerance for this schedule. We identified two relevant systematic reviews with meta-analyses and five additional studies. Night shift work may give rise to menstrual cycle disturbances, but effect sizes are imprecise. Endometriosis may be elevated in night shift workers, but evidence is only preliminary. Adequate data are lacking to assess associations between night shift work and infertility or time to pregnancy. The weight of evidence begins to point to working at night, whether in fixed or rotating shifts, as a risk factor for miscarriage. There are many methodological problems with this literature, with substantial variation in the definitions of night shift and schedule types making comparisons between studies difficult and pooling across studies questionable. Nevertheless, there appears to be grounds for caution and counselling where women have concerns about night shift work and their reproductive health.","DOI":"10.1055/s-0036-1571354","ISSN":"1526-8004, 1526-4564","title-short":"Fixed or Rotating Night Shift Work Undertaken by Women","journalAbbreviation":"Semin Reprod Med","language":"en","author":[{"family":"Fernandez","given":"Renae C."},{"family":"Marino","given":"Jennifer L."},{"family":"Varcoe","given":"Tamara J."},{"family":"Davis","given":"Scott"},{"family":"Moran","given":"Lisa J."},{"family":"Rumbold","given":"Alice R."},{"family":"Brown","given":"Hannah M."},{"family":"Whitrow","given":"Melissa J."},{"family":"Davies","given":"Michael J."},{"family":"Moore","given":"Vivienne M."}],"issued":{"date-parts":[["2016",3]]}}}],"schema":"https://github.com/citation-style-language/schema/raw/master/csl-citation.json"}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(Fernandez et al., 2016)</w:t>
      </w:r>
      <w:r>
        <w:rPr>
          <w:rFonts w:eastAsia="Times New Roman" w:cs="Times New Roman"/>
          <w:color w:val="000000"/>
        </w:rPr>
        <w:fldChar w:fldCharType="end"/>
      </w:r>
      <w:r w:rsidRPr="00826EBC">
        <w:rPr>
          <w:rFonts w:eastAsia="Times New Roman" w:cs="Times New Roman"/>
          <w:color w:val="000000"/>
        </w:rPr>
        <w:t xml:space="preserve">. Furthermore, defining the exposure of shift work makes studies in humans difficult to compare. In general, </w:t>
      </w:r>
      <w:proofErr w:type="spellStart"/>
      <w:r w:rsidRPr="00826EBC">
        <w:rPr>
          <w:rFonts w:eastAsia="Times New Roman" w:cs="Times New Roman"/>
          <w:color w:val="000000"/>
        </w:rPr>
        <w:t>Fernadez</w:t>
      </w:r>
      <w:proofErr w:type="spellEnd"/>
      <w:r w:rsidRPr="00826EBC">
        <w:rPr>
          <w:rFonts w:eastAsia="Times New Roman" w:cs="Times New Roman"/>
          <w:color w:val="000000"/>
        </w:rPr>
        <w:t xml:space="preserve"> and colleagues suggest that in humans, night shift work is likely to increase complaints of menstrual irregularity, whereas the quality of evidence for shift work and infertility appears to be so inconsistent, there cannot be a statement of risk or of no harm</w:t>
      </w:r>
      <w:r>
        <w:rPr>
          <w:rFonts w:eastAsia="Times New Roman" w:cs="Times New Roman"/>
          <w:color w:val="000000"/>
        </w:rPr>
        <w:fldChar w:fldCharType="begin"/>
      </w:r>
      <w:r>
        <w:rPr>
          <w:rFonts w:eastAsia="Times New Roman" w:cs="Times New Roman"/>
          <w:color w:val="000000"/>
        </w:rPr>
        <w:instrText xml:space="preserve"> ADDIN ZOTERO_ITEM CSL_CITATION {"citationID":"3GUkLvBO","properties":{"formattedCitation":"(Fernandez et al., 2016)","plainCitation":"(Fernandez et al., 2016)","noteIndex":0},"citationItems":[{"id":166,"uris":["http://zotero.org/users/5073745/items/GGWNSIR9"],"uri":["http://zotero.org/users/5073745/items/GGWNSIR9"],"itemData":{"id":166,"type":"article-journal","title":"Fixed or Rotating Night Shift Work Undertaken by Women: Implications for Fertility and Miscarriage","container-title":"Seminars in Reproductive Medicine","page":"74-82","volume":"34","issue":"2","source":"www.thieme-connect.com","abstract":"This review summarizes the evidence concerning effects of night shift work on women's reproductive health, specifically difficulty in conceiving and miscarriage. We distinguish between fixed night shift and rotating night shift, as the population subgroups exposed, the social and biological mechanisms, and the magnitude of effects are likely to differ; of note, women working fixed night shift are known to have high tolerance for this schedule. We identified two relevant systematic reviews with meta-analyses and five additional studies. Night shift work may give rise to menstrual cycle disturbances, but effect sizes are imprecise. Endometriosis may be elevated in night shift workers, but evidence is only preliminary. Adequate data are lacking to assess associations between night shift work and infertility or time to pregnancy. The weight of evidence begins to point to working at night, whether in fixed or rotating shifts, as a risk factor for miscarriage. There are many methodological problems with this literature, with substantial variation in the definitions of night shift and schedule types making comparisons between studies difficult and pooling across studies questionable. Nevertheless, there appears to be grounds for caution and counselling where women have concerns about night shift work and their reproductive health.","DOI":"10.1055/s-0036-1571354","ISSN":"1526-8004, 1526-4564","title-short":"Fixed or Rotating Night Shift Work Undertaken by Women","journalAbbreviation":"Semin Reprod Med","language":"en","author":[{"family":"Fernandez","given":"Renae C."},{"family":"Marino","given":"Jennifer L."},{"family":"Varcoe","given":"Tamara J."},{"family":"Davis","given":"Scott"},{"family":"Moran","given":"Lisa J."},{"family":"Rumbold","given":"Alice R."},{"family":"Brown","given":"Hannah M."},{"family":"Whitrow","given":"Melissa J."},{"family":"Davies","given":"Michael J."},{"family":"Moore","given":"Vivienne M."}],"issued":{"date-parts":[["2016",3]]}}}],"schema":"https://github.com/citation-style-language/schema/raw/master/csl-citation.json"}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(Fernandez et al., 2016)</w:t>
      </w:r>
      <w:r>
        <w:rPr>
          <w:rFonts w:eastAsia="Times New Roman" w:cs="Times New Roman"/>
          <w:color w:val="000000"/>
        </w:rPr>
        <w:fldChar w:fldCharType="end"/>
      </w:r>
      <w:r w:rsidRPr="00826EBC">
        <w:rPr>
          <w:rFonts w:eastAsia="Times New Roman" w:cs="Times New Roman"/>
          <w:color w:val="000000"/>
        </w:rPr>
        <w:t>. </w:t>
      </w:r>
    </w:p>
    <w:p w14:paraId="113D416D" w14:textId="05340B88" w:rsidR="00031589" w:rsidRDefault="0004750C" w:rsidP="0004750C">
      <w:pPr>
        <w:ind w:firstLine="720"/>
      </w:pPr>
      <w:r>
        <w:rPr>
          <w:rFonts w:eastAsia="Times New Roman" w:cs="Times New Roman"/>
          <w:color w:val="000000"/>
        </w:rPr>
        <w:t xml:space="preserve">The majority of the work done in the circadian biology of fertility has been examined using a chrono-disruption exposure </w:t>
      </w:r>
      <w:r>
        <w:rPr>
          <w:rFonts w:eastAsia="Times New Roman" w:cs="Times New Roman"/>
          <w:color w:val="000000"/>
        </w:rPr>
        <w:fldChar w:fldCharType="begin"/>
      </w:r>
      <w:r>
        <w:rPr>
          <w:rFonts w:eastAsia="Times New Roman" w:cs="Times New Roman"/>
          <w:color w:val="000000"/>
        </w:rPr>
        <w:instrText xml:space="preserve"> ADDIN ZOTERO_ITEM CSL_CITATION {"citationID":"bXlJg6Bb","properties":{"formattedCitation":"(Salazar et al., 2018; Swamy et al., 2018)","plainCitation":"(Salazar et al., 2018; Swamy et al., 2018)","noteIndex":0},"citationItems":[{"id":117,"uris":["http://zotero.org/users/5073745/items/NXMYMF52"],"uri":["http://zotero.org/users/5073745/items/NXMYMF52"],"itemData":{"id":117,"type":"article-journal","title":"Gestational chronodisruption leads to persistent changes in the rat fetal and adult adrenal clock and function","container-title":"The Journal of Physiology","page":"5839-5857","volume":"596","issue":"23","source":"Wiley Online Library","abstract":"Key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diseases.","DOI":"10.1113/JP276083","ISSN":"1469-7793","language":"en","author":[{"family":"Salazar","given":"E. R."},{"family":"Richter","given":"H. G."},{"family":"Spichiger","given":"C."},{"family":"Mendez","given":"N."},{"family":"Halabi","given":"D."},{"family":"Vergara","given":"K."},{"family":"Alonso","given":"I. P."},{"family":"Corvalán","given":"F. A."},{"family":"Azpeleta","given":"C."},{"family":"Seron</w:instrText>
      </w:r>
      <w:r>
        <w:rPr>
          <w:rFonts w:ascii="Cambria Math" w:eastAsia="Times New Roman" w:hAnsi="Cambria Math" w:cs="Cambria Math"/>
          <w:color w:val="000000"/>
        </w:rPr>
        <w:instrText>‐</w:instrText>
      </w:r>
      <w:r>
        <w:rPr>
          <w:rFonts w:eastAsia="Times New Roman" w:cs="Times New Roman"/>
          <w:color w:val="000000"/>
        </w:rPr>
        <w:instrText>Ferre","given":"M."},{"family":"Torres</w:instrText>
      </w:r>
      <w:r>
        <w:rPr>
          <w:rFonts w:ascii="Cambria Math" w:eastAsia="Times New Roman" w:hAnsi="Cambria Math" w:cs="Cambria Math"/>
          <w:color w:val="000000"/>
        </w:rPr>
        <w:instrText>‐</w:instrText>
      </w:r>
      <w:r>
        <w:rPr>
          <w:rFonts w:eastAsia="Times New Roman" w:cs="Times New Roman"/>
          <w:color w:val="000000"/>
        </w:rPr>
        <w:instrText xml:space="preserve">Farfan","given":"C."}],"issued":{"date-parts":[["2018"]]}}},{"id":168,"uris":["http://zotero.org/users/5073745/items/4F2IJ74D"],"uri":["http://zotero.org/users/5073745/items/4F2IJ74D"],"itemData":{"id":168,"type":"article-journal","title":"Circadian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(Salazar et al., 2018; Swamy et al., 2018)</w:t>
      </w:r>
      <w:r>
        <w:rPr>
          <w:rFonts w:eastAsia="Times New Roman" w:cs="Times New Roman"/>
          <w:color w:val="000000"/>
        </w:rPr>
        <w:fldChar w:fldCharType="end"/>
      </w:r>
      <w:r>
        <w:rPr>
          <w:rFonts w:eastAsia="Times New Roman" w:cs="Times New Roman"/>
          <w:color w:val="000000"/>
        </w:rPr>
        <w:t>. While timed feeding cues have demonstrated the ability to entrain peripheral organs and metabolism</w:t>
      </w:r>
      <w:r>
        <w:rPr>
          <w:rFonts w:eastAsia="Times New Roman" w:cs="Times New Roman"/>
          <w:color w:val="000000"/>
        </w:rPr>
        <w:fldChar w:fldCharType="begin"/>
      </w:r>
      <w:r>
        <w:rPr>
          <w:rFonts w:eastAsia="Times New Roman" w:cs="Times New Roman"/>
          <w:color w:val="000000"/>
        </w:rPr>
        <w:instrText xml:space="preserve"> ADDIN ZOTERO_ITEM CSL_CITATION {"citationID":"4VazguEk","properties":{"formattedCitation":"(Hatori et al., 2012; Pan &amp; Hussain, 2009; Sherman et al., 2012; Swamy et al., 2018)","plainCitation":"(Hatori et al., 2012; Pan &amp; Hussain, 2009; Sherman et al., 2012; Swamy et al., 2018)","noteIndex":0},"citationItems":[{"id":67,"uris":["http://zotero.org/users/5073745/items/T8U6Q3GZ"],"uri":["http://zotero.org/users/5073745/items/T8U6Q3GZ"],"itemData":{"id":67,"type":"article-journal","title":"Time-Restricted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w:t>
      </w:r>
      <w:proofErr w:type="spellStart"/>
      <w:r>
        <w:rPr>
          <w:rFonts w:eastAsia="Times New Roman" w:cs="Times New Roman"/>
          <w:noProof/>
          <w:color w:val="000000"/>
        </w:rPr>
        <w:t>Hatori</w:t>
      </w:r>
      <w:proofErr w:type="spellEnd"/>
      <w:r>
        <w:rPr>
          <w:rFonts w:eastAsia="Times New Roman" w:cs="Times New Roman"/>
          <w:noProof/>
          <w:color w:val="000000"/>
        </w:rPr>
        <w:t xml:space="preserve"> et al., 2012; Pan &amp; Hussain, 2009; Sherman et al., 2012; Swamy et al., 2018)</w:t>
      </w:r>
      <w:r>
        <w:rPr>
          <w:rFonts w:eastAsia="Times New Roman" w:cs="Times New Roman"/>
          <w:color w:val="000000"/>
        </w:rPr>
        <w:fldChar w:fldCharType="end"/>
      </w:r>
      <w:r>
        <w:rPr>
          <w:rFonts w:eastAsia="Times New Roman" w:cs="Times New Roman"/>
          <w:color w:val="000000"/>
        </w:rPr>
        <w:t xml:space="preserve">, the effects of timed feeding on fertility have not been examined except in models of chrono-disruption. </w:t>
      </w:r>
      <w:proofErr w:type="gramStart"/>
      <w:r>
        <w:rPr>
          <w:rFonts w:eastAsia="Times New Roman" w:cs="Times New Roman"/>
          <w:color w:val="000000"/>
        </w:rPr>
        <w:t>Therefore</w:t>
      </w:r>
      <w:proofErr w:type="gramEnd"/>
      <w:r>
        <w:rPr>
          <w:rFonts w:eastAsia="Times New Roman" w:cs="Times New Roman"/>
          <w:color w:val="000000"/>
        </w:rPr>
        <w:t xml:space="preserve"> I propose to</w:t>
      </w:r>
      <w:r w:rsidR="00031589">
        <w:t xml:space="preserve"> assess the effects of </w:t>
      </w:r>
      <w:proofErr w:type="spellStart"/>
      <w:r w:rsidR="00031589">
        <w:t>eTRF</w:t>
      </w:r>
      <w:proofErr w:type="spellEnd"/>
      <w:r w:rsidR="00031589">
        <w:t xml:space="preserve"> on maternal fertility</w:t>
      </w:r>
      <w:r>
        <w:t>, as a healthful model of metabolic clock entrainment</w:t>
      </w:r>
      <w:r w:rsidR="00031589">
        <w:t xml:space="preserve">. This will first be done by </w:t>
      </w:r>
      <w:r>
        <w:t>daily staging of the estrous</w:t>
      </w:r>
      <w:r w:rsidR="00031589">
        <w:t xml:space="preserve"> cycle</w:t>
      </w:r>
      <w:r>
        <w:t xml:space="preserve"> </w:t>
      </w:r>
      <w:r>
        <w:fldChar w:fldCharType="begin"/>
      </w:r>
      <w:r>
        <w:instrText xml:space="preserve"> ADDIN ZOTERO_ITEM CSL_CITATION {"citationID":"NNT9bl6j","properties":{"formattedCitation":"(Caligioni, 2009)","plainCitation":"(Caligioni, 2009)","noteIndex":0},"citationItems":[{"id":178,"uris":["http://zotero.org/users/5073745/items/BRASLVKZ"],"uri":["http://zotero.org/users/5073745/items/BRASLVKZ"],"itemData":{"id":178,"type":"article-journal","title":"Assessing reproductive status/stages in mice","container-title":"Current Protocols in Neuroscience","page":"Appendix 4I","volume":"Appendix 4","source":"PubMed","abstract":"The short reproductive cycle length observed in rodents, called the estrous cycle, makes them an ideal animal model for investigation of changes that occur during the reproductive cycle. Most of the data in the literature about the estrous cycle is obtained from rats because they are easily manipulated and they exhibit a clear and well-defined estrous cycle. However, the increased number of experiments using knockout mice requires identification of their estrous cycle as well, since (in)fertility issues may arise. In mice, like rats, the identification of the stage of estrous cycle is based on the proportion of cell types observed in the vaginal secretion. The aim of this unit is to provide guidelines for quickly and accurately determining estrous cycle phases in mice.","DOI":"10.1002/0471142301.nsa04is48","ISSN":"1934-8576","note":"PMID: 19575469\nPMCID: PMC2755182","journalAbbreviation":"Curr Protoc Neurosci","language":"eng","author":[{"family":"Caligioni","given":"Claudia S."}],"issued":{"date-parts":[["2009",7]]}}}],"schema":"https://github.com/citation-style-language/schema/raw/master/csl-citation.json"} </w:instrText>
      </w:r>
      <w:r>
        <w:fldChar w:fldCharType="separate"/>
      </w:r>
      <w:r>
        <w:rPr>
          <w:noProof/>
        </w:rPr>
        <w:t>(Caligioni, 2009)</w:t>
      </w:r>
      <w:r>
        <w:fldChar w:fldCharType="end"/>
      </w:r>
      <w:r w:rsidR="00031589">
        <w:t xml:space="preserve"> </w:t>
      </w:r>
      <w:r>
        <w:t xml:space="preserve">for each dam </w:t>
      </w:r>
      <w:r w:rsidR="00031589">
        <w:t xml:space="preserve">both before and during the initial exposure to </w:t>
      </w:r>
      <w:proofErr w:type="spellStart"/>
      <w:r w:rsidR="00031589">
        <w:t>eTRF</w:t>
      </w:r>
      <w:proofErr w:type="spellEnd"/>
      <w:r>
        <w:t xml:space="preserve">. Because timed feeding has previously demonstrated the ability to entrain peripheral tissues, including the female reproductive system, I expect that feeding during the shortened period of the dark cycle will not result in irregular or prolonged estrous cycles. </w:t>
      </w:r>
      <w:r w:rsidR="001D47FE">
        <w:t xml:space="preserve">Once dams have been mated, daily plug checks will occur until each dam has displayed a copulatory plug. Day of appearance of plug will be coined gestational day 0.5. Days from </w:t>
      </w:r>
      <w:r w:rsidR="004241AB">
        <w:t xml:space="preserve">plug to parturition will be counted. When plug is noted and no litter is born, this will be considered resorption. If resorption occurs, we can furthermore stain collected uteri from dams with 10% ammonium oxide to reveal implantation sites as described by Swamy and colleagues </w:t>
      </w:r>
      <w:r w:rsidR="004241AB">
        <w:fldChar w:fldCharType="begin"/>
      </w:r>
      <w:r w:rsidR="004241AB">
        <w:instrText xml:space="preserve"> ADDIN ZOTERO_ITEM CSL_CITATION {"citationID":"5NMdR3gp","properties":{"formattedCitation":"(Swamy et al., 2018)","plainCitation":"(Swamy et al., 2018)","noteIndex":0},"citationItems":[{"id":168,"uris":["http://zotero.org/users/5073745/items/4F2IJ74D"],"uri":["http://zotero.org/users/5073745/items/4F2IJ74D"],"itemData":{"id":168,"type":"article-journal","title":"Circadian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sidR="004241AB">
        <w:fldChar w:fldCharType="separate"/>
      </w:r>
      <w:r w:rsidR="004241AB">
        <w:rPr>
          <w:noProof/>
        </w:rPr>
        <w:t>(Swamy et al., 2018)</w:t>
      </w:r>
      <w:r w:rsidR="004241AB">
        <w:fldChar w:fldCharType="end"/>
      </w:r>
      <w:r w:rsidR="004241AB">
        <w:t xml:space="preserve">. Because one other study has evaluated </w:t>
      </w:r>
      <w:proofErr w:type="spellStart"/>
      <w:r w:rsidR="004241AB">
        <w:t>eTRF</w:t>
      </w:r>
      <w:proofErr w:type="spellEnd"/>
      <w:r w:rsidR="004241AB">
        <w:t xml:space="preserve"> in pregnancy, and pups survived to gestational day 18.5, I expect that fertility will not be compromised by </w:t>
      </w:r>
      <w:proofErr w:type="spellStart"/>
      <w:r w:rsidR="004241AB">
        <w:t>eTRF</w:t>
      </w:r>
      <w:proofErr w:type="spellEnd"/>
      <w:r w:rsidR="004241AB">
        <w:t xml:space="preserve"> treatment. This is supported by my preliminary data, where </w:t>
      </w:r>
      <w:proofErr w:type="spellStart"/>
      <w:r w:rsidR="004241AB">
        <w:t>eTRF</w:t>
      </w:r>
      <w:proofErr w:type="spellEnd"/>
      <w:r w:rsidR="004241AB">
        <w:t xml:space="preserve"> dams had similar rates of pup loss compared to AL controls, and both feeding conditions produced litters. </w:t>
      </w:r>
    </w:p>
    <w:p w14:paraId="38AB0473" w14:textId="27D2FA28" w:rsidR="004241AB" w:rsidRDefault="004241AB" w:rsidP="0004750C">
      <w:pPr>
        <w:ind w:firstLine="720"/>
      </w:pPr>
    </w:p>
    <w:p w14:paraId="63D39F21" w14:textId="1271A523" w:rsidR="00414BFB" w:rsidRPr="00414BFB" w:rsidRDefault="00414BFB" w:rsidP="00414BFB">
      <w:pPr>
        <w:rPr>
          <w:b/>
          <w:sz w:val="28"/>
          <w:szCs w:val="28"/>
        </w:rPr>
      </w:pPr>
      <w:r w:rsidRPr="00414BFB">
        <w:rPr>
          <w:b/>
          <w:sz w:val="28"/>
          <w:szCs w:val="28"/>
        </w:rPr>
        <w:t>Specific aim 1.2 Effects o</w:t>
      </w:r>
      <w:r w:rsidR="001B306C">
        <w:rPr>
          <w:b/>
          <w:sz w:val="28"/>
          <w:szCs w:val="28"/>
        </w:rPr>
        <w:t>n</w:t>
      </w:r>
      <w:r w:rsidRPr="00414BFB">
        <w:rPr>
          <w:b/>
          <w:sz w:val="28"/>
          <w:szCs w:val="28"/>
        </w:rPr>
        <w:t xml:space="preserve"> </w:t>
      </w:r>
      <w:r>
        <w:rPr>
          <w:b/>
          <w:sz w:val="28"/>
          <w:szCs w:val="28"/>
        </w:rPr>
        <w:t>g</w:t>
      </w:r>
      <w:r w:rsidRPr="00414BFB">
        <w:rPr>
          <w:b/>
          <w:sz w:val="28"/>
          <w:szCs w:val="28"/>
        </w:rPr>
        <w:t>estational health of the mother</w:t>
      </w:r>
    </w:p>
    <w:p w14:paraId="4BD17195" w14:textId="657DB253" w:rsidR="00414BFB" w:rsidRDefault="00414BFB" w:rsidP="00414BFB">
      <w:pPr>
        <w:rPr>
          <w:b/>
          <w:sz w:val="28"/>
          <w:szCs w:val="28"/>
        </w:rPr>
      </w:pPr>
      <w:r w:rsidRPr="00414BFB">
        <w:rPr>
          <w:b/>
          <w:sz w:val="28"/>
          <w:szCs w:val="28"/>
        </w:rPr>
        <w:t xml:space="preserve">1.2.1 – </w:t>
      </w:r>
      <w:commentRangeStart w:id="133"/>
      <w:r w:rsidRPr="00414BFB">
        <w:rPr>
          <w:b/>
          <w:sz w:val="28"/>
          <w:szCs w:val="28"/>
        </w:rPr>
        <w:t>insulin resistance of pregnanc</w:t>
      </w:r>
      <w:r w:rsidR="00C9633A">
        <w:rPr>
          <w:b/>
          <w:sz w:val="28"/>
          <w:szCs w:val="28"/>
        </w:rPr>
        <w:t>y</w:t>
      </w:r>
      <w:commentRangeEnd w:id="133"/>
      <w:r w:rsidR="00CC2456">
        <w:rPr>
          <w:rStyle w:val="CommentReference"/>
        </w:rPr>
        <w:commentReference w:id="133"/>
      </w:r>
    </w:p>
    <w:p w14:paraId="222F0920" w14:textId="154F2B93" w:rsidR="00A33C49" w:rsidRDefault="00A33C49" w:rsidP="00414BFB">
      <w:r>
        <w:lastRenderedPageBreak/>
        <w:t xml:space="preserve">It has been known that insulin resistance occurs progressively in pregnancy in both animals </w:t>
      </w:r>
      <w:r>
        <w:fldChar w:fldCharType="begin"/>
      </w:r>
      <w:r>
        <w:instrText xml:space="preserve"> ADDIN ZOTERO_ITEM CSL_CITATION {"citationID":"3I9YamYH","properties":{"formattedCitation":"(Musial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fldChar w:fldCharType="separate"/>
      </w:r>
      <w:r>
        <w:rPr>
          <w:noProof/>
        </w:rPr>
        <w:t>(Musial et al., 2016)</w:t>
      </w:r>
      <w:r>
        <w:fldChar w:fldCharType="end"/>
      </w:r>
      <w:r>
        <w:t xml:space="preserve"> and in humans </w:t>
      </w:r>
      <w:r>
        <w:fldChar w:fldCharType="begin"/>
      </w:r>
      <w:r>
        <w:instrText xml:space="preserve"> ADDIN ZOTERO_ITEM CSL_CITATION {"citationID":"Rmu7m581","properties":{"formattedCitation":"(Sonagra, Biradar, K., &amp; Murthy D.S., 2014)","plainCitation":"(Sonagra, Biradar, K., &amp; Murthy D.S., 2014)","noteIndex":0},"citationItems":[{"id":184,"uris":["http://zotero.org/users/5073745/items/ZDTFX5KY"],"uri":["http://zotero.org/users/5073745/items/ZDTFX5KY"],"itemData":{"id":184,"type":"article-journal","title":"Normal Pregnancy- A State of Insulin Resistance","container-title":"Journal of Clinical and Diagnostic Research : JCDR","page":"CC01-CC03","volume":"8","issue":"11","source":"PubMed Central","abstract":"Background: Purpose of insulin resistance (IR) adapted by mother is to deliver enough quantity of nutrients to the growing fetus. Many maternal hormones and factors play role in causation of IR during pregnancy., Aim: The study aims at evaluating IR at different trimesters of pregnancy., Materials and Methods: Pregnant women at 1st, 2nd and 3rd trimester were grouped into groups I, II and III respectively (n=20 in each group). Healthy non-pregnant women were taken as controls (n=30). Fasting plasma glucose (FPG) and fasting serum insulin (FSI) were measured and IR indices such as fasting glucose to insulin ratio (FGIR), quantitative insulin sensitivity check index (QUICKI), log FSI and log HOMA1-IR were calculated. The student’s t-test and one way Analysis of variance (ANOVA) were used for data analysis., Results: The mean FSI, log FSI and log HOMA 1-IR were significantly higher in 2nd and 3rd trimesters while QUICKI was significantly lower in 2nd and 3rd trimesters of pregnancy when compared with controls. Also, mean FGIR was found to be significantly lower in 3rd trimester when compared with controls., Conclusion: As pregnancy advances, IR increases. Increased IR is associated with poor maternal and fetal outcome. Screening of all pregnancy for IR and early intervention may help to reduce the associated complications.","DOI":"10.7860/JCDR/2014/10068.5081","ISSN":"2249-782X","note":"PMID: 25584208\nPMCID: PMC4290225","journalAbbreviation":"J Clin Diagn Res","author":[{"family":"Sonagra","given":"Amit D."},{"family":"Biradar","given":"Shivaleela M."},{"family":"K.","given":"Dattatreya"},{"family":"Murthy D.S.","given":"Jayaprakash"}],"issued":{"date-parts":[["2014",11]]}}}],"schema":"https://github.com/citation-style-language/schema/raw/master/csl-citation.json"} </w:instrText>
      </w:r>
      <w:r>
        <w:fldChar w:fldCharType="separate"/>
      </w:r>
      <w:r>
        <w:rPr>
          <w:noProof/>
        </w:rPr>
        <w:t>(Sonagra, Biradar, K., &amp; Murthy D.S., 2014)</w:t>
      </w:r>
      <w:r>
        <w:fldChar w:fldCharType="end"/>
      </w:r>
      <w:r>
        <w:t xml:space="preserve">. </w:t>
      </w:r>
      <w:r w:rsidR="001B306C">
        <w:t xml:space="preserve">This insulin resistance is related to having available nutrient to shunt toward the growing </w:t>
      </w:r>
      <w:proofErr w:type="spellStart"/>
      <w:r w:rsidR="001B306C">
        <w:t>feto</w:t>
      </w:r>
      <w:proofErr w:type="spellEnd"/>
      <w:r w:rsidR="001B306C">
        <w:t>-placental unit</w:t>
      </w:r>
      <w:r w:rsidR="008A29BB">
        <w:t>. However, insulin resistance I</w:t>
      </w:r>
    </w:p>
    <w:p w14:paraId="19476A37" w14:textId="1D3E3A72" w:rsidR="008A29BB" w:rsidRPr="00A33C49" w:rsidRDefault="008A29BB" w:rsidP="00414BFB">
      <w:r>
        <w:t xml:space="preserve">To compare the effects of </w:t>
      </w:r>
      <w:proofErr w:type="spellStart"/>
      <w:r>
        <w:t>eTRF</w:t>
      </w:r>
      <w:proofErr w:type="spellEnd"/>
      <w:r>
        <w:t xml:space="preserve"> to that of normal pregnancy, an experiment comparing insulin sensitivity in unpregnant females, pregnant AL females, and </w:t>
      </w:r>
      <w:proofErr w:type="spellStart"/>
      <w:r>
        <w:t>eTRF</w:t>
      </w:r>
      <w:proofErr w:type="spellEnd"/>
      <w:r>
        <w:t xml:space="preserve"> females will be conducted. </w:t>
      </w:r>
      <w:r w:rsidR="00CC2456">
        <w:t xml:space="preserve">Based on the literature demonstrating more insulin sensitivity in most investigations of TRF in adult subject, I expect that non-pregnant controls will be most insulin sensitive, followed by </w:t>
      </w:r>
      <w:proofErr w:type="spellStart"/>
      <w:r w:rsidR="00CC2456">
        <w:t>eTRF</w:t>
      </w:r>
      <w:proofErr w:type="spellEnd"/>
      <w:r w:rsidR="00CC2456">
        <w:t xml:space="preserve"> dams, and the least insulin sensitive animals will be AL fed dams. Completing this experiment, we will have the first evidence of insulin resistance measures in </w:t>
      </w:r>
      <w:proofErr w:type="spellStart"/>
      <w:r w:rsidR="00CC2456">
        <w:t>eTRF</w:t>
      </w:r>
      <w:proofErr w:type="spellEnd"/>
      <w:r w:rsidR="00CC2456">
        <w:t xml:space="preserve"> pregnancy, but we will also have both a pregnant and non-pregnant control which will provide context to the level of insulin sensitivity. </w:t>
      </w:r>
    </w:p>
    <w:p w14:paraId="3517E9D8" w14:textId="2F9E8F4E" w:rsidR="00414BFB" w:rsidRDefault="00414BFB" w:rsidP="00414BFB">
      <w:pPr>
        <w:rPr>
          <w:b/>
          <w:sz w:val="28"/>
          <w:szCs w:val="28"/>
        </w:rPr>
      </w:pPr>
      <w:r w:rsidRPr="00414BFB">
        <w:rPr>
          <w:b/>
          <w:sz w:val="28"/>
          <w:szCs w:val="28"/>
        </w:rPr>
        <w:t>1.2.2 – effect of TRF of food intake, body composition, energy expenditure, and digestive efficiency</w:t>
      </w:r>
    </w:p>
    <w:p w14:paraId="18291D14" w14:textId="77777777" w:rsidR="00E55BB9" w:rsidRDefault="00E55BB9" w:rsidP="00414BFB">
      <w:pPr>
        <w:rPr>
          <w:rFonts w:cs="Times New Roman"/>
          <w:u w:val="single"/>
        </w:rPr>
      </w:pPr>
    </w:p>
    <w:p w14:paraId="658E4487" w14:textId="0D01C682" w:rsidR="00414BFB" w:rsidRDefault="00414BFB" w:rsidP="00414BFB">
      <w:pPr>
        <w:rPr>
          <w:rFonts w:cs="Times New Roman"/>
        </w:rPr>
      </w:pPr>
      <w:r w:rsidRPr="00414BFB">
        <w:rPr>
          <w:rFonts w:cs="Times New Roman"/>
          <w:u w:val="single"/>
        </w:rPr>
        <w:t>Aim 1.2.2.1: Food Intake:</w:t>
      </w:r>
      <w:r>
        <w:rPr>
          <w:rFonts w:cs="Times New Roman"/>
        </w:rPr>
        <w:br/>
        <w:t xml:space="preserve">Food intake increases during pregnancy to allow facilitate sufficient nutrient levels to continue maternal healthful living and to provide energy and essential nutrients for the developing fetuses </w:t>
      </w:r>
      <w:r>
        <w:rPr>
          <w:rFonts w:cs="Times New Roman"/>
        </w:rPr>
        <w:fldChar w:fldCharType="begin"/>
      </w:r>
      <w:r>
        <w:rPr>
          <w:rFonts w:cs="Times New Roman"/>
        </w:rPr>
        <w:instrText xml:space="preserve"> ADDIN ZOTERO_ITEM CSL_CITATION {"citationID":"oKzHA2zz","properties":{"formattedCitation":"(S. R. Ladyman, Carter, &amp; Grattan, 2018)","plainCitation":"(S. R. Ladyman, Carter, &amp; Grattan, 2018)","noteIndex":0},"citationItems":[{"id":43,"uris":["http://zotero.org/users/5073745/items/3EYRTHI4"],"uri":["http://zotero.org/users/5073745/items/3EYRTHI4"],"itemData":{"id":43,"type":"article-journal","title":"Energy homeostasis and running wheel activity during pregnancy in the mouse","container-title":"Physiology &amp; Behavior","page":"83-94","volume":"194","source":"ScienceDirect","abstract":"Pregnancy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demands.","DOI":"10.1016/j.physbeh.2018.05.002","ISSN":"0031-9384","journalAbbreviation":"Physiology &amp; Behavior","author":[{"family":"Ladyman","given":"S.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(S. R. Ladyman, Carter, &amp; Grattan, 2018)</w:t>
      </w:r>
      <w:r>
        <w:rPr>
          <w:rFonts w:cs="Times New Roman"/>
        </w:rPr>
        <w:fldChar w:fldCharType="end"/>
      </w:r>
      <w:r>
        <w:rPr>
          <w:rFonts w:cs="Times New Roman"/>
        </w:rPr>
        <w:t>. This increase in food intake is usually transient, and most pronounced during the last two weeks of gestation  in mice</w:t>
      </w:r>
      <w:r>
        <w:rPr>
          <w:rFonts w:cs="Times New Roman"/>
        </w:rPr>
        <w:fldChar w:fldCharType="begin"/>
      </w:r>
      <w:r>
        <w:rPr>
          <w:rFonts w:cs="Times New Roman"/>
        </w:rPr>
        <w:instrText xml:space="preserve"> ADDIN ZOTERO_ITEM CSL_CITATION {"citationID":"kbDbvmb8","properties":{"formattedCitation":"(S. R. Ladyman et al., 2018)","plainCitation":"(S. R. Ladyman et al., 2018)","noteIndex":0},"citationItems":[{"id":43,"uris":["http://zotero.org/users/5073745/items/3EYRTHI4"],"uri":["http://zotero.org/users/5073745/items/3EYRTHI4"],"itemData":{"id":43,"type":"article-journal","title":"Energy homeostasis and running wheel activity during pregnancy in the mouse","container-title":"Physiology &amp; Behavior","page":"83-94","volume":"194","source":"ScienceDirect","abstract":"Pregnancy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demands.","DOI":"10.1016/j.physbeh.2018.05.002","ISSN":"0031-9384","journalAbbreviation":"Physiology &amp; Behavior","author":[{"family":"Ladyman","given":"S.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(S. R. Ladyman et al., 2018)</w:t>
      </w:r>
      <w:r>
        <w:rPr>
          <w:rFonts w:cs="Times New Roman"/>
        </w:rPr>
        <w:fldChar w:fldCharType="end"/>
      </w:r>
      <w:r>
        <w:rPr>
          <w:rFonts w:cs="Times New Roman"/>
        </w:rPr>
        <w:t>; followed by a sharp uptick during lactation, with up to 254% more food taken in by lactating mice than age-matched, non- lactating controls</w:t>
      </w:r>
      <w:r>
        <w:rPr>
          <w:rFonts w:cs="Times New Roman"/>
        </w:rPr>
        <w:fldChar w:fldCharType="begin"/>
      </w:r>
      <w:r>
        <w:rPr>
          <w:rFonts w:cs="Times New Roman"/>
        </w:rPr>
        <w:instrText xml:space="preserve"> ADDIN ZOTERO_ITEM CSL_CITATION {"citationID":"xKoYteN3","properties":{"formattedCitation":"(Sharon Rachel Ladyman, Khant Aung, &amp; Grattan, 2018)","plainCitation":"(Sharon Rachel Ladyman, Khant Aung, &amp; Grattan, 2018)","noteIndex":0},"citationItems":[{"id":92,"uris":["http://zotero.org/users/5073745/items/W73RI475"],"uri":["http://zotero.org/users/5073745/items/W73RI475"],"itemData":{"id":92,"type":"article-journal","title":"Impact of Pregnancy and Lactation on the Long-Term Regulation of Energy Balance in Female Mice","container-title":"Endocrinology","page":"2324-2336","volume":"159","issue":"6","source":"academic.oup.com","abstract":"Reproductively experienced female mice show long-term increased body weight and susceptibility to the negative consequence of high-fat diet on glucose tolerance","DOI":"10.1210/en.2018-00057","ISSN":"0013-7227","journalAbbreviation":"Endocrinology","language":"en","author":[{"family":"Ladyman","given":"Sharon Rachel"},{"family":"Khant Aung","given":"Zin"},{"family":"Grattan","given":"David Ross"}],"issued":{"date-parts":[["2018",6,1]]}}}],"schema":"https://github.com/citation-style-language/schema/raw/master/csl-citation.json"} </w:instrText>
      </w:r>
      <w:r>
        <w:rPr>
          <w:rFonts w:cs="Times New Roman"/>
        </w:rPr>
        <w:fldChar w:fldCharType="separate"/>
      </w:r>
      <w:r>
        <w:rPr>
          <w:rFonts w:cs="Times New Roman"/>
          <w:noProof/>
        </w:rPr>
        <w:t>(Sharon Rachel Ladyman, Khant Aung, &amp; Grattan, 2018)</w:t>
      </w:r>
      <w:r>
        <w:rPr>
          <w:rFonts w:cs="Times New Roman"/>
        </w:rPr>
        <w:fldChar w:fldCharType="end"/>
      </w:r>
      <w:r>
        <w:rPr>
          <w:rFonts w:cs="Times New Roman"/>
        </w:rPr>
        <w:t xml:space="preserve">.  </w:t>
      </w:r>
    </w:p>
    <w:p w14:paraId="02EFCB4A" w14:textId="3C59261D" w:rsidR="00414BFB" w:rsidRPr="00414BFB" w:rsidRDefault="00414BFB" w:rsidP="00414BFB">
      <w:r>
        <w:t>One such concern about the use of TRF in gestation is that the narrow eating window would provide too little time to consume sufficient calories to support maternal needs and fetal growth. This is especially a concern based on data available from human trials of TRF. In adult humans, when TRF/IF is employed, there is often a reduction in total kcal intake which then leads to weight loss. However, this is often not seen in animal studies</w:t>
      </w:r>
      <w:r w:rsidRPr="003572D6">
        <w:t xml:space="preserve"> </w:t>
      </w:r>
      <w:r>
        <w:t>even in studies of HFD feeding with TRF, food intake is similar.</w:t>
      </w:r>
      <w:r w:rsidR="00CC2456">
        <w:t xml:space="preserve"> </w:t>
      </w:r>
      <w:r>
        <w:t>Furthermore, Upadhyay and colleagues found that TRF of a high fat diet in gestation yielded offspring growth similar to AL chow fed control pups</w:t>
      </w:r>
      <w:r w:rsidR="00CC2456">
        <w:t xml:space="preserve"> </w:t>
      </w:r>
      <w:r>
        <w:fldChar w:fldCharType="begin"/>
      </w:r>
      <w:r>
        <w:instrText xml:space="preserve"> ADDIN ZOTERO_ITEM CSL_CITATION {"citationID":"sWNiUE4q","properties":{"formattedCitation":"(Upadhyay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fldChar w:fldCharType="separate"/>
      </w:r>
      <w:r>
        <w:rPr>
          <w:noProof/>
        </w:rPr>
        <w:t>(Upadhyay et al., 2019)</w:t>
      </w:r>
      <w:r>
        <w:fldChar w:fldCharType="end"/>
      </w:r>
      <w:r>
        <w:t xml:space="preserve">. For this reason, I do not expect that dams assigned to </w:t>
      </w:r>
      <w:proofErr w:type="spellStart"/>
      <w:r>
        <w:t>eTRF</w:t>
      </w:r>
      <w:proofErr w:type="spellEnd"/>
      <w:r>
        <w:t xml:space="preserve"> treatment to be unable to consume necessary calories to continue a healthful pregnancy. Preliminary data suggests that with the eating window of 6 hours, there are no differences in total 24-hour energy intake in the preliminary cohort. </w:t>
      </w:r>
      <w:r>
        <w:rPr>
          <w:rFonts w:cs="Times New Roman"/>
        </w:rPr>
        <w:t xml:space="preserve">In our preliminary data, we observe no differences in overall food intake between AL and </w:t>
      </w:r>
      <w:proofErr w:type="spellStart"/>
      <w:r>
        <w:rPr>
          <w:rFonts w:cs="Times New Roman"/>
        </w:rPr>
        <w:t>eTRF</w:t>
      </w:r>
      <w:proofErr w:type="spellEnd"/>
      <w:r>
        <w:rPr>
          <w:rFonts w:cs="Times New Roman"/>
        </w:rPr>
        <w:t xml:space="preserve"> mice, even though we detect a 126% increase in energy intake during the restricted window.</w:t>
      </w:r>
    </w:p>
    <w:p w14:paraId="47CC8B1E" w14:textId="77777777" w:rsidR="00E55BB9" w:rsidRDefault="00E55BB9" w:rsidP="00414BFB">
      <w:pPr>
        <w:rPr>
          <w:rFonts w:cs="Times New Roman"/>
          <w:u w:val="single"/>
        </w:rPr>
      </w:pPr>
    </w:p>
    <w:p w14:paraId="23AA9BC6" w14:textId="05131300" w:rsidR="00414BFB" w:rsidRPr="00414BFB" w:rsidRDefault="00414BFB" w:rsidP="00414BFB">
      <w:pPr>
        <w:rPr>
          <w:rFonts w:cs="Times New Roman"/>
          <w:u w:val="single"/>
        </w:rPr>
      </w:pPr>
      <w:r w:rsidRPr="00414BFB">
        <w:rPr>
          <w:rFonts w:cs="Times New Roman"/>
          <w:u w:val="single"/>
        </w:rPr>
        <w:t>Aim 1.2.2.2: Maternal Body Composition</w:t>
      </w:r>
    </w:p>
    <w:p w14:paraId="0779B5C2" w14:textId="10DF288A" w:rsidR="00414BFB" w:rsidRDefault="00414BFB" w:rsidP="00414BFB">
      <w:pPr>
        <w:rPr>
          <w:rFonts w:cs="Times New Roman"/>
        </w:rPr>
      </w:pPr>
      <w:r>
        <w:rPr>
          <w:rFonts w:cs="Times New Roman"/>
        </w:rPr>
        <w:t xml:space="preserve">Although only one study has been done in TRF in pregnancy, there have been many studies in non-pregnant adults in humans and in mice that evaluate body weight, body composition, and BMI after treatment with TRF. The literature is divergent in humans and animals. In most studies with humans employing different models of intermittent fasting, there is a moderate reduction of body weight when </w:t>
      </w:r>
      <w:proofErr w:type="spellStart"/>
      <w:r>
        <w:rPr>
          <w:rFonts w:cs="Times New Roman"/>
        </w:rPr>
        <w:t>isocaloric</w:t>
      </w:r>
      <w:proofErr w:type="spellEnd"/>
      <w:r>
        <w:rPr>
          <w:rFonts w:cs="Times New Roman"/>
        </w:rPr>
        <w:t>/</w:t>
      </w:r>
      <w:proofErr w:type="spellStart"/>
      <w:r>
        <w:rPr>
          <w:rFonts w:cs="Times New Roman"/>
        </w:rPr>
        <w:t>eucaloric</w:t>
      </w:r>
      <w:proofErr w:type="spellEnd"/>
      <w:r>
        <w:rPr>
          <w:rFonts w:cs="Times New Roman"/>
        </w:rPr>
        <w:t xml:space="preserve"> feeding is not employed as part of the study (</w:t>
      </w:r>
      <w:proofErr w:type="spellStart"/>
      <w:r>
        <w:rPr>
          <w:rFonts w:cs="Times New Roman"/>
        </w:rPr>
        <w:t>stote</w:t>
      </w:r>
      <w:proofErr w:type="spellEnd"/>
      <w:r>
        <w:rPr>
          <w:rFonts w:cs="Times New Roman"/>
        </w:rPr>
        <w:t>, 2017; Gabel 2018).</w:t>
      </w:r>
      <w:r w:rsidRPr="00146803">
        <w:rPr>
          <w:rFonts w:cs="Times New Roman"/>
        </w:rPr>
        <w:t xml:space="preserve"> </w:t>
      </w:r>
      <w:r>
        <w:rPr>
          <w:rFonts w:cs="Times New Roman"/>
        </w:rPr>
        <w:t xml:space="preserve">In rodent models; however, TRF of chow diet usually does not impart weight loss </w:t>
      </w:r>
      <w:r>
        <w:rPr>
          <w:rFonts w:cs="Times New Roman"/>
        </w:rPr>
        <w:fldChar w:fldCharType="begin"/>
      </w:r>
      <w:r>
        <w:rPr>
          <w:rFonts w:cs="Times New Roman"/>
        </w:rPr>
        <w:instrText xml:space="preserve"> ADDIN ZOTERO_ITEM CSL_CITATION {"citationID":"fDfTNr35","properties":{"formattedCitation":"(Liu et al., 2019; Woodie et al., 2018)","plainCitation":"(Liu et al., 2019; Woodie et al., 2018)","noteIndex":0},"citationItems":[{"id":64,"uris":["http://zotero.org/users/5073745/items/97JC579J"],"uri":["http://zotero.org/users/5073745/items/97JC579J"],"itemData":{"id":64,"type":"article-journal","title":"Intermittent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Pr>
          <w:rFonts w:cs="Times New Roman"/>
          <w:noProof/>
        </w:rPr>
        <w:t>(Liu et al., 2019; Woodie et al., 2018)</w:t>
      </w:r>
      <w:r>
        <w:rPr>
          <w:rFonts w:cs="Times New Roman"/>
        </w:rPr>
        <w:fldChar w:fldCharType="end"/>
      </w:r>
      <w:r>
        <w:rPr>
          <w:rFonts w:cs="Times New Roman"/>
        </w:rPr>
        <w:t xml:space="preserve">. When High fat diet is given, TRF stimulates body weight loss </w:t>
      </w:r>
      <w:r>
        <w:rPr>
          <w:rFonts w:cs="Times New Roman"/>
        </w:rPr>
        <w:fldChar w:fldCharType="begin"/>
      </w:r>
      <w:r>
        <w:rPr>
          <w:rFonts w:cs="Times New Roman"/>
        </w:rPr>
        <w:instrText xml:space="preserve"> ADDIN ZOTERO_ITEM CSL_CITATION {"citationID":"yO7UxBUc","properties":{"formattedCitation":"(Hatori et al., 2012; Liu et al., 2019; Sherman et al., 2012)","plainCitation":"(Hatori et al., 2012; Liu et al., 2019; Sherman et al., 2012)","noteIndex":0},"citationItems":[{"id":67,"uris":["http://zotero.org/users/5073745/items/T8U6Q3GZ"],"uri":["http://zotero.org/users/5073745/items/T8U6Q3GZ"],"itemData":{"id":67,"type":"article-journal","title":"Time-Restricted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schema":"https://github.com/citation-style-language/schema/raw/master/csl-citation.json"} </w:instrText>
      </w:r>
      <w:r>
        <w:rPr>
          <w:rFonts w:cs="Times New Roman"/>
        </w:rPr>
        <w:fldChar w:fldCharType="separate"/>
      </w:r>
      <w:r>
        <w:rPr>
          <w:rFonts w:cs="Times New Roman"/>
          <w:noProof/>
        </w:rPr>
        <w:t>(Hatori et al., 2012; Liu et al., 2019; Sherman et al., 2012)</w:t>
      </w:r>
      <w:r>
        <w:rPr>
          <w:rFonts w:cs="Times New Roman"/>
        </w:rPr>
        <w:fldChar w:fldCharType="end"/>
      </w:r>
      <w:r>
        <w:rPr>
          <w:rFonts w:cs="Times New Roman"/>
        </w:rPr>
        <w:t xml:space="preserve">.  We will monitor body </w:t>
      </w:r>
      <w:r>
        <w:rPr>
          <w:rFonts w:cs="Times New Roman"/>
        </w:rPr>
        <w:lastRenderedPageBreak/>
        <w:t xml:space="preserve">composition (Fat mass, lean mass, free water) indirectly by </w:t>
      </w:r>
      <w:proofErr w:type="spellStart"/>
      <w:r>
        <w:rPr>
          <w:rFonts w:cs="Times New Roman"/>
        </w:rPr>
        <w:t>EchoMRI</w:t>
      </w:r>
      <w:proofErr w:type="spellEnd"/>
      <w:r>
        <w:rPr>
          <w:rFonts w:cs="Times New Roman"/>
        </w:rPr>
        <w:t xml:space="preserve"> and we predict to observe no differences in fat, lean, or </w:t>
      </w:r>
      <w:r w:rsidR="00E55BB9">
        <w:rPr>
          <w:rFonts w:cs="Times New Roman"/>
        </w:rPr>
        <w:t xml:space="preserve">free </w:t>
      </w:r>
      <w:r>
        <w:rPr>
          <w:rFonts w:cs="Times New Roman"/>
        </w:rPr>
        <w:t xml:space="preserve">water content compared to gestational-age matched, </w:t>
      </w:r>
      <w:r w:rsidRPr="004B030F">
        <w:rPr>
          <w:rFonts w:cs="Times New Roman"/>
          <w:i/>
        </w:rPr>
        <w:t>ad libitum</w:t>
      </w:r>
      <w:r>
        <w:rPr>
          <w:rFonts w:cs="Times New Roman"/>
        </w:rPr>
        <w:t xml:space="preserve"> fed control.</w:t>
      </w:r>
      <w:r w:rsidR="00E55BB9">
        <w:rPr>
          <w:rFonts w:cs="Times New Roman"/>
        </w:rPr>
        <w:t xml:space="preserve"> This finding would be especially crucial in the state of pregnancy, as progressive and gradual weight gain is expected and necessary for a successful and healthful pregnancy. </w:t>
      </w:r>
    </w:p>
    <w:p w14:paraId="5DFD9D74" w14:textId="47EE93F0" w:rsidR="00414BFB" w:rsidRDefault="00414BFB" w:rsidP="00414BFB">
      <w:pPr>
        <w:rPr>
          <w:rFonts w:cs="Times New Roman"/>
        </w:rPr>
      </w:pPr>
    </w:p>
    <w:p w14:paraId="26AE4AD6" w14:textId="4183F443" w:rsidR="00414BFB" w:rsidRPr="00414BFB" w:rsidRDefault="00414BFB" w:rsidP="00414BFB">
      <w:pPr>
        <w:rPr>
          <w:rFonts w:cs="Times New Roman"/>
          <w:u w:val="single"/>
        </w:rPr>
      </w:pPr>
      <w:r w:rsidRPr="00414BFB">
        <w:rPr>
          <w:rFonts w:cs="Times New Roman"/>
          <w:u w:val="single"/>
        </w:rPr>
        <w:t>Aim 1.2.2.3 Maternal Energy Expenditure:</w:t>
      </w:r>
    </w:p>
    <w:p w14:paraId="397730F2" w14:textId="00AEB254" w:rsidR="00414BFB" w:rsidRPr="002069B3" w:rsidRDefault="00414BFB" w:rsidP="00414BFB">
      <w:pPr>
        <w:rPr>
          <w:rFonts w:cs="Times New Roman"/>
        </w:rPr>
      </w:pPr>
      <w:r w:rsidRPr="002069B3">
        <w:rPr>
          <w:rFonts w:cs="Times New Roman"/>
        </w:rPr>
        <w:t>Works in TRF of humans and animals have demonstrated mixed results with respect to energy expenditure. In some, energy expenditure is increased using this feeding strategy (</w:t>
      </w:r>
      <w:proofErr w:type="spellStart"/>
      <w:r w:rsidRPr="002069B3">
        <w:rPr>
          <w:rFonts w:cs="Times New Roman"/>
        </w:rPr>
        <w:t>Halberg</w:t>
      </w:r>
      <w:proofErr w:type="spellEnd"/>
      <w:r w:rsidRPr="002069B3">
        <w:rPr>
          <w:rFonts w:cs="Times New Roman"/>
        </w:rPr>
        <w:t xml:space="preserve">, 2005; Gabel, 2018 ), while more </w:t>
      </w:r>
      <w:r w:rsidR="00E55BB9">
        <w:rPr>
          <w:rFonts w:cs="Times New Roman"/>
        </w:rPr>
        <w:t xml:space="preserve">either </w:t>
      </w:r>
      <w:r w:rsidRPr="002069B3">
        <w:rPr>
          <w:rFonts w:cs="Times New Roman"/>
        </w:rPr>
        <w:t>fail to detect any significant increase in daily energy expenditure</w:t>
      </w:r>
      <w:r>
        <w:rPr>
          <w:rFonts w:cs="Times New Roman"/>
        </w:rPr>
        <w:t xml:space="preserve"> </w:t>
      </w:r>
      <w:r>
        <w:rPr>
          <w:rFonts w:cs="Times New Roman"/>
        </w:rPr>
        <w:fldChar w:fldCharType="begin"/>
      </w:r>
      <w:r>
        <w:rPr>
          <w:rFonts w:cs="Times New Roman"/>
        </w:rPr>
        <w:instrText xml:space="preserve"> ADDIN ZOTERO_ITEM CSL_CITATION {"citationID":"9Ix3cBGY","properties":{"formattedCitation":"(Ravussin et al., 2019)","plainCitation":"(Ravussin et al., 2019)","noteIndex":0},"citationItems":[{"id":83,"uris":["http://zotero.org/users/5073745/items/NM5GTE54"],"uri":["http://zotero.org/users/5073745/items/NM5GTE54"],"itemData":{"id":83,"type":"article-journal","title":"Early Time-Restricted Feeding Reduces Appetite and Increases Fat Oxidation But Does Not Affect Energy Expenditure in Humans","container-title":"Obesity","page":"1244-1254","volume":"27","issue":"8","source":"Wiley Online Library","abstract":"Objective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oxidation.","DOI":"10.1002/oby.22518","ISSN":"1930-739X","language":"en","author":[{"family":"Ravussin","given":"Eric"},{"family":"Beyl","given":"Robbie A."},{"family":"Poggiogalle","given":"Eleonora"},{"family":"Hsia","given":"Daniel S."},{"family":"Peterson","given":"Courtney M."}],"issued":{"date-parts":[["2019"]]}}}],"schema":"https://github.com/citation-style-language/schema/raw/master/csl-citation.json"} </w:instrText>
      </w:r>
      <w:r>
        <w:rPr>
          <w:rFonts w:cs="Times New Roman"/>
        </w:rPr>
        <w:fldChar w:fldCharType="separate"/>
      </w:r>
      <w:r>
        <w:rPr>
          <w:rFonts w:cs="Times New Roman"/>
          <w:noProof/>
        </w:rPr>
        <w:t>(Ravussin et al., 2019)</w:t>
      </w:r>
      <w:r>
        <w:rPr>
          <w:rFonts w:cs="Times New Roman"/>
        </w:rPr>
        <w:fldChar w:fldCharType="end"/>
      </w:r>
      <w:r w:rsidR="00E55BB9">
        <w:rPr>
          <w:rFonts w:cs="Times New Roman"/>
        </w:rPr>
        <w:t xml:space="preserve"> or leave this unexamined </w:t>
      </w:r>
      <w:r w:rsidR="00E55BB9" w:rsidRPr="00E55BB9">
        <w:rPr>
          <w:rFonts w:cs="Times New Roman"/>
          <w:highlight w:val="yellow"/>
        </w:rPr>
        <w:t>()</w:t>
      </w:r>
      <w:r w:rsidRPr="002069B3">
        <w:rPr>
          <w:rFonts w:cs="Times New Roman"/>
        </w:rPr>
        <w:t xml:space="preserve">. Based on preliminary results, the food intake and body composition levels are unchanged; however, these are only proxy measurements of actual energy expenditure. It is possible that while food intake and body weight do not have detectable differences, </w:t>
      </w:r>
      <w:r w:rsidR="00F21DE2">
        <w:rPr>
          <w:rFonts w:cs="Times New Roman"/>
        </w:rPr>
        <w:t xml:space="preserve">any changes in one of these indices </w:t>
      </w:r>
      <w:proofErr w:type="spellStart"/>
      <w:r w:rsidR="00F21DE2">
        <w:rPr>
          <w:rFonts w:cs="Times New Roman"/>
        </w:rPr>
        <w:t>coule</w:t>
      </w:r>
      <w:proofErr w:type="spellEnd"/>
      <w:r w:rsidR="00F21DE2">
        <w:rPr>
          <w:rFonts w:cs="Times New Roman"/>
        </w:rPr>
        <w:t xml:space="preserve"> be counter-balanced by the other (greater digestive efficiency paired with greater energy expenditure or lower digestive efficiency paired with lower energy expenditure).</w:t>
      </w:r>
      <w:r w:rsidRPr="002069B3">
        <w:rPr>
          <w:rFonts w:cs="Times New Roman"/>
        </w:rPr>
        <w:t xml:space="preserve"> </w:t>
      </w:r>
    </w:p>
    <w:p w14:paraId="328ABFD7" w14:textId="58D6B263" w:rsidR="00414BFB" w:rsidRDefault="00414BFB" w:rsidP="00F21DE2">
      <w:pPr>
        <w:rPr>
          <w:rFonts w:cs="Times New Roman"/>
        </w:rPr>
      </w:pPr>
      <w:r>
        <w:rPr>
          <w:rFonts w:cs="Times New Roman"/>
        </w:rPr>
        <w:t xml:space="preserve">Although significant differences in total daily energy expenditure is not often seen, there are often periods where </w:t>
      </w:r>
      <w:commentRangeStart w:id="134"/>
      <w:r>
        <w:rPr>
          <w:rFonts w:cs="Times New Roman"/>
        </w:rPr>
        <w:t xml:space="preserve">RER </w:t>
      </w:r>
      <w:commentRangeEnd w:id="134"/>
      <w:r>
        <w:rPr>
          <w:rStyle w:val="CommentReference"/>
        </w:rPr>
        <w:commentReference w:id="134"/>
      </w:r>
      <w:r>
        <w:rPr>
          <w:rFonts w:cs="Times New Roman"/>
        </w:rPr>
        <w:t>is distinct from ad lib controls. Namely, during the night, the RER/RQ lowers, resulting in greater fat utilization, and during the day, a high RER predominates – demonstrating greater metabolic capacity for flexibility in those exposed to TRF</w:t>
      </w:r>
      <w:r w:rsidR="00F21DE2">
        <w:rPr>
          <w:rFonts w:cs="Times New Roman"/>
        </w:rPr>
        <w:t xml:space="preserve">. I propose to evaluate maternal food intake in the context of body composition and use those data to calculate feeding efficiency. If feeding efficiency is different between </w:t>
      </w:r>
      <w:proofErr w:type="spellStart"/>
      <w:r w:rsidR="00F21DE2">
        <w:rPr>
          <w:rFonts w:cs="Times New Roman"/>
        </w:rPr>
        <w:t>eTRF</w:t>
      </w:r>
      <w:proofErr w:type="spellEnd"/>
      <w:r w:rsidR="00F21DE2">
        <w:rPr>
          <w:rFonts w:cs="Times New Roman"/>
        </w:rPr>
        <w:t xml:space="preserve"> and AL dams, then I would propose to employ metabolic phenotyping wherein VO2, VCO2, locomotor activity, and food intake would be measured during pregnancy. I hypothesized that feeding efficiency will not be greatly changed between the two groups. </w:t>
      </w:r>
    </w:p>
    <w:p w14:paraId="6629F167" w14:textId="1CC0EA1F" w:rsidR="00D95E7B" w:rsidRPr="004B030F" w:rsidRDefault="00D95E7B" w:rsidP="004B030F">
      <w:pPr>
        <w:rPr>
          <w:rFonts w:cs="Times New Roman"/>
        </w:rPr>
      </w:pPr>
    </w:p>
    <w:p w14:paraId="27C75862" w14:textId="0B9DE771" w:rsidR="002E1770" w:rsidRPr="00414BFB" w:rsidRDefault="00414BFB" w:rsidP="002E1770">
      <w:pPr>
        <w:pStyle w:val="Heading2"/>
        <w:rPr>
          <w:b w:val="0"/>
          <w:sz w:val="24"/>
          <w:szCs w:val="24"/>
          <w:u w:val="single"/>
        </w:rPr>
      </w:pPr>
      <w:r w:rsidRPr="00414BFB">
        <w:rPr>
          <w:b w:val="0"/>
          <w:sz w:val="24"/>
          <w:szCs w:val="24"/>
          <w:u w:val="single"/>
        </w:rPr>
        <w:t>Aim 1.2.2.4 Materna</w:t>
      </w:r>
      <w:r w:rsidR="00AB3067">
        <w:rPr>
          <w:b w:val="0"/>
          <w:sz w:val="24"/>
          <w:szCs w:val="24"/>
          <w:u w:val="single"/>
        </w:rPr>
        <w:t>l</w:t>
      </w:r>
      <w:r w:rsidRPr="00414BFB">
        <w:rPr>
          <w:b w:val="0"/>
          <w:sz w:val="24"/>
          <w:szCs w:val="24"/>
          <w:u w:val="single"/>
        </w:rPr>
        <w:t xml:space="preserve"> digestive efficiency</w:t>
      </w:r>
    </w:p>
    <w:p w14:paraId="1B3121EC" w14:textId="25D27833" w:rsidR="00010B03" w:rsidRDefault="002E1770" w:rsidP="00D817DF">
      <w:r>
        <w:t xml:space="preserve">Although digestion and nutrient utilization are active areas of research in </w:t>
      </w:r>
      <w:r w:rsidR="000453AB">
        <w:t xml:space="preserve">both </w:t>
      </w:r>
      <w:r>
        <w:t>pregnant animals and humans, the physical and physiological changes of the alimentary canal in pregnancy are not well characterized. The vast majority of work that has been done in both humans and in animals focuses on micronutrient transport and utilization during gestation; especially of iron and calcium</w:t>
      </w:r>
      <w:r w:rsidR="000F0FE1">
        <w:fldChar w:fldCharType="begin"/>
      </w:r>
      <w:r w:rsidR="000F0FE1">
        <w:instrText xml:space="preserve"> ADDIN ZOTERO_ITEM CSL_CITATION {"citationID":"yFp9yJkR","properties":{"formattedCitation":"(Fisher &amp; Nemeth, 2017; Kovacs, 2000)","plainCitation":"(Fisher &amp; Nemeth, 2017; Kovacs, 2000)","noteIndex":0},"citationItems":[{"id":152,"uris":["http://zotero.org/users/5073745/items/GILEK3JH"],"uri":["http://zotero.org/users/5073745/items/GILEK3JH"],"itemData":{"id":152,"type":"article-journal","title":"Iron homeostasis during pregnancy","container-title":"The American Journal of Clinical Nutrition","page":"1567S-1574S","volume":"106","issue":"Suppl 6","source":"PubMed Central","abstract":"During pregnancy, iron needs to increase substantially to support fetoplacental development and maternal adaptation to pregnancy. To meet these iron requirements, both dietary iron absorption and the mobilization of iron from stores increase, a mechanism that is in large part dependent on the iron-regulatory hormone hepcidin. In healthy human pregnancies, maternal hepcidin concentrations are suppressed in the second and third trimesters, thereby facilitating an increased supply of iron into the circulation. The mechanism of maternal hepcidin suppression in pregnancy is unknown, but hepcidin regulation by the known stimuli (i.e., iron, erythropoietic activity, and inflammation) appears to be preserved during pregnancy. Inappropriately increased maternal hepcidin during pregnancy can compromise the iron availability for placental transfer and impair the efficacy of iron supplementation. The role of fetal hepcidin in the regulation of placental iron transfer still remains to be characterized. This review summarizes the current understanding and addresses the gaps in knowledge about gestational changes in hematologic and iron variables and regulatory aspects of maternal, fetal, and placental iron homeostasis.","DOI":"10.3945/ajcn.117.155812","ISSN":"0002-9165","note":"PMID: 29070542\nPMCID: PMC5701706","journalAbbreviation":"Am J Clin Nutr","author":[{"family":"Fisher","given":"Allison L"},{"family":"Nemeth","given":"Elizabeta"}],"issued":{"date-parts":[["2017",12]]}}},{"id":155,"uris":["http://zotero.org/users/5073745/items/8PF4H68M"],"uri":["http://zotero.org/users/5073745/items/8PF4H68M"],"itemData":{"id":155,"type":"chapter","title":"Calcium and Phosphate Metabolism and Related Disorders During Pregnancy and Lactation","container-title":"Endotext","publisher":"MDText.com, Inc.","publisher-place":"South Dartmouth (MA)","source":"PubMed","event-place":"South Dartmouth (MA)","abstract":"Pregnancy and lactation require women to provide calcium to the fetus and neonate in amounts that may exceed their normal daily intake. Specific adaptations are invoked within each time period to meet the fetal, neonatal, and maternal calcium requirements. During pregnancy, intestinal calcium absorption more than doubles, and this appears to be the main adaptation to meet the fetal demand for mineral. During lactation, intestinal calcium absorption is normal. Instead, the maternal skeleton is resorbed through the processes of osteoclast-mediated bone resorption and osteocytic osteolysis, in order to provide most of the calcium content of breast milk. In women this lactational loss of bone mass and strength is not suppressed by higher dietary intakes of calcium. After weaning, the skeleton appears to be restored to its prior bone density and strength, together with concomitant increases in bone volumes and cross-sectional diameters that may offset any effect of failure to completely restore the trabecular microarchitecture. These maternal adaptations during pregnancy and lactation also influence the presentation, diagnosis, and management of disorders of calcium and bone metabolism such as primary hyperparathyroidism, hypoparathyroidism, and vitamin D deficiency. Pregnancy and lactation can also cause pseudohyperparathyroidism, a form of hypercalcemia that is mediated by parathyroid hormone-related protein, produced in the breasts or placenta during pregnancy, and by the breasts alone during lactation. Although some women may experience fragility fractures as a consequence of pregnancy or lactation, for most women parity and lactation do not affect the long-term risks of low bone density, osteoporosis, or fracture.","URL":"http://www.ncbi.nlm.nih.gov/books/NBK279173/","call-number":"NBK279173","note":"PMID: 25905396","language":"eng","author":[{"family":"Kovacs","given":"Christopher S."}],"editor":[{"family":"Feingold","given":"Kenneth R."},{"family":"Anawalt","given":"Bradley"},{"family":"Boyce","given":"Alison"},{"family":"Chrousos","given":"George"},{"family":"Dungan","given":"Kathleen"},{"family":"Grossman","given":"Ashley"},{"family":"Hershman","given":"Jerome M."},{"family":"Kaltsas","given":"Gregory"},{"family":"Koch","given":"Christian"},{"family":"Kopp","given":"Peter"},{"family":"Korbonits","given":"Márta"},{"family":"McLachlan","given":"Robert"},{"family":"Morley","given":"John E."},{"family":"New","given":"Maria"},{"family":"Perreault","given":"Leigh"},{"family":"Purnell","given":"Jonathan"},{"family":"Rebar","given":"Robert"},{"family":"Singer","given":"Frederick"},{"family":"Trence","given":"Dace L."},{"family":"Vinik","given":"Aaron"},{"family":"Wilson","given":"Don P."}],"issued":{"date-parts":[["2000"]]},"accessed":{"date-parts":[["2019",11,5]]}}}],"schema":"https://github.com/citation-style-language/schema/raw/master/csl-citation.json"} </w:instrText>
      </w:r>
      <w:r w:rsidR="000F0FE1">
        <w:fldChar w:fldCharType="separate"/>
      </w:r>
      <w:r w:rsidR="000F0FE1">
        <w:rPr>
          <w:noProof/>
        </w:rPr>
        <w:t>(Fisher &amp; Nemeth, 2017; Kovacs, 2000)</w:t>
      </w:r>
      <w:r w:rsidR="000F0FE1">
        <w:fldChar w:fldCharType="end"/>
      </w:r>
      <w:r w:rsidR="000F0FE1">
        <w:t>.</w:t>
      </w:r>
      <w:r>
        <w:t>Th</w:t>
      </w:r>
      <w:r w:rsidR="000453AB">
        <w:t>ese studies</w:t>
      </w:r>
      <w:r>
        <w:t xml:space="preserve"> h</w:t>
      </w:r>
      <w:r w:rsidR="000453AB">
        <w:t>ave</w:t>
      </w:r>
      <w:r>
        <w:t xml:space="preserve"> demonstrated in animal models that there is hypertrophy of the absorptive surfaces in pregnant animals compared to their non-pregnant counterparts</w:t>
      </w:r>
      <w:r w:rsidR="000F0FE1">
        <w:t xml:space="preserve"> </w:t>
      </w:r>
      <w:r w:rsidR="00C7633F">
        <w:fldChar w:fldCharType="begin"/>
      </w:r>
      <w:r w:rsidR="00C7633F">
        <w:instrText xml:space="preserve"> ADDIN ZOTERO_ITEM CSL_CITATION {"citationID":"2UbZdK3V","properties":{"formattedCitation":"(Sabet Sarvestani, Rahmanifar, &amp; Tamadon, 2015)","plainCitation":"(Sabet Sarvestani, Rahmanifar, &amp; Tamadon, 2015)","noteIndex":0},"citationItems":[{"id":149,"uris":["http://zotero.org/users/5073745/items/VQXZRVV8"],"uri":["http://zotero.org/users/5073745/items/VQXZRVV8"],"itemData":{"id":149,"type":"article-journal","title":"Histomorphometric changes of small intestine in pregnant rat","container-title":"Veterinary Research Forum","page":"69-73","volume":"6","issue":"1","source":"PubMed Central","abstract":"Food intake of rats increases during pregnancy. This requires changes in the structure of the small intestine to absorb additional food. The aim of the present study was to investigate the morphological changes in the layers of small intestine in rats during pregnancy. Duodenum, jejunum and ileum of 18 pregnant Sprague-Dawley rats (day 7, 14 and 21 of pregnancy) were collected. Villous height and width and thickness of lamina propria, tunica muscularis entirely and separately (circular and longitudinal layers) were measured on transverse sections. During pregnancy increasing villi length and muscular layer thickness was observed in duodenum. Furthermore, along with the progress of gestation greatest histomorphometric change in small intestine was observed in the jejunum. The reduction in the ileum histomorphologic indices was observed during pregnancy. In conclusion, increase in histomorphologic indices of duodenum and jejunum supplies more capacity of duodenum to digest food intake during pregnancy and decrease in these indices in ileum controls the absorption of excess produced amino acids and glucose by hyperphagia.","ISSN":"2008-8140","note":"PMID: 25992254\nPMCID: PMC4405688","journalAbbreviation":"Vet Res Forum","author":[{"family":"Sabet Sarvestani","given":"Fatemeh"},{"family":"Rahmanifar","given":"Farhad"},{"family":"Tamadon","given":"Amin"}],"issued":{"date-parts":[["2015"]]}}}],"schema":"https://github.com/citation-style-language/schema/raw/master/csl-citation.json"} </w:instrText>
      </w:r>
      <w:r w:rsidR="00C7633F">
        <w:fldChar w:fldCharType="separate"/>
      </w:r>
      <w:r w:rsidR="00826EBC">
        <w:rPr>
          <w:noProof/>
        </w:rPr>
        <w:t>(Sabet Sarvestani, Rahmanifar, &amp; Tamadon, 2015)</w:t>
      </w:r>
      <w:r w:rsidR="00C7633F">
        <w:fldChar w:fldCharType="end"/>
      </w:r>
      <w:r w:rsidR="00C7633F">
        <w:t xml:space="preserve">. </w:t>
      </w:r>
      <w:r>
        <w:t>Stil</w:t>
      </w:r>
      <w:r w:rsidR="000F0FE1">
        <w:t>l</w:t>
      </w:r>
      <w:r>
        <w:t xml:space="preserve">, </w:t>
      </w:r>
      <w:r w:rsidR="000F0FE1">
        <w:t>no measurement of absorptive capacity</w:t>
      </w:r>
      <w:r>
        <w:t xml:space="preserve"> ha</w:t>
      </w:r>
      <w:r w:rsidR="00AB3067">
        <w:t>s been done</w:t>
      </w:r>
      <w:r>
        <w:t xml:space="preserve"> </w:t>
      </w:r>
      <w:r w:rsidR="00AB3067">
        <w:t xml:space="preserve">in the context </w:t>
      </w:r>
      <w:r>
        <w:t xml:space="preserve">of </w:t>
      </w:r>
      <w:r w:rsidR="00DA7459">
        <w:t>6</w:t>
      </w:r>
      <w:r>
        <w:t xml:space="preserve">-hour </w:t>
      </w:r>
      <w:proofErr w:type="spellStart"/>
      <w:r>
        <w:t>eTRF</w:t>
      </w:r>
      <w:proofErr w:type="spellEnd"/>
      <w:r>
        <w:t xml:space="preserve"> on the digestive tract</w:t>
      </w:r>
      <w:r w:rsidR="000F0FE1">
        <w:t>, especially not during pregnancy</w:t>
      </w:r>
      <w:r>
        <w:t xml:space="preserve">. </w:t>
      </w:r>
      <w:r w:rsidR="00DF1B2B">
        <w:t xml:space="preserve">This is a critical gap in the literature as </w:t>
      </w:r>
      <w:r>
        <w:t xml:space="preserve">circadian rhythms and food restriction have been found to entrain </w:t>
      </w:r>
      <w:r w:rsidR="000453AB">
        <w:t xml:space="preserve">enterocyte </w:t>
      </w:r>
      <w:r>
        <w:t xml:space="preserve">nutrient transporters to anticipate caloric intake in animals with intact CLOCK (Pan, 2009). In the case of macronutrient transport, </w:t>
      </w:r>
      <w:r w:rsidR="000453AB">
        <w:t xml:space="preserve">timing of </w:t>
      </w:r>
      <w:r>
        <w:t xml:space="preserve">food </w:t>
      </w:r>
      <w:r w:rsidR="000453AB">
        <w:t xml:space="preserve">delivery </w:t>
      </w:r>
      <w:r>
        <w:t xml:space="preserve">was found to be a more potent entrainment tool than even light/dark cycle manipulation in mice </w:t>
      </w:r>
      <w:r w:rsidR="00FC1A73">
        <w:fldChar w:fldCharType="begin"/>
      </w:r>
      <w:r w:rsidR="00FC1A73">
        <w:instrText xml:space="preserve"> ADDIN ZOTERO_ITEM CSL_CITATION {"citationID":"CStHyarx","properties":{"formattedCitation":"(Pan &amp; Hussain, 2009)","plainCitation":"(Pan &amp; Hussain, 2009)","noteIndex":0},"citationItems":[{"id":107,"uris":["http://zotero.org/users/5073745/items/VH26EMNZ"],"uri":["http://zotero.org/users/5073745/items/VH26EMNZ"],"itemData":{"id":107,"type":"article-journal","title":"Clock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Mahmood"}],"issued":{"date-parts":[["2009",9,1]]}}}],"schema":"https://github.com/citation-style-language/schema/raw/master/csl-citation.json"} </w:instrText>
      </w:r>
      <w:r w:rsidR="00FC1A73">
        <w:fldChar w:fldCharType="separate"/>
      </w:r>
      <w:r w:rsidR="00FC1A73">
        <w:rPr>
          <w:noProof/>
        </w:rPr>
        <w:t>(Pan &amp; Hussain, 2009)</w:t>
      </w:r>
      <w:r w:rsidR="00FC1A73">
        <w:fldChar w:fldCharType="end"/>
      </w:r>
      <w:r>
        <w:t xml:space="preserve">. For this reason, I believe that </w:t>
      </w:r>
      <w:r w:rsidR="00DF1B2B">
        <w:t xml:space="preserve">macronutrient and </w:t>
      </w:r>
      <w:r>
        <w:t xml:space="preserve">energy absorption will be more complete in dams fed </w:t>
      </w:r>
      <w:proofErr w:type="spellStart"/>
      <w:r>
        <w:t>eTRF</w:t>
      </w:r>
      <w:proofErr w:type="spellEnd"/>
      <w:r>
        <w:t xml:space="preserve">. </w:t>
      </w:r>
    </w:p>
    <w:p w14:paraId="76C6BFC4" w14:textId="34EF3260" w:rsidR="002E1770" w:rsidRDefault="002E1770" w:rsidP="00330625">
      <w:pPr>
        <w:pStyle w:val="Heading2"/>
      </w:pPr>
    </w:p>
    <w:p w14:paraId="6EDF4433" w14:textId="2F1D78C6" w:rsidR="00330625" w:rsidRDefault="00330625" w:rsidP="00330625">
      <w:pPr>
        <w:pStyle w:val="Heading2"/>
      </w:pPr>
      <w:r>
        <w:t xml:space="preserve">Specific aim </w:t>
      </w:r>
      <w:r w:rsidR="00C9633A">
        <w:t>1.3</w:t>
      </w:r>
      <w:r>
        <w:t xml:space="preserve"> </w:t>
      </w:r>
      <w:r w:rsidR="001041F5">
        <w:t xml:space="preserve">Determining how </w:t>
      </w:r>
      <w:proofErr w:type="spellStart"/>
      <w:r w:rsidR="001041F5">
        <w:t>eTRF</w:t>
      </w:r>
      <w:proofErr w:type="spellEnd"/>
      <w:r w:rsidR="001041F5">
        <w:t xml:space="preserve"> affects i</w:t>
      </w:r>
      <w:r>
        <w:t>nsulin sensitivity and glycemia</w:t>
      </w:r>
      <w:r w:rsidR="001041F5">
        <w:t xml:space="preserve"> in pregnant mice</w:t>
      </w:r>
    </w:p>
    <w:p w14:paraId="6E002C10" w14:textId="165A07AF" w:rsidR="00074954" w:rsidRDefault="00074954" w:rsidP="00D233E7">
      <w:pPr>
        <w:rPr>
          <w:rFonts w:cs="Times New Roman"/>
        </w:rPr>
      </w:pPr>
      <w:r w:rsidRPr="00A06EE7">
        <w:rPr>
          <w:rFonts w:cs="Times New Roman"/>
        </w:rPr>
        <w:t>S</w:t>
      </w:r>
      <w:r w:rsidR="00366C4E" w:rsidRPr="00A06EE7">
        <w:rPr>
          <w:rFonts w:cs="Times New Roman"/>
        </w:rPr>
        <w:t xml:space="preserve">tudies of time restricted feeding </w:t>
      </w:r>
      <w:r w:rsidR="00F14B24" w:rsidRPr="00A06EE7">
        <w:rPr>
          <w:rFonts w:cs="Times New Roman"/>
        </w:rPr>
        <w:t xml:space="preserve">have demonstrated improvements in insulin sensitivity </w:t>
      </w:r>
      <w:r w:rsidR="00366C4E" w:rsidRPr="00A06EE7">
        <w:rPr>
          <w:rFonts w:cs="Times New Roman"/>
        </w:rPr>
        <w:t>in both animals</w:t>
      </w:r>
      <w:r w:rsidR="00D817DF">
        <w:rPr>
          <w:rFonts w:cs="Times New Roman"/>
        </w:rPr>
        <w:t xml:space="preserve"> </w:t>
      </w:r>
      <w:r w:rsidR="008A29BB">
        <w:rPr>
          <w:rFonts w:cs="Times New Roman"/>
        </w:rPr>
        <w:fldChar w:fldCharType="begin"/>
      </w:r>
      <w:r w:rsidR="008A29BB">
        <w:rPr>
          <w:rFonts w:cs="Times New Roman"/>
        </w:rPr>
        <w:instrText xml:space="preserve"> ADDIN ZOTERO_ITEM CSL_CITATION {"citationID":"SSt7RU0F","properties":{"formattedCitation":"(Hatori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8A29BB">
        <w:rPr>
          <w:rFonts w:cs="Times New Roman"/>
        </w:rPr>
        <w:fldChar w:fldCharType="separate"/>
      </w:r>
      <w:r w:rsidR="008A29BB">
        <w:rPr>
          <w:rFonts w:cs="Times New Roman"/>
          <w:noProof/>
        </w:rPr>
        <w:t>(Hatori et al., 2012; Liu et al., 2019; Sherman et al., 2012; Woodie et al., 2018)</w:t>
      </w:r>
      <w:r w:rsidR="008A29BB">
        <w:rPr>
          <w:rFonts w:cs="Times New Roman"/>
        </w:rPr>
        <w:fldChar w:fldCharType="end"/>
      </w:r>
      <w:r w:rsidR="002C66B0">
        <w:rPr>
          <w:rFonts w:cs="Times New Roman"/>
        </w:rPr>
        <w:t xml:space="preserve"> </w:t>
      </w:r>
      <w:r w:rsidR="00366C4E" w:rsidRPr="00A06EE7">
        <w:rPr>
          <w:rFonts w:cs="Times New Roman"/>
        </w:rPr>
        <w:t>and humans</w:t>
      </w:r>
      <w:r w:rsidR="002C66B0">
        <w:rPr>
          <w:rFonts w:cs="Times New Roman"/>
        </w:rPr>
        <w:t xml:space="preserve"> </w:t>
      </w:r>
      <w:r w:rsidR="003B26FD">
        <w:rPr>
          <w:rFonts w:cs="Times New Roman"/>
        </w:rPr>
        <w:fldChar w:fldCharType="begin"/>
      </w:r>
      <w:r w:rsidR="008A29BB">
        <w:rPr>
          <w:rFonts w:cs="Times New Roman"/>
        </w:rPr>
        <w:instrText xml:space="preserve"> ADDIN ZOTERO_ITEM CSL_CITATION {"citationID":"YsAKS9qX","properties":{"formattedCitation":"(Gabel et al., n.d.; Halberg et al., 2005; Jamshed et al., 2019; Sutton et al., 2018)","plainCitation":"(Gabel et al., n.d.; Halberg et al., 2005; Jamshed et al., 2019; Sutton et al., 2018)","noteIndex":0},"citationItems":[{"id":134,"uris":["http://zotero.org/users/5073745/items/JQGFN28M"],"uri":["http://zotero.org/users/5073745/items/JQGFN28M"],"itemData":{"id":134,"type":"article-journal","title":"Effects of 8-hour time restricted feeding on body weight and metabolic disease risk factors in obese adults: A pilot study","container-title":"Nutrition and Healthy Aging","page":"345-353","volume":"4","issue":"4","source":"PubMed Central","abstract":"BACKGROUND:\nTime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pressure.","DOI":"10.3233/NHA-170036","ISSN":"2451-9480","note":"PMID: 29951594\nPMCID: PMC6004924","title-short":"Effects of 8-hour time restricted feeding on body weight and metabolic disease risk factors in obese adults","journalAbbreviation":"Nutr Healthy Aging","author":[{"family":"Gabel","given":"Kelsey"},{"family":"Hoddy","given":"Kristin K."},{"family":"Haggerty","given":"Nicole"},{"family":"Song","given":"Jeehee"},{"family":"Kroeger","given":"Cynthia M."},{"family":"Trepanowski","given":"John F."},{"family":"Panda","given":"Satchidananda"},{"family":"Varady","given":"Krista A."}]}},{"id":53,"uris":["http://zotero.org/users/5073745/items/2QM8589F"],"uri":["http://zotero.org/users/5073745/items/2QM8589F"],"itemData":{"id":53,"type":"article-journal","title":"Effect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M."}],"issued":{"date-parts":[["2018",6,5]]}}}],"schema":"https://github.com/citation-style-language/schema/raw/master/csl-citation.json"} </w:instrText>
      </w:r>
      <w:r w:rsidR="003B26FD">
        <w:rPr>
          <w:rFonts w:cs="Times New Roman"/>
        </w:rPr>
        <w:fldChar w:fldCharType="separate"/>
      </w:r>
      <w:r w:rsidR="008A29BB">
        <w:rPr>
          <w:rFonts w:cs="Times New Roman"/>
          <w:noProof/>
        </w:rPr>
        <w:t>(Gabel et al., n.d.; Halberg et al., 2005; Jamshed et al., 2019; Sutton et al., 2018)</w:t>
      </w:r>
      <w:r w:rsidR="003B26FD">
        <w:rPr>
          <w:rFonts w:cs="Times New Roman"/>
        </w:rPr>
        <w:fldChar w:fldCharType="end"/>
      </w:r>
      <w:r w:rsidR="003B26FD">
        <w:rPr>
          <w:rFonts w:cs="Times New Roman"/>
        </w:rPr>
        <w:t xml:space="preserve">. </w:t>
      </w:r>
      <w:r w:rsidR="003B7873" w:rsidRPr="00A06EE7">
        <w:rPr>
          <w:rFonts w:cs="Times New Roman"/>
        </w:rPr>
        <w:lastRenderedPageBreak/>
        <w:t xml:space="preserve">However, </w:t>
      </w:r>
      <w:r w:rsidR="008A29BB">
        <w:rPr>
          <w:rFonts w:cs="Times New Roman"/>
        </w:rPr>
        <w:t>these improvements are usually independent to</w:t>
      </w:r>
      <w:r w:rsidR="003B7873" w:rsidRPr="00A06EE7">
        <w:rPr>
          <w:rFonts w:cs="Times New Roman"/>
        </w:rPr>
        <w:t xml:space="preserve"> changes in glycemia </w:t>
      </w:r>
      <w:r w:rsidR="00E7173B">
        <w:rPr>
          <w:rFonts w:cs="Times New Roman"/>
        </w:rPr>
        <w:fldChar w:fldCharType="begin"/>
      </w:r>
      <w:r w:rsidR="003B26FD">
        <w:rPr>
          <w:rFonts w:cs="Times New Roman"/>
        </w:rPr>
        <w:instrText xml:space="preserve"> ADDIN ZOTERO_ITEM CSL_CITATION {"citationID":"2JNcnHrE","properties":{"formattedCitation":"(Halberg et al., 2005; Hatori et al., 2012; Liu et al., 2019; Sherman et al., 2012; Sutton et al., 2018; Woodie et al., 2018)","plainCitation":"(Halberg et al., 2005; Hatori et al., 2012; Liu et al., 2019; Sherman et al., 2012; Sutton et al., 2018; Woodie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E7173B">
        <w:rPr>
          <w:rFonts w:cs="Times New Roman"/>
        </w:rPr>
        <w:fldChar w:fldCharType="separate"/>
      </w:r>
      <w:r w:rsidR="001916B7">
        <w:rPr>
          <w:rFonts w:cs="Times New Roman"/>
          <w:noProof/>
        </w:rPr>
        <w:t>(Halberg et al., 2005; Hatori et al., 2012; Liu et al., 2019; Sherman et al., 2012; Sutton et al., 2018; Woodie et al., 2018)</w:t>
      </w:r>
      <w:r w:rsidR="00E7173B">
        <w:rPr>
          <w:rFonts w:cs="Times New Roman"/>
        </w:rPr>
        <w:fldChar w:fldCharType="end"/>
      </w:r>
      <w:r w:rsidR="003B26FD">
        <w:rPr>
          <w:rFonts w:cs="Times New Roman"/>
        </w:rPr>
        <w:t>.</w:t>
      </w:r>
      <w:r w:rsidR="003B7873" w:rsidRPr="00A06EE7">
        <w:rPr>
          <w:rFonts w:cs="Times New Roman"/>
        </w:rPr>
        <w:t xml:space="preserve"> In</w:t>
      </w:r>
      <w:r w:rsidR="007A5566" w:rsidRPr="00A06EE7">
        <w:rPr>
          <w:rFonts w:cs="Times New Roman"/>
        </w:rPr>
        <w:t xml:space="preserve"> f</w:t>
      </w:r>
      <w:r w:rsidR="003B7873" w:rsidRPr="00A06EE7">
        <w:rPr>
          <w:rFonts w:cs="Times New Roman"/>
        </w:rPr>
        <w:t xml:space="preserve">act, </w:t>
      </w:r>
      <w:r w:rsidR="004638BC">
        <w:rPr>
          <w:rFonts w:cs="Times New Roman"/>
        </w:rPr>
        <w:t>reduction in glycemia</w:t>
      </w:r>
      <w:r w:rsidR="003B7873" w:rsidRPr="00A06EE7">
        <w:rPr>
          <w:rFonts w:cs="Times New Roman"/>
        </w:rPr>
        <w:t xml:space="preserve"> </w:t>
      </w:r>
      <w:r w:rsidR="004638BC">
        <w:rPr>
          <w:rFonts w:cs="Times New Roman"/>
        </w:rPr>
        <w:t>was</w:t>
      </w:r>
      <w:r w:rsidR="003B7873" w:rsidRPr="00A06EE7">
        <w:rPr>
          <w:rFonts w:cs="Times New Roman"/>
        </w:rPr>
        <w:t xml:space="preserve"> only apparent </w:t>
      </w:r>
      <w:r w:rsidR="004638BC">
        <w:rPr>
          <w:rFonts w:cs="Times New Roman"/>
        </w:rPr>
        <w:t>in 1 human study, and only detectable by the use of</w:t>
      </w:r>
      <w:r w:rsidR="003B7873" w:rsidRPr="00A06EE7">
        <w:rPr>
          <w:rFonts w:cs="Times New Roman"/>
        </w:rPr>
        <w:t xml:space="preserve"> continuous glucose monitoring, where they found that night-time glucose was </w:t>
      </w:r>
      <w:r w:rsidR="007A5566" w:rsidRPr="00A06EE7">
        <w:rPr>
          <w:rFonts w:cs="Times New Roman"/>
        </w:rPr>
        <w:t>reduced whereas daytime glycemia was unchanged</w:t>
      </w:r>
      <w:r w:rsidR="00377B9B">
        <w:rPr>
          <w:rFonts w:cs="Times New Roman"/>
        </w:rPr>
        <w:t xml:space="preserve"> </w:t>
      </w:r>
      <w:r w:rsidR="000864AE">
        <w:rPr>
          <w:rFonts w:cs="Times New Roman"/>
        </w:rPr>
        <w:fldChar w:fldCharType="begin"/>
      </w:r>
      <w:r w:rsidR="008A29BB">
        <w:rPr>
          <w:rFonts w:cs="Times New Roman"/>
        </w:rPr>
        <w:instrText xml:space="preserve"> ADDIN ZOTERO_ITEM CSL_CITATION {"citationID":"VwSGk8CJ","properties":{"formattedCitation":"(Jamshed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0864AE">
        <w:rPr>
          <w:rFonts w:cs="Times New Roman"/>
        </w:rPr>
        <w:fldChar w:fldCharType="separate"/>
      </w:r>
      <w:r w:rsidR="008A29BB">
        <w:rPr>
          <w:rFonts w:cs="Times New Roman"/>
          <w:noProof/>
        </w:rPr>
        <w:t>(Jamshed et al., 2019)</w:t>
      </w:r>
      <w:r w:rsidR="000864AE">
        <w:rPr>
          <w:rFonts w:cs="Times New Roman"/>
        </w:rPr>
        <w:fldChar w:fldCharType="end"/>
      </w:r>
      <w:r w:rsidR="003B7873" w:rsidRPr="00A06EE7">
        <w:rPr>
          <w:rFonts w:cs="Times New Roman"/>
        </w:rPr>
        <w:t>.</w:t>
      </w:r>
      <w:r w:rsidR="004638BC">
        <w:rPr>
          <w:rFonts w:cs="Times New Roman"/>
        </w:rPr>
        <w:t xml:space="preserve"> </w:t>
      </w:r>
      <w:r w:rsidR="004638BC" w:rsidRPr="00D817DF">
        <w:rPr>
          <w:rFonts w:cs="Times New Roman"/>
        </w:rPr>
        <w:t>For this reason, I hypothesize that</w:t>
      </w:r>
      <w:r w:rsidR="008A29BB" w:rsidRPr="00D817DF">
        <w:rPr>
          <w:rFonts w:cs="Times New Roman"/>
        </w:rPr>
        <w:t xml:space="preserve"> the use of </w:t>
      </w:r>
      <w:proofErr w:type="spellStart"/>
      <w:r w:rsidR="008A29BB" w:rsidRPr="00D817DF">
        <w:rPr>
          <w:rFonts w:cs="Times New Roman"/>
        </w:rPr>
        <w:t>eTRF</w:t>
      </w:r>
      <w:proofErr w:type="spellEnd"/>
      <w:r w:rsidR="008A29BB" w:rsidRPr="00D817DF">
        <w:rPr>
          <w:rFonts w:cs="Times New Roman"/>
        </w:rPr>
        <w:t xml:space="preserve"> in pregnancy will result in greater</w:t>
      </w:r>
      <w:r w:rsidR="004638BC" w:rsidRPr="00D817DF">
        <w:rPr>
          <w:rFonts w:cs="Times New Roman"/>
        </w:rPr>
        <w:t xml:space="preserve"> insulin sensitivity </w:t>
      </w:r>
      <w:r w:rsidR="008A29BB" w:rsidRPr="00D817DF">
        <w:rPr>
          <w:rFonts w:cs="Times New Roman"/>
        </w:rPr>
        <w:t xml:space="preserve">compared to pregnant AL fed animals </w:t>
      </w:r>
      <w:r w:rsidR="004638BC" w:rsidRPr="00D817DF">
        <w:rPr>
          <w:rFonts w:cs="Times New Roman"/>
        </w:rPr>
        <w:t xml:space="preserve">will be improved and that </w:t>
      </w:r>
      <w:r w:rsidR="008A29BB" w:rsidRPr="00D817DF">
        <w:rPr>
          <w:rFonts w:cs="Times New Roman"/>
        </w:rPr>
        <w:t>fasting blood glucose</w:t>
      </w:r>
      <w:r w:rsidR="004638BC" w:rsidRPr="00D817DF">
        <w:rPr>
          <w:rFonts w:cs="Times New Roman"/>
        </w:rPr>
        <w:t xml:space="preserve"> will not be affected.</w:t>
      </w:r>
      <w:r w:rsidR="004638BC">
        <w:rPr>
          <w:rFonts w:cs="Times New Roman"/>
        </w:rPr>
        <w:t xml:space="preserve"> </w:t>
      </w:r>
      <w:r w:rsidR="004638BC" w:rsidRPr="00A06EE7">
        <w:rPr>
          <w:rFonts w:cs="Times New Roman"/>
        </w:rPr>
        <w:t>To test insulin sensitivity, an insulin tolerance test</w:t>
      </w:r>
      <w:r w:rsidR="009F4437">
        <w:rPr>
          <w:rFonts w:cs="Times New Roman"/>
        </w:rPr>
        <w:t xml:space="preserve"> (ITT)</w:t>
      </w:r>
      <w:r w:rsidR="004638BC" w:rsidRPr="00A06EE7">
        <w:rPr>
          <w:rFonts w:cs="Times New Roman"/>
        </w:rPr>
        <w:t xml:space="preserve"> will be conducted</w:t>
      </w:r>
      <w:r w:rsidR="0053627B">
        <w:rPr>
          <w:rFonts w:cs="Times New Roman"/>
        </w:rPr>
        <w:t>.</w:t>
      </w:r>
      <w:r w:rsidR="004638BC" w:rsidRPr="00A06EE7">
        <w:rPr>
          <w:rFonts w:cs="Times New Roman"/>
        </w:rPr>
        <w:t xml:space="preserve"> </w:t>
      </w:r>
      <w:r w:rsidR="0053627B">
        <w:rPr>
          <w:rFonts w:cs="Times New Roman"/>
        </w:rPr>
        <w:t>P</w:t>
      </w:r>
      <w:r w:rsidR="004638BC" w:rsidRPr="00A06EE7">
        <w:rPr>
          <w:rFonts w:cs="Times New Roman"/>
        </w:rPr>
        <w:t>revious work ha</w:t>
      </w:r>
      <w:r w:rsidR="009F4437">
        <w:rPr>
          <w:rFonts w:cs="Times New Roman"/>
        </w:rPr>
        <w:t>s</w:t>
      </w:r>
      <w:r w:rsidR="004638BC" w:rsidRPr="00A06EE7">
        <w:rPr>
          <w:rFonts w:cs="Times New Roman"/>
        </w:rPr>
        <w:t xml:space="preserve"> demonstrated that in pregnancy, insulin tolerance is affected, whereas glycemia is not </w:t>
      </w:r>
      <w:r w:rsidR="0053627B">
        <w:rPr>
          <w:rFonts w:cs="Times New Roman"/>
        </w:rPr>
        <w:t xml:space="preserve">therefore a glucose tolerance test will not be used </w:t>
      </w:r>
      <w:r w:rsidR="003B26FD">
        <w:rPr>
          <w:rFonts w:cs="Times New Roman"/>
        </w:rPr>
        <w:fldChar w:fldCharType="begin"/>
      </w:r>
      <w:r w:rsidR="003B26FD">
        <w:rPr>
          <w:rFonts w:cs="Times New Roman"/>
        </w:rPr>
        <w:instrText xml:space="preserve"> ADDIN ZOTERO_ITEM CSL_CITATION {"citationID":"m8y8KaI5","properties":{"formattedCitation":"(Musial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3B26FD">
        <w:rPr>
          <w:rFonts w:cs="Times New Roman"/>
        </w:rPr>
        <w:fldChar w:fldCharType="separate"/>
      </w:r>
      <w:r w:rsidR="001916B7">
        <w:rPr>
          <w:rFonts w:cs="Times New Roman"/>
          <w:noProof/>
        </w:rPr>
        <w:t>(Musial et al., 2016)</w:t>
      </w:r>
      <w:r w:rsidR="003B26FD">
        <w:rPr>
          <w:rFonts w:cs="Times New Roman"/>
        </w:rPr>
        <w:fldChar w:fldCharType="end"/>
      </w:r>
      <w:r w:rsidR="003B26FD">
        <w:rPr>
          <w:rFonts w:cs="Times New Roman"/>
        </w:rPr>
        <w:t>.</w:t>
      </w:r>
      <w:r w:rsidR="00A13480">
        <w:rPr>
          <w:rFonts w:cs="Times New Roman"/>
        </w:rPr>
        <w:t xml:space="preserve"> </w:t>
      </w:r>
      <w:r w:rsidR="009F4437">
        <w:rPr>
          <w:rFonts w:cs="Times New Roman"/>
        </w:rPr>
        <w:t xml:space="preserve">If the ITT demonstrates improved insulin sensitivity, I propose to conduct a </w:t>
      </w:r>
      <w:proofErr w:type="spellStart"/>
      <w:r w:rsidR="009F4437">
        <w:rPr>
          <w:rFonts w:cs="Times New Roman"/>
        </w:rPr>
        <w:t>hyperinsulinemic</w:t>
      </w:r>
      <w:proofErr w:type="spellEnd"/>
      <w:r w:rsidR="009F4437">
        <w:rPr>
          <w:rFonts w:cs="Times New Roman"/>
        </w:rPr>
        <w:t xml:space="preserve">-euglycemic clamp during the </w:t>
      </w:r>
      <w:r w:rsidR="00A57F80">
        <w:rPr>
          <w:rFonts w:cs="Times New Roman"/>
        </w:rPr>
        <w:t>mid-</w:t>
      </w:r>
      <w:r w:rsidR="009F4437">
        <w:rPr>
          <w:rFonts w:cs="Times New Roman"/>
        </w:rPr>
        <w:t xml:space="preserve"> pregnancy</w:t>
      </w:r>
      <w:r w:rsidR="0053627B">
        <w:rPr>
          <w:rFonts w:cs="Times New Roman"/>
        </w:rPr>
        <w:t xml:space="preserve"> (between E14.5-E17.5)</w:t>
      </w:r>
      <w:r w:rsidR="003B26FD">
        <w:rPr>
          <w:rFonts w:cs="Times New Roman"/>
        </w:rPr>
        <w:t>, when insulin resistance is known to be greatest in mice</w:t>
      </w:r>
      <w:r w:rsidR="00377B9B">
        <w:rPr>
          <w:rFonts w:cs="Times New Roman"/>
        </w:rPr>
        <w:t xml:space="preserve"> </w:t>
      </w:r>
      <w:r w:rsidR="00A13480">
        <w:rPr>
          <w:rFonts w:cs="Times New Roman"/>
        </w:rPr>
        <w:fldChar w:fldCharType="begin"/>
      </w:r>
      <w:r w:rsidR="00A13480">
        <w:rPr>
          <w:rFonts w:cs="Times New Roman"/>
        </w:rPr>
        <w:instrText xml:space="preserve"> ADDIN ZOTERO_ITEM CSL_CITATION {"citationID":"ktm1t8Pu","properties":{"formattedCitation":"(Musial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A13480">
        <w:rPr>
          <w:rFonts w:cs="Times New Roman"/>
        </w:rPr>
        <w:fldChar w:fldCharType="separate"/>
      </w:r>
      <w:r w:rsidR="001916B7">
        <w:rPr>
          <w:rFonts w:cs="Times New Roman"/>
          <w:noProof/>
        </w:rPr>
        <w:t>(Musial et al., 2016)</w:t>
      </w:r>
      <w:r w:rsidR="00A13480">
        <w:rPr>
          <w:rFonts w:cs="Times New Roman"/>
        </w:rPr>
        <w:fldChar w:fldCharType="end"/>
      </w:r>
      <w:r w:rsidR="009F4437">
        <w:rPr>
          <w:rFonts w:cs="Times New Roman"/>
        </w:rPr>
        <w:t xml:space="preserve">. This will provide more information to further evaluate the mechanisms that underlie insulin sensitivity; such as contribution from hepatic glucose production, peripheral glucose disposal, and whole </w:t>
      </w:r>
      <w:r w:rsidR="00E7173B">
        <w:rPr>
          <w:rFonts w:cs="Times New Roman"/>
        </w:rPr>
        <w:t xml:space="preserve">organ glucose utilization. </w:t>
      </w:r>
      <w:r w:rsidR="00010B03">
        <w:rPr>
          <w:rFonts w:cs="Times New Roman"/>
        </w:rPr>
        <w:t xml:space="preserve">We will also determine NEFA </w:t>
      </w:r>
      <w:r w:rsidR="00E803D2">
        <w:rPr>
          <w:rFonts w:cs="Times New Roman"/>
        </w:rPr>
        <w:t>levels</w:t>
      </w:r>
      <w:r w:rsidR="00010B03">
        <w:rPr>
          <w:rFonts w:cs="Times New Roman"/>
        </w:rPr>
        <w:t>, as fatty acids are a major contributor to gluconeogenesis.</w:t>
      </w:r>
    </w:p>
    <w:p w14:paraId="78E67E70" w14:textId="77777777" w:rsidR="0053627B" w:rsidRDefault="0053627B" w:rsidP="00D233E7">
      <w:pPr>
        <w:rPr>
          <w:rFonts w:cs="Times New Roman"/>
          <w:b/>
          <w:sz w:val="28"/>
          <w:szCs w:val="28"/>
        </w:rPr>
      </w:pPr>
    </w:p>
    <w:p w14:paraId="1040757A" w14:textId="505C1D8D" w:rsidR="00010B03" w:rsidRPr="00C9633A" w:rsidRDefault="00C9633A" w:rsidP="00D233E7">
      <w:pPr>
        <w:rPr>
          <w:rFonts w:cs="Times New Roman"/>
          <w:b/>
          <w:sz w:val="28"/>
          <w:szCs w:val="28"/>
        </w:rPr>
      </w:pPr>
      <w:r w:rsidRPr="00C9633A">
        <w:rPr>
          <w:rFonts w:cs="Times New Roman"/>
          <w:b/>
          <w:sz w:val="28"/>
          <w:szCs w:val="28"/>
        </w:rPr>
        <w:t xml:space="preserve">Specific aim 1.4 Molecular Mechanisms driving effects of </w:t>
      </w:r>
      <w:proofErr w:type="spellStart"/>
      <w:r w:rsidRPr="00C9633A">
        <w:rPr>
          <w:rFonts w:cs="Times New Roman"/>
          <w:b/>
          <w:sz w:val="28"/>
          <w:szCs w:val="28"/>
        </w:rPr>
        <w:t>eTRF</w:t>
      </w:r>
      <w:proofErr w:type="spellEnd"/>
      <w:r w:rsidRPr="00C9633A">
        <w:rPr>
          <w:rFonts w:cs="Times New Roman"/>
          <w:b/>
          <w:sz w:val="28"/>
          <w:szCs w:val="28"/>
        </w:rPr>
        <w:t xml:space="preserve"> in pregnancy</w:t>
      </w:r>
    </w:p>
    <w:p w14:paraId="2A05646D" w14:textId="46FC7BBC" w:rsidR="0053627B" w:rsidRDefault="00C0263D" w:rsidP="00B6593C">
      <w:pPr>
        <w:ind w:firstLine="720"/>
        <w:rPr>
          <w:rFonts w:cs="Times New Roman"/>
        </w:rPr>
      </w:pPr>
      <w:r w:rsidRPr="009E0819">
        <w:rPr>
          <w:rFonts w:cs="Times New Roman"/>
        </w:rPr>
        <w:t xml:space="preserve">After observation of the effects that </w:t>
      </w:r>
      <w:proofErr w:type="spellStart"/>
      <w:r w:rsidRPr="009E0819">
        <w:rPr>
          <w:rFonts w:cs="Times New Roman"/>
        </w:rPr>
        <w:t>eTRF</w:t>
      </w:r>
      <w:proofErr w:type="spellEnd"/>
      <w:r w:rsidRPr="009E0819">
        <w:rPr>
          <w:rFonts w:cs="Times New Roman"/>
        </w:rPr>
        <w:t xml:space="preserve"> will have on fertility, food intake, body co</w:t>
      </w:r>
      <w:r w:rsidR="00B6593C">
        <w:rPr>
          <w:rFonts w:cs="Times New Roman"/>
        </w:rPr>
        <w:t>m</w:t>
      </w:r>
      <w:r w:rsidRPr="009E0819">
        <w:rPr>
          <w:rFonts w:cs="Times New Roman"/>
        </w:rPr>
        <w:t xml:space="preserve">position, and maternal insulin resistance, it will be the goal of this dissertation to detect the molecular drivers of these effects. Because the full characterizing of the effects of </w:t>
      </w:r>
      <w:proofErr w:type="spellStart"/>
      <w:r w:rsidRPr="009E0819">
        <w:rPr>
          <w:rFonts w:cs="Times New Roman"/>
        </w:rPr>
        <w:t>eTRF</w:t>
      </w:r>
      <w:proofErr w:type="spellEnd"/>
      <w:r w:rsidRPr="009E0819">
        <w:rPr>
          <w:rFonts w:cs="Times New Roman"/>
        </w:rPr>
        <w:t xml:space="preserve"> on the mother have not been completed to date, the following mechanistic drivers are based on </w:t>
      </w:r>
      <w:r w:rsidR="009E0819" w:rsidRPr="009E0819">
        <w:rPr>
          <w:rFonts w:cs="Times New Roman"/>
        </w:rPr>
        <w:t>evidence from scientific literature.</w:t>
      </w:r>
      <w:r w:rsidR="00B6593C">
        <w:rPr>
          <w:rFonts w:cs="Times New Roman"/>
        </w:rPr>
        <w:t xml:space="preserve"> </w:t>
      </w:r>
      <w:r w:rsidR="009E0819">
        <w:rPr>
          <w:rFonts w:cs="Times New Roman"/>
        </w:rPr>
        <w:t xml:space="preserve">As the project progresses, more mechanistic candidates may be explored, while some proposed in this work may </w:t>
      </w:r>
      <w:r w:rsidR="00B6593C">
        <w:rPr>
          <w:rFonts w:cs="Times New Roman"/>
        </w:rPr>
        <w:t xml:space="preserve">fail to explain the effects of </w:t>
      </w:r>
      <w:proofErr w:type="spellStart"/>
      <w:r w:rsidR="00B6593C">
        <w:rPr>
          <w:rFonts w:cs="Times New Roman"/>
        </w:rPr>
        <w:t>eTRF</w:t>
      </w:r>
      <w:proofErr w:type="spellEnd"/>
      <w:r w:rsidR="00B6593C">
        <w:rPr>
          <w:rFonts w:cs="Times New Roman"/>
        </w:rPr>
        <w:t xml:space="preserve"> and will therefore no longer be investigated</w:t>
      </w:r>
      <w:r w:rsidR="009E0819">
        <w:rPr>
          <w:rFonts w:cs="Times New Roman"/>
        </w:rPr>
        <w:t xml:space="preserve">. </w:t>
      </w:r>
      <w:r w:rsidR="00A33C49" w:rsidRPr="009E0819">
        <w:rPr>
          <w:rFonts w:cs="Times New Roman"/>
        </w:rPr>
        <w:t>The</w:t>
      </w:r>
      <w:r w:rsidR="00A33C49" w:rsidRPr="00074954">
        <w:rPr>
          <w:rFonts w:cs="Times New Roman"/>
        </w:rPr>
        <w:t xml:space="preserve"> specific mechanism of insulin sensitivit</w:t>
      </w:r>
      <w:r w:rsidR="00B6593C">
        <w:rPr>
          <w:rFonts w:cs="Times New Roman"/>
        </w:rPr>
        <w:t>y</w:t>
      </w:r>
      <w:r w:rsidR="00A33C49">
        <w:rPr>
          <w:rFonts w:cs="Times New Roman"/>
        </w:rPr>
        <w:t xml:space="preserve"> after treatment with </w:t>
      </w:r>
      <w:proofErr w:type="spellStart"/>
      <w:r w:rsidR="00A33C49" w:rsidRPr="00074954">
        <w:rPr>
          <w:rFonts w:cs="Times New Roman"/>
        </w:rPr>
        <w:t>eTRF</w:t>
      </w:r>
      <w:proofErr w:type="spellEnd"/>
      <w:r w:rsidR="00A33C49" w:rsidRPr="00074954">
        <w:rPr>
          <w:rFonts w:cs="Times New Roman"/>
        </w:rPr>
        <w:t xml:space="preserve"> </w:t>
      </w:r>
      <w:r w:rsidR="00A33C49">
        <w:rPr>
          <w:rFonts w:cs="Times New Roman"/>
        </w:rPr>
        <w:t xml:space="preserve">in adult humans and animals </w:t>
      </w:r>
      <w:r w:rsidR="00A33C49" w:rsidRPr="00074954">
        <w:rPr>
          <w:rFonts w:cs="Times New Roman"/>
        </w:rPr>
        <w:t xml:space="preserve">is incompletely understood. </w:t>
      </w:r>
      <w:r w:rsidR="0053627B">
        <w:rPr>
          <w:rFonts w:cs="Times New Roman"/>
        </w:rPr>
        <w:t>I propose three candidates</w:t>
      </w:r>
      <w:r w:rsidR="00B6593C">
        <w:rPr>
          <w:rFonts w:cs="Times New Roman"/>
        </w:rPr>
        <w:t xml:space="preserve"> for a mechanism of action</w:t>
      </w:r>
      <w:r w:rsidR="0053627B">
        <w:rPr>
          <w:rFonts w:cs="Times New Roman"/>
        </w:rPr>
        <w:t xml:space="preserve">; glucocorticoids (corticosterone), growth and differentiation factor 15 (GDF15), and a reduction in </w:t>
      </w:r>
      <w:proofErr w:type="spellStart"/>
      <w:r w:rsidR="0053627B">
        <w:rPr>
          <w:rFonts w:cs="Times New Roman"/>
        </w:rPr>
        <w:t>insulinemia</w:t>
      </w:r>
      <w:proofErr w:type="spellEnd"/>
      <w:r w:rsidR="0053627B">
        <w:rPr>
          <w:rFonts w:cs="Times New Roman"/>
        </w:rPr>
        <w:t xml:space="preserve">. </w:t>
      </w:r>
    </w:p>
    <w:p w14:paraId="5B48F952" w14:textId="0F86FF71" w:rsidR="0053627B" w:rsidRDefault="009E0819" w:rsidP="0053627B">
      <w:pPr>
        <w:ind w:firstLine="720"/>
        <w:rPr>
          <w:rFonts w:cs="Times New Roman"/>
        </w:rPr>
      </w:pPr>
      <w:r>
        <w:rPr>
          <w:rFonts w:cs="Times New Roman"/>
        </w:rPr>
        <w:t>Glucocorticoids are stress-induced hormones derived from steroids and is released in a diurnal pattern. Glucocorticoids are known to worsen insulin sensitivity, whether from endogenous production</w:t>
      </w:r>
      <w:r w:rsidR="004F42FB">
        <w:rPr>
          <w:rFonts w:cs="Times New Roman"/>
        </w:rPr>
        <w:t xml:space="preserve"> </w:t>
      </w:r>
      <w:r w:rsidR="004F42FB">
        <w:rPr>
          <w:rFonts w:cs="Times New Roman"/>
        </w:rPr>
        <w:fldChar w:fldCharType="begin"/>
      </w:r>
      <w:r w:rsidR="004F42FB">
        <w:rPr>
          <w:rFonts w:cs="Times New Roman"/>
        </w:rPr>
        <w:instrText xml:space="preserve"> ADDIN ZOTERO_ITEM CSL_CITATION {"citationID":"yWYS7up0","properties":{"formattedCitation":"(Pivonello, De Leo, Cozzolino, &amp; Colao, 2015)","plainCitation":"(Pivonello, De Leo, Cozzolino, &amp; Colao, 2015)","noteIndex":0},"citationItems":[{"id":198,"uris":["http://zotero.org/users/5073745/items/EDUS96TH"],"uri":["http://zotero.org/users/5073745/items/EDUS96TH"],"itemData":{"id":198,"type":"article-journal","title":"The Treatment of Cushing's Disease","container-title":"Endocrine Reviews","page":"385-486","volume":"36","issue":"4","source":"PubMed Central","abstract":"Cushing's disease (CD), or pituitary-dependent Cushing's syndrome, is a severe endocrine disease caused by a corticotroph pituitary tumor and associated with increased morbidity and mortality. The first-line treatment for CD is pituitary surgery, which is followed by disease remission in around 78% and relapse in around 13% of patients during the 10-year period after surgery, so that nearly one third of patients experience in the long-term a failure of surgery and require an additional second-line treatment. Patients with persistent or recurrent CD require additional treatments, including pituitary radiotherapy, adrenal surgery, and/or medical therapy. Pituitary radiotherapy is effective in controlling cortisol excess in a large percentage of patients, but it is associated with a considerable risk of hypopituitarism. Adrenal surgery is followed by a rapid and definitive control of cortisol excess in nearly all patients, but it induces adrenal insufficiency. Medical therapy has recently acquired a more important role compared to the past, due to the recent employment of novel compounds able to control cortisol secretion or action. Currently, medical therapy is used as a presurgical treatment, particularly for severe disease; or as postsurgical treatment, in cases of failure or incomplete surgical tumor resection; or as bridging therapy before, during, and after radiotherapy while waiting for disease control; or, in selected cases, as primary therapy, mainly when surgery is not an option. The adrenal-directed drug ketoconazole is the most commonly used drug, mainly because of its rapid action, whereas the glucocorticoid receptor antagonist, mifepristone, is highly effective in controlling clinical comorbidities, mainly glucose intolerance, thus being a useful treatment for CD when it is associated with diabetes mellitus. Pituitary-directed drugs have the advantage of acting at the site responsible for CD, the pituitary tumor. Among this group of drugs, the dopamine agonist cabergoline and the somatostatin analog pasireotide result in disease remission in a consistent subgroup of patients with CD. Recently, pasireotide has been approved for the treatment of CD when surgery has failed or when surgery is not an option, and mifepristone has been approved for the treatment of Cushing's syndrome when associated with impairment of glucose metabolism in case of the lack of a surgical indication. Recent experience suggests that the combination of different drugs may be able to control cortisol excess in a great majority of patients with CD.","DOI":"10.1210/er.2013-1048","ISSN":"0163-769X","note":"PMID: 26067718\nPMCID: PMC4523083","journalAbbreviation":"Endocr Rev","author":[{"family":"Pivonello","given":"Rosario"},{"family":"De Leo","given":"Monica"},{"family":"Cozzolino","given":"Alessia"},{"family":"Colao","given":"Annamaria"}],"issued":{"date-parts":[["2015",8]]}}}],"schema":"https://github.com/citation-style-language/schema/raw/master/csl-citation.json"} </w:instrText>
      </w:r>
      <w:r w:rsidR="004F42FB">
        <w:rPr>
          <w:rFonts w:cs="Times New Roman"/>
        </w:rPr>
        <w:fldChar w:fldCharType="separate"/>
      </w:r>
      <w:r w:rsidR="004F42FB">
        <w:rPr>
          <w:rFonts w:cs="Times New Roman"/>
          <w:noProof/>
        </w:rPr>
        <w:t>(Pivonello, De Leo, Cozzolino, &amp; Colao, 2015)</w:t>
      </w:r>
      <w:r w:rsidR="004F42FB">
        <w:rPr>
          <w:rFonts w:cs="Times New Roman"/>
        </w:rPr>
        <w:fldChar w:fldCharType="end"/>
      </w:r>
      <w:r>
        <w:rPr>
          <w:rFonts w:cs="Times New Roman"/>
        </w:rPr>
        <w:t xml:space="preserve"> or exogenous administration</w:t>
      </w:r>
      <w:r w:rsidR="004F42FB">
        <w:rPr>
          <w:rFonts w:cs="Times New Roman"/>
        </w:rPr>
        <w:t xml:space="preserve"> </w:t>
      </w:r>
      <w:r w:rsidR="004F42FB">
        <w:rPr>
          <w:rFonts w:cs="Times New Roman"/>
        </w:rPr>
        <w:fldChar w:fldCharType="begin"/>
      </w:r>
      <w:r w:rsidR="004F42FB">
        <w:rPr>
          <w:rFonts w:cs="Times New Roman"/>
        </w:rPr>
        <w:instrText xml:space="preserve"> ADDIN ZOTERO_ITEM CSL_CITATION {"citationID":"Aicwi05V","properties":{"formattedCitation":"(Dube, Slama, Basu, Rizza, &amp; Basu, 2015)","plainCitation":"(Dube, Slama, Basu, Rizza, &amp; Basu, 2015)","noteIndex":0},"citationItems":[{"id":195,"uris":["http://zotero.org/users/5073745/items/T4WBPF7G"],"uri":["http://zotero.org/users/5073745/items/T4WBPF7G"],"itemData":{"id":195,"type":"article-journal","title":"Glucocorticoid Excess Increases Hepatic 11β-HSD-1 Activity in Humans: Implications in Steroid-Induced Diabetes","container-title":"The Journal of Clinical Endocrinology and Metabolism","page":"4155-4162","volume":"100","issue":"11","source":"PubMed Central","abstract":"Context:\nAnimal studies indicate that glucocorticoids increase hepatic 11β-hydroxysteroid dehydrogenase type 1 (11β-HSD-1) expression and activity.\n\nObjective:\nOur goal was to determine whether glucocorticoid excess increases cortisol production in the liver via 11β-HSD-1 enzyme pathway in humans.\n\nDesign:\nA total of 1 mg each [4-13C] cortisone and [9,12,12-2H3] cortisol were ingested, and [1,2,6,7–3H] cortisol was infused to measure C13 cortisol (derived from ingested [4-13C] cortisone) turnover using the triple tracer technique, whereas glucose turnover was measured using isotope dilution technique following [6–62H2] glucose infusion during a saline clamp.\n\nSetting:\nThis study took place at the Mayo Clinic Clinical Research Unit.\n\nParticipants:\nThirty nondiabetic healthy subjects participated.\n\nIntervention:\nSubjects were randomized to hydrocortisone (n = 15) or placebo 50 mg twice daily (n = 15) for 1 week.\n\nOutcome Measures:\nHepatic cortisol production and endogenous glucose production were measured.\n\nResults:\nPlasma cortisol concentrations were higher throughout the study period in hydrocortisone group. Rates of appearance of C13 cortisol and hepatic C13 cortisol production were higher in hydrocortisone vs placebo group, indicating increased hepatic 11β-HSD-1 activity. Higher plasma cortisol and presumably higher intrahepatic cortisol was associated with impaired suppression of endogenous glucose production in hydrocortisone vs placebo group.\n\nConclusion:\nChronic glucocorticoid excess increases intrahepatic cortisone to cortisol conversion via the 11β-HSD-1 pathway. The extent to which this causes or exacerbates steroid induced hepatic insulin resistance remains to be determined.","DOI":"10.1210/jc.2015-2673","ISSN":"0021-972X","note":"PMID: 26308294\nPMCID: PMC4702452","title-short":"Glucocorticoid Excess Increases Hepatic 11β-HSD-1 Activity in Humans","journalAbbreviation":"J Clin Endocrinol Metab","author":[{"family":"Dube","given":"Simmi"},{"family":"Slama","given":"Michael Q."},{"family":"Basu","given":"Ananda"},{"family":"Rizza","given":"Robert A."},{"family":"Basu","given":"Rita"}],"issued":{"date-parts":[["2015",11]]}}}],"schema":"https://github.com/citation-style-language/schema/raw/master/csl-citation.json"} </w:instrText>
      </w:r>
      <w:r w:rsidR="004F42FB">
        <w:rPr>
          <w:rFonts w:cs="Times New Roman"/>
        </w:rPr>
        <w:fldChar w:fldCharType="separate"/>
      </w:r>
      <w:r w:rsidR="004F42FB">
        <w:rPr>
          <w:rFonts w:cs="Times New Roman"/>
          <w:noProof/>
        </w:rPr>
        <w:t>(Dube, Slama, Basu, Rizza, &amp; Basu, 2015)</w:t>
      </w:r>
      <w:r w:rsidR="004F42FB">
        <w:rPr>
          <w:rFonts w:cs="Times New Roman"/>
        </w:rPr>
        <w:fldChar w:fldCharType="end"/>
      </w:r>
      <w:r>
        <w:rPr>
          <w:rFonts w:cs="Times New Roman"/>
        </w:rPr>
        <w:t xml:space="preserve">.  </w:t>
      </w:r>
      <w:r w:rsidR="0053627B">
        <w:rPr>
          <w:rFonts w:cs="Times New Roman"/>
        </w:rPr>
        <w:t xml:space="preserve">Corticosterone concentration in the blood </w:t>
      </w:r>
      <w:r w:rsidR="00B6593C">
        <w:rPr>
          <w:rFonts w:cs="Times New Roman"/>
        </w:rPr>
        <w:t>increases</w:t>
      </w:r>
      <w:r w:rsidR="0053627B">
        <w:rPr>
          <w:rFonts w:cs="Times New Roman"/>
        </w:rPr>
        <w:t xml:space="preserve"> steadily over rodent pregnancies until late term</w:t>
      </w:r>
      <w:r w:rsidR="00B6593C">
        <w:rPr>
          <w:rFonts w:cs="Times New Roman"/>
        </w:rPr>
        <w:t xml:space="preserve"> </w:t>
      </w:r>
      <w:r w:rsidR="0053627B">
        <w:rPr>
          <w:rFonts w:cs="Times New Roman"/>
        </w:rPr>
        <w:fldChar w:fldCharType="begin"/>
      </w:r>
      <w:r w:rsidR="0053627B">
        <w:rPr>
          <w:rFonts w:cs="Times New Roman"/>
        </w:rPr>
        <w:instrText xml:space="preserve"> ADDIN ZOTERO_ITEM CSL_CITATION {"citationID":"WFQE9tgT","properties":{"formattedCitation":"(Barlow, Morrison, &amp; Sullivan, 1974; Jafari, Mehla, Afrashteh, Kolb, &amp; Mohajerani, 2017)","plainCitation":"(Barlow, Morrison, &amp; Sullivan, 1974; Jafari, Mehla, Afrashteh, Kolb, &amp; Mohajerani, 2017)","noteIndex":0},"citationItems":[{"id":143,"uris":["http://zotero.org/users/5073745/items/HA4KF47J"],"uri":["http://zotero.org/users/5073745/items/HA4KF47J"],"itemData":{"id":143,"type":"article-journal","title":"PLASMA CORTICOSTERONE LEVELS DURING PREGNANCY IN THE MOUSE: THE RELATIVE CONTRIBUTIONS OF THE ADRENAL GLANDS AND FOETO-PLACENTAL UNITS","container-title":"Journal of Endocrinology","page":"473-483","volume":"60","issue":"3","source":"joe.bioscientifica.com","DOI":"10.1677/joe.0.0600473","ISSN":"0022-0795, 1479-6805","title-short":"PLASMA CORTICOSTERONE LEVELS DURING PREGNANCY IN THE MOUSE","language":"en_US","author":[{"family":"Barlow","given":"Susan M."},{"family":"Morrison","given":"P. J."},{"family":"Sullivan","given":"F. M."}],"issued":{"date-parts":[["1974",3,1]]}}},{"id":146,"uris":["http://zotero.org/users/5073745/items/YJX79HKP"],"uri":["http://zotero.org/users/5073745/items/YJX79HKP"],"itemData":{"id":146,"type":"article-journal","title":"Corticosterone response to gestational stress and postpartum memory function in mice","container-title":"PloS One","page":"e0180306","volume":"12","issue":"7","source":"PubMed","abstract":"Maternal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offspring.","DOI":"10.1371/journal.pone.0180306","ISSN":"1932-6203","note":"PMID: 28692696\nPMCID: PMC5503237","journalAbbreviation":"PLoS ONE","language":"eng","author":[{"family":"Jafari","given":"Zahra"},{"family":"Mehla","given":"Jogender"},{"family":"Afrashteh","given":"Navvab"},{"family":"Kolb","given":"Bryan E."},{"family":"Mohajerani","given":"Majid H."}],"issued":{"date-parts":[["2017"]]}}}],"schema":"https://github.com/citation-style-language/schema/raw/master/csl-citation.json"} </w:instrText>
      </w:r>
      <w:r w:rsidR="0053627B">
        <w:rPr>
          <w:rFonts w:cs="Times New Roman"/>
        </w:rPr>
        <w:fldChar w:fldCharType="separate"/>
      </w:r>
      <w:r w:rsidR="0053627B">
        <w:rPr>
          <w:rFonts w:cs="Times New Roman"/>
          <w:noProof/>
        </w:rPr>
        <w:t>(Barlow, Morrison, &amp; Sullivan, 1974; Jafari, Mehla, Afrashteh, Kolb, &amp; Mohajerani, 2017)</w:t>
      </w:r>
      <w:r w:rsidR="0053627B">
        <w:rPr>
          <w:rFonts w:cs="Times New Roman"/>
        </w:rPr>
        <w:fldChar w:fldCharType="end"/>
      </w:r>
      <w:r w:rsidR="0053627B">
        <w:rPr>
          <w:rFonts w:cs="Times New Roman"/>
        </w:rPr>
        <w:t>. This rise in corticosterone is also known to overlap with the steady rise in insulin resistance of pregnancy in mice</w:t>
      </w:r>
      <w:r w:rsidR="004F42FB">
        <w:rPr>
          <w:rFonts w:cs="Times New Roman"/>
        </w:rPr>
        <w:t xml:space="preserve"> </w:t>
      </w:r>
      <w:r w:rsidR="0053627B">
        <w:rPr>
          <w:rFonts w:cs="Times New Roman"/>
        </w:rPr>
        <w:fldChar w:fldCharType="begin"/>
      </w:r>
      <w:r w:rsidR="0053627B">
        <w:rPr>
          <w:rFonts w:cs="Times New Roman"/>
        </w:rPr>
        <w:instrText xml:space="preserve"> ADDIN ZOTERO_ITEM CSL_CITATION {"citationID":"n9n0UDnY","properties":{"formattedCitation":"(Musial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53627B">
        <w:rPr>
          <w:rFonts w:cs="Times New Roman"/>
        </w:rPr>
        <w:fldChar w:fldCharType="separate"/>
      </w:r>
      <w:r w:rsidR="0053627B">
        <w:rPr>
          <w:rFonts w:cs="Times New Roman"/>
          <w:noProof/>
        </w:rPr>
        <w:t>(Musial et al., 2016)</w:t>
      </w:r>
      <w:r w:rsidR="0053627B">
        <w:rPr>
          <w:rFonts w:cs="Times New Roman"/>
        </w:rPr>
        <w:fldChar w:fldCharType="end"/>
      </w:r>
      <w:r w:rsidR="0053627B">
        <w:rPr>
          <w:rFonts w:cs="Times New Roman"/>
        </w:rPr>
        <w:t xml:space="preserve">. Therefore, it may be that levels of corticosterone in the circulation could be affected by feeding strategy and may </w:t>
      </w:r>
      <w:r w:rsidR="004F42FB">
        <w:rPr>
          <w:rFonts w:cs="Times New Roman"/>
        </w:rPr>
        <w:t xml:space="preserve">further </w:t>
      </w:r>
      <w:r w:rsidR="0053627B">
        <w:rPr>
          <w:rFonts w:cs="Times New Roman"/>
        </w:rPr>
        <w:t>affect insulin resistance of pregnancy.</w:t>
      </w:r>
      <w:r w:rsidR="00443F82">
        <w:rPr>
          <w:rFonts w:cs="Times New Roman"/>
        </w:rPr>
        <w:t xml:space="preserve"> </w:t>
      </w:r>
      <w:r w:rsidR="004F42FB">
        <w:rPr>
          <w:rFonts w:cs="Times New Roman"/>
        </w:rPr>
        <w:t>C</w:t>
      </w:r>
      <w:r w:rsidR="00443F82">
        <w:rPr>
          <w:rFonts w:cs="Times New Roman"/>
        </w:rPr>
        <w:t>ortiso</w:t>
      </w:r>
      <w:r w:rsidR="00B6593C">
        <w:rPr>
          <w:rFonts w:cs="Times New Roman"/>
        </w:rPr>
        <w:t xml:space="preserve">l </w:t>
      </w:r>
      <w:r w:rsidR="004F42FB">
        <w:rPr>
          <w:rFonts w:cs="Times New Roman"/>
        </w:rPr>
        <w:t>has been responsive</w:t>
      </w:r>
      <w:r w:rsidR="000751BB">
        <w:rPr>
          <w:rFonts w:cs="Times New Roman"/>
        </w:rPr>
        <w:t xml:space="preserve"> to </w:t>
      </w:r>
      <w:proofErr w:type="spellStart"/>
      <w:r w:rsidR="000751BB">
        <w:rPr>
          <w:rFonts w:cs="Times New Roman"/>
        </w:rPr>
        <w:t>eTRF</w:t>
      </w:r>
      <w:proofErr w:type="spellEnd"/>
      <w:r w:rsidR="000751BB">
        <w:rPr>
          <w:rFonts w:cs="Times New Roman"/>
        </w:rPr>
        <w:t xml:space="preserve"> in humans</w:t>
      </w:r>
      <w:r w:rsidR="004F42FB">
        <w:rPr>
          <w:rFonts w:cs="Times New Roman"/>
        </w:rPr>
        <w:t xml:space="preserve"> </w:t>
      </w:r>
      <w:r w:rsidR="000751BB">
        <w:rPr>
          <w:rFonts w:cs="Times New Roman"/>
        </w:rPr>
        <w:fldChar w:fldCharType="begin"/>
      </w:r>
      <w:r w:rsidR="000751BB">
        <w:rPr>
          <w:rFonts w:cs="Times New Roman"/>
        </w:rPr>
        <w:instrText xml:space="preserve"> ADDIN ZOTERO_ITEM CSL_CITATION {"citationID":"si46Nhw8","properties":{"formattedCitation":"(Jamshed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xml:space="preserve">. </w:t>
      </w:r>
      <w:r w:rsidR="004F42FB">
        <w:rPr>
          <w:rFonts w:cs="Times New Roman"/>
        </w:rPr>
        <w:t>Jamshed and colleagues</w:t>
      </w:r>
      <w:r w:rsidR="000751BB">
        <w:rPr>
          <w:rFonts w:cs="Times New Roman"/>
        </w:rPr>
        <w:t xml:space="preserve"> found that morning cortisol was higher in </w:t>
      </w:r>
      <w:proofErr w:type="spellStart"/>
      <w:r w:rsidR="000751BB">
        <w:rPr>
          <w:rFonts w:cs="Times New Roman"/>
        </w:rPr>
        <w:t>eTRF</w:t>
      </w:r>
      <w:proofErr w:type="spellEnd"/>
      <w:r w:rsidR="000751BB">
        <w:rPr>
          <w:rFonts w:cs="Times New Roman"/>
        </w:rPr>
        <w:t xml:space="preserve">, and evening cortisol was lower. This could mean that the circadian pattern of cortisol secretion is enhanced by </w:t>
      </w:r>
      <w:proofErr w:type="spellStart"/>
      <w:r w:rsidR="000751BB">
        <w:rPr>
          <w:rFonts w:cs="Times New Roman"/>
        </w:rPr>
        <w:t>eTRF</w:t>
      </w:r>
      <w:proofErr w:type="spellEnd"/>
      <w:r w:rsidR="000751BB">
        <w:rPr>
          <w:rFonts w:cs="Times New Roman"/>
        </w:rPr>
        <w:t xml:space="preserve">. This enhanced rhythm of cortisol secretion was seen alongside </w:t>
      </w:r>
      <w:proofErr w:type="spellStart"/>
      <w:r w:rsidR="000751BB">
        <w:rPr>
          <w:rFonts w:cs="Times New Roman"/>
        </w:rPr>
        <w:t>eTRF</w:t>
      </w:r>
      <w:proofErr w:type="spellEnd"/>
      <w:r w:rsidR="000751BB">
        <w:rPr>
          <w:rFonts w:cs="Times New Roman"/>
        </w:rPr>
        <w:t xml:space="preserve"> individuals having fewer glycemic excursions over 24 hours</w:t>
      </w:r>
      <w:r w:rsidR="004F42FB">
        <w:rPr>
          <w:rFonts w:cs="Times New Roman"/>
        </w:rPr>
        <w:t xml:space="preserve"> </w:t>
      </w:r>
      <w:r w:rsidR="000751BB">
        <w:rPr>
          <w:rFonts w:cs="Times New Roman"/>
        </w:rPr>
        <w:fldChar w:fldCharType="begin"/>
      </w:r>
      <w:r w:rsidR="000751BB">
        <w:rPr>
          <w:rFonts w:cs="Times New Roman"/>
        </w:rPr>
        <w:instrText xml:space="preserve"> ADDIN ZOTERO_ITEM CSL_CITATION {"citationID":"bYPMwPO8","properties":{"formattedCitation":"(Jamshed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To test for circadian entrainment of corticosterone secretion in mice (the predominant glucocorticoid in rodent circulation), we will collect serum from pregnant dams, and non-pregnant controls at both ZT0 and ZT12. This serum will then be tested for corticosterone concentration</w:t>
      </w:r>
      <w:r w:rsidR="004F42FB">
        <w:rPr>
          <w:rFonts w:cs="Times New Roman"/>
        </w:rPr>
        <w:t xml:space="preserve"> to understand the relationship between corticosterone and insulin resistance in pregnant mice who have been exposed to </w:t>
      </w:r>
      <w:proofErr w:type="spellStart"/>
      <w:r w:rsidR="004F42FB">
        <w:rPr>
          <w:rFonts w:cs="Times New Roman"/>
        </w:rPr>
        <w:t>eTRF</w:t>
      </w:r>
      <w:proofErr w:type="spellEnd"/>
      <w:r w:rsidR="004F42FB">
        <w:rPr>
          <w:rFonts w:cs="Times New Roman"/>
        </w:rPr>
        <w:t xml:space="preserve">. </w:t>
      </w:r>
    </w:p>
    <w:p w14:paraId="39FC727B" w14:textId="3CE5F373" w:rsidR="00A33C49" w:rsidRDefault="004F42FB" w:rsidP="001E0AFA">
      <w:pPr>
        <w:ind w:firstLine="720"/>
        <w:rPr>
          <w:rFonts w:cs="Times New Roman"/>
        </w:rPr>
      </w:pPr>
      <w:r>
        <w:rPr>
          <w:rFonts w:cs="Times New Roman"/>
        </w:rPr>
        <w:lastRenderedPageBreak/>
        <w:t>Another hormonal</w:t>
      </w:r>
      <w:r w:rsidR="00A33C49" w:rsidRPr="00074954">
        <w:rPr>
          <w:rFonts w:cs="Times New Roman"/>
        </w:rPr>
        <w:t xml:space="preserve"> candidate </w:t>
      </w:r>
      <w:r w:rsidR="00A33C49">
        <w:rPr>
          <w:rFonts w:cs="Times New Roman"/>
        </w:rPr>
        <w:t>mechanism could be growth and differentiation factor, GDF15</w:t>
      </w:r>
      <w:r w:rsidR="00A33C49" w:rsidRPr="00074954">
        <w:rPr>
          <w:rFonts w:cs="Times New Roman"/>
        </w:rPr>
        <w:t xml:space="preserve">. </w:t>
      </w:r>
      <w:r w:rsidR="00A33C49">
        <w:rPr>
          <w:rFonts w:cs="Times New Roman"/>
        </w:rPr>
        <w:t xml:space="preserve">The effects of GDF15 are known to be mediated through the GFRAL receptor </w:t>
      </w:r>
      <w:r w:rsidR="00A33C49">
        <w:rPr>
          <w:rFonts w:cs="Times New Roman"/>
        </w:rPr>
        <w:fldChar w:fldCharType="begin"/>
      </w:r>
      <w:r w:rsidR="00A33C49">
        <w:rPr>
          <w:rFonts w:cs="Times New Roman"/>
        </w:rPr>
        <w:instrText xml:space="preserve"> ADDIN ZOTERO_ITEM CSL_CITATION {"citationID":"HOZ89TL8","properties":{"formattedCitation":"(Hsu et al., 2017)","plainCitation":"(Hsu et al., 2017)","noteIndex":0},"citationItems":[{"id":140,"uris":["http://zotero.org/users/5073745/items/E4JB9GBK"],"uri":["http://zotero.org/users/5073745/items/E4JB9GBK"],"itemData":{"id":140,"type":"article-journal","title":"Non-homeostatic body weight regulation through a brainstem-restricted receptor for GDF15","container-title":"Nature","page":"255-259","volume":"550","issue":"7675","source":"www.nature.com","abstract":"Under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demand.","DOI":"10.1038/nature24042","ISSN":"1476-4687","language":"en","author":[{"family":"Hsu","given":"Jer-Yuan"},{"family":"Crawley","given":"Suzanne"},{"family":"Chen","given":"Michael"},{"family":"Ayupova","given":"Dina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sidR="00A33C49">
        <w:rPr>
          <w:rFonts w:cs="Times New Roman"/>
        </w:rPr>
        <w:t xml:space="preserve"> in the brainstem, and plays a role in weight and appetite regulation</w:t>
      </w:r>
      <w:r w:rsidR="00F628D5">
        <w:rPr>
          <w:rFonts w:cs="Times New Roman"/>
        </w:rPr>
        <w:t xml:space="preserve"> </w:t>
      </w:r>
      <w:r>
        <w:rPr>
          <w:rFonts w:cs="Times New Roman"/>
        </w:rPr>
        <w:fldChar w:fldCharType="begin"/>
      </w:r>
      <w:r>
        <w:rPr>
          <w:rFonts w:cs="Times New Roman"/>
        </w:rPr>
        <w:instrText xml:space="preserve"> ADDIN ZOTERO_ITEM CSL_CITATION {"citationID":"Tn96nIxk","properties":{"formattedCitation":"(Macia et al., 2012, p. 15; Patel et al., 2019)","plainCitation":"(Macia et al., 2012, p. 15; Patel et al., 2019)","noteIndex":0},"citationItems":[{"id":48,"uris":["http://zotero.org/users/5073745/items/PKC3AIKL"],"uri":["http://zotero.org/users/5073745/items/PKC3AIKL"],"itemData":{"id":48,"type":"article-journal","title":"Macrophage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locator":"15"},{"id":111,"uris":["http://zotero.org/users/5073745/items/T9W7L7G4"],"uri":["http://zotero.org/users/5073745/items/T9W7L7G4"],"itemData":{"id":111,"type":"article-journal","title":"GDF15 Provides an Endocrine Signal of Nutritional Stress in Mice and Humans","container-title":"Cell Metabolism","page":"707-718.e8","volume":"29","issue":"3","source":"ScienceDirect","abstract":"Summary\nGDF15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stress.","DOI":"10.1016/j.cmet.2018.12.016","ISSN":"1550-4131","journalAbbreviation":"Cell Metabolism","author":[{"family":"Patel","given":"Satish"},{"family":"Alvarez-Guaita","given":"Anna"},{"family":"Melvin","given":"Audrey"},{"family":"Rimmington","given":"Debra"},{"family":"Dattilo","given":"Alessia"},{"family":"Miedzybrodzka","given":"Emily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cs="Times New Roman"/>
        </w:rPr>
        <w:fldChar w:fldCharType="separate"/>
      </w:r>
      <w:r>
        <w:rPr>
          <w:rFonts w:cs="Times New Roman"/>
          <w:noProof/>
        </w:rPr>
        <w:t>(Macia et al., 2012, p. 15; Patel et al., 2019)</w:t>
      </w:r>
      <w:r>
        <w:rPr>
          <w:rFonts w:cs="Times New Roman"/>
        </w:rPr>
        <w:fldChar w:fldCharType="end"/>
      </w:r>
      <w:r>
        <w:rPr>
          <w:rFonts w:cs="Times New Roman"/>
        </w:rPr>
        <w:t>.</w:t>
      </w:r>
      <w:r w:rsidR="00A33C49">
        <w:rPr>
          <w:rFonts w:cs="Times New Roman"/>
        </w:rPr>
        <w:t xml:space="preserve"> Furthermore, </w:t>
      </w:r>
      <w:r w:rsidR="00F628D5">
        <w:rPr>
          <w:rFonts w:cs="Times New Roman"/>
        </w:rPr>
        <w:t>GDF15 appears</w:t>
      </w:r>
      <w:r w:rsidR="00A33C49">
        <w:rPr>
          <w:rFonts w:cs="Times New Roman"/>
        </w:rPr>
        <w:t xml:space="preserve"> to promote ketogenesis and fatty acid catabolism</w:t>
      </w:r>
      <w:r>
        <w:rPr>
          <w:rFonts w:cs="Times New Roman"/>
        </w:rPr>
        <w:t xml:space="preserve"> </w:t>
      </w:r>
      <w:r w:rsidR="00A33C49">
        <w:rPr>
          <w:rFonts w:cs="Times New Roman"/>
        </w:rPr>
        <w:fldChar w:fldCharType="begin"/>
      </w:r>
      <w:r w:rsidR="00A33C49">
        <w:rPr>
          <w:rFonts w:cs="Times New Roman"/>
        </w:rPr>
        <w:instrText xml:space="preserve"> ADDIN ZOTERO_ITEM CSL_CITATION {"citationID":"EB7JT9NC","properties":{"formattedCitation":"(Hsu et al., 2017)","plainCitation":"(Hsu et al., 2017)","noteIndex":0},"citationItems":[{"id":140,"uris":["http://zotero.org/users/5073745/items/E4JB9GBK"],"uri":["http://zotero.org/users/5073745/items/E4JB9GBK"],"itemData":{"id":140,"type":"article-journal","title":"Non-homeostatic body weight regulation through a brainstem-restricted receptor for GDF15","container-title":"Nature","page":"255-259","volume":"550","issue":"7675","source":"www.nature.com","abstract":"Under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demand.","DOI":"10.1038/nature24042","ISSN":"1476-4687","language":"en","author":[{"family":"Hsu","given":"Jer-Yuan"},{"family":"Crawley","given":"Suzanne"},{"family":"Chen","given":"Michael"},{"family":"Ayupova","given":"Dina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Pr>
          <w:rFonts w:cs="Times New Roman"/>
        </w:rPr>
        <w:t xml:space="preserve">, both of which are seen in </w:t>
      </w:r>
      <w:proofErr w:type="spellStart"/>
      <w:r>
        <w:rPr>
          <w:rFonts w:cs="Times New Roman"/>
        </w:rPr>
        <w:t>eTRF</w:t>
      </w:r>
      <w:proofErr w:type="spellEnd"/>
      <w:r w:rsidR="00F628D5">
        <w:rPr>
          <w:rFonts w:cs="Times New Roman"/>
        </w:rPr>
        <w:t xml:space="preserve"> </w:t>
      </w:r>
      <w:r>
        <w:rPr>
          <w:rFonts w:cs="Times New Roman"/>
        </w:rPr>
        <w:fldChar w:fldCharType="begin"/>
      </w:r>
      <w:r w:rsidR="001E0AFA">
        <w:rPr>
          <w:rFonts w:cs="Times New Roman"/>
        </w:rPr>
        <w:instrText xml:space="preserve"> ADDIN ZOTERO_ITEM CSL_CITATION {"citationID":"88LXM20Y","properties":{"formattedCitation":"(Anson et al., 2003; Jamshed et al., 2019; M. Zhang, Sun, Qian, &amp; Tang, 2018)","plainCitation":"(Anson et al., 2003; Jamshed et al., 2019; M. Zhang, Sun, Qian, &amp; Tang, 2018)","noteIndex":0},"citationItems":[{"id":201,"uris":["http://zotero.org/users/5073745/items/MRT4HRAU"],"uri":["http://zotero.org/users/5073745/items/MRT4HRAU"],"itemData":{"id":201,"type":"article-journal","title":"Intermittent fasting dissociates beneficial effects of dietary restriction on glucose metabolism and neuronal resistance to injury from calorie intake","container-title":"Proceedings of the National Academy of Sciences of the United States of America","page":"6216-6220","volume":"100","issue":"10","source":"PubMed","abstract":"Dietary restriction has been shown to have several health benefits including increased insulin sensitivity, stress resistance, reduced morbidity, and increased life span. The mechanism remains unknown, but the need for a long-term reduction in caloric intake to achieve these benefits has been assumed. We report that when C57BL6 mice are maintained on an intermittent fasting (alternate-day fasting) dietary-restriction regimen their overall food intake is not decreased and their body weight is maintained. Nevertheless, intermittent fasting resulted in beneficial effects that met or exceeded those of caloric restriction including reduced serum glucose and insulin levels and increased resistance of neurons in the brain to excitotoxic stress. Intermittent fasting therefore has beneficial effects on glucose regulation and neuronal resistance to injury in these mice that are independent of caloric intake.","DOI":"10.1073/pnas.1035720100","ISSN":"0027-8424","note":"PMID: 12724520\nPMCID: PMC156352","journalAbbreviation":"Proc. Natl. Acad. Sci. U.S.A.","language":"eng","author":[{"family":"Anson","given":"R. Michael"},{"family":"Guo","given":"Zhihong"},{"family":"Cabo","given":"Rafael","non-dropping-particle":"de"},{"family":"Iyun","given":"Titilola"},{"family":"Rios","given":"Michelle"},{"family":"Hagepanos","given":"Adrienne"},{"family":"Ingram","given":"Donald K."},{"family":"Lane","given":"Mark A."},{"family":"Mattson","given":"Mark P."}],"issued":{"date-parts":[["2003",5,13]]}}},{"id":104,"uris":["http://zotero.org/users/5073745/items/VZMS82L6"],"uri":["http://zotero.org/users/5073745/items/VZMS82L6"],"itemData":{"id":104,"type":"article-journal","title":"Early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M."}],"issued":{"date-parts":[["2019",6]]}}},{"id":204,"uris":["http://zotero.org/users/5073745/items/L2PGIGPL"],"uri":["http://zotero.org/users/5073745/items/L2PGIGPL"],"itemData":{"id":204,"type":"article-journal","title":"Fasting exacerbates hepatic growth differentiation factor 15 to promote fatty acid β-oxidation and ketogenesis via activating XBP1 signaling in liver","container-title":"Redox Biology","page":"87-96","volume":"16","source":"PubMed","abstract":"Liver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stress.","DOI":"10.1016/j.redox.2018.01.013","ISSN":"2213-2317","note":"PMID: 29482168\nPMCID: PMC5952356","journalAbbreviation":"Redox Biol","language":"eng","author":[{"family":"Zhang","given":"Meiyuan"},{"family":"Sun","given":"Weilan"},{"family":"Qian","given":"Jin"},{"family":"Tang","given":"Yan"}],"issued":{"date-parts":[["2018"]]}}}],"schema":"https://github.com/citation-style-language/schema/raw/master/csl-citation.json"} </w:instrText>
      </w:r>
      <w:r>
        <w:rPr>
          <w:rFonts w:cs="Times New Roman"/>
        </w:rPr>
        <w:fldChar w:fldCharType="separate"/>
      </w:r>
      <w:r w:rsidR="001E0AFA">
        <w:rPr>
          <w:rFonts w:cs="Times New Roman"/>
          <w:noProof/>
        </w:rPr>
        <w:t>(Anson et al., 2003; Jamshed et al., 2019; M. Zhang, Sun, Qian, &amp; Tang, 2018)</w:t>
      </w:r>
      <w:r>
        <w:rPr>
          <w:rFonts w:cs="Times New Roman"/>
        </w:rPr>
        <w:fldChar w:fldCharType="end"/>
      </w:r>
      <w:r w:rsidR="00A33C49">
        <w:rPr>
          <w:rFonts w:cs="Times New Roman"/>
        </w:rPr>
        <w:t xml:space="preserve">. It is known to increase during gestation, and is associated with reduced food intake, and leanness, and improvements in glucose tolerance </w:t>
      </w:r>
      <w:r w:rsidR="00A33C49">
        <w:rPr>
          <w:rFonts w:cs="Times New Roman"/>
        </w:rPr>
        <w:fldChar w:fldCharType="begin"/>
      </w:r>
      <w:r w:rsidR="00A33C49">
        <w:rPr>
          <w:rFonts w:cs="Times New Roman"/>
        </w:rPr>
        <w:instrText xml:space="preserve"> ADDIN ZOTERO_ITEM CSL_CITATION {"citationID":"HOxFCwTH","properties":{"formattedCitation":"(Macia et al., 2012)","plainCitation":"(Macia et al., 2012)","noteIndex":0},"citationItems":[{"id":48,"uris":["http://zotero.org/users/5073745/items/PKC3AIKL"],"uri":["http://zotero.org/users/5073745/items/PKC3AIKL"],"itemData":{"id":48,"type":"article-journal","title":"Macrophage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sidRPr="004B030F">
        <w:rPr>
          <w:rFonts w:cs="Times New Roman"/>
          <w:noProof/>
        </w:rPr>
        <w:t>(Macia et al., 2012)</w:t>
      </w:r>
      <w:r w:rsidR="00A33C49">
        <w:rPr>
          <w:rFonts w:cs="Times New Roman"/>
        </w:rPr>
        <w:fldChar w:fldCharType="end"/>
      </w:r>
      <w:r w:rsidR="00A33C49">
        <w:rPr>
          <w:rFonts w:cs="Times New Roman"/>
        </w:rPr>
        <w:t xml:space="preserve">. </w:t>
      </w:r>
      <w:proofErr w:type="spellStart"/>
      <w:r w:rsidR="00A33C49">
        <w:rPr>
          <w:rFonts w:cs="Times New Roman"/>
        </w:rPr>
        <w:t>Sugulle</w:t>
      </w:r>
      <w:proofErr w:type="spellEnd"/>
      <w:r w:rsidR="00A33C49">
        <w:rPr>
          <w:rFonts w:cs="Times New Roman"/>
        </w:rPr>
        <w:t xml:space="preserve"> and colleagues demonstrated that GDF15 is elevated in human pregnancies that are complicated by pre-eclampsia and diabetes </w:t>
      </w:r>
      <w:r w:rsidR="00A33C49">
        <w:rPr>
          <w:rFonts w:cs="Times New Roman"/>
        </w:rPr>
        <w:fldChar w:fldCharType="begin"/>
      </w:r>
      <w:r w:rsidR="00A33C49">
        <w:rPr>
          <w:rFonts w:cs="Times New Roman"/>
        </w:rPr>
        <w:instrText xml:space="preserve"> ADDIN ZOTERO_ITEM CSL_CITATION {"citationID":"m6BZNj4C","properties":{"formattedCitation":"(Sugulle et al., 2009)","plainCitation":"(Sugulle et al., 2009)","noteIndex":0},"citationItems":[{"id":46,"uris":["http://zotero.org/users/5073745/items/7H36LHYK"],"uri":["http://zotero.org/users/5073745/items/7H36LHYK"],"itemData":{"id":46,"type":"article-journal","title":"Circulating and Placental Growth-Differentiation Factor 15 in Preeclampsia and in Pregnancy Complicated by Diabetes Mellitus","container-title":"Hypertension","page":"106-112","volume":"54","issue":"1","source":"DOI.org (Crossref)","DOI":"10.1161/HYPERTENSIONAHA.109.130583","ISSN":"0194-911X, 1524-4563","journalAbbreviation":"Hypertension","language":"en","author":[{"family":"Sugulle","given":"Meryam"},{"family":"Dechend","given":"Ralf"},{"family":"Herse","given":"Florian"},{"family":"Weedon-Fekjaer","given":"M.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A33C49">
        <w:rPr>
          <w:rFonts w:cs="Times New Roman"/>
        </w:rPr>
        <w:fldChar w:fldCharType="separate"/>
      </w:r>
      <w:r w:rsidR="00A33C49">
        <w:rPr>
          <w:rFonts w:cs="Times New Roman"/>
          <w:noProof/>
        </w:rPr>
        <w:t>(Sugulle et al., 2009)</w:t>
      </w:r>
      <w:r w:rsidR="00A33C49">
        <w:rPr>
          <w:rFonts w:cs="Times New Roman"/>
        </w:rPr>
        <w:fldChar w:fldCharType="end"/>
      </w:r>
      <w:r w:rsidR="00A33C49">
        <w:rPr>
          <w:rFonts w:cs="Times New Roman"/>
        </w:rPr>
        <w:t xml:space="preserve">. It has also been demonstrated that overexpression of GDF15 in adult mice fed both chow or high fat diet was able to reduce glycemic response to IPGTT challenge and had greater insulin sensitivity compared to wildtype controls </w:t>
      </w:r>
      <w:r w:rsidR="00A33C49">
        <w:rPr>
          <w:rFonts w:cs="Times New Roman"/>
        </w:rPr>
        <w:fldChar w:fldCharType="begin"/>
      </w:r>
      <w:r w:rsidR="00A33C49">
        <w:rPr>
          <w:rFonts w:cs="Times New Roman"/>
        </w:rPr>
        <w:instrText xml:space="preserve"> ADDIN ZOTERO_ITEM CSL_CITATION {"citationID":"u6ndNiSh","properties":{"formattedCitation":"(Macia et al., 2012)","plainCitation":"(Macia et al., 2012)","noteIndex":0},"citationItems":[{"id":48,"uris":["http://zotero.org/users/5073745/items/PKC3AIKL"],"uri":["http://zotero.org/users/5073745/items/PKC3AIKL"],"itemData":{"id":48,"type":"article-journal","title":"Macrophage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Pr>
          <w:rFonts w:cs="Times New Roman"/>
          <w:noProof/>
        </w:rPr>
        <w:t>(Macia et al., 2012)</w:t>
      </w:r>
      <w:r w:rsidR="00A33C49">
        <w:rPr>
          <w:rFonts w:cs="Times New Roman"/>
        </w:rPr>
        <w:fldChar w:fldCharType="end"/>
      </w:r>
      <w:r w:rsidR="00A33C49">
        <w:rPr>
          <w:rFonts w:cs="Times New Roman"/>
        </w:rPr>
        <w:t>.</w:t>
      </w:r>
      <w:r w:rsidR="00B6593C" w:rsidRPr="00B6593C">
        <w:rPr>
          <w:rFonts w:cs="Times New Roman"/>
        </w:rPr>
        <w:t xml:space="preserve"> </w:t>
      </w:r>
      <w:r w:rsidR="00F628D5">
        <w:rPr>
          <w:rFonts w:cs="Times New Roman"/>
        </w:rPr>
        <w:t xml:space="preserve">Evaluation of serum levels of GDF15 in </w:t>
      </w:r>
      <w:proofErr w:type="spellStart"/>
      <w:r w:rsidR="00F628D5">
        <w:rPr>
          <w:rFonts w:cs="Times New Roman"/>
        </w:rPr>
        <w:t>eTRF</w:t>
      </w:r>
      <w:proofErr w:type="spellEnd"/>
      <w:r w:rsidR="00F628D5">
        <w:rPr>
          <w:rFonts w:cs="Times New Roman"/>
        </w:rPr>
        <w:t xml:space="preserve"> and AL fed dams will be conducted. If meaningful differences in </w:t>
      </w:r>
      <w:r w:rsidR="00B6593C">
        <w:rPr>
          <w:rFonts w:cs="Times New Roman"/>
        </w:rPr>
        <w:t xml:space="preserve">GDF15 </w:t>
      </w:r>
      <w:r w:rsidR="00F628D5">
        <w:rPr>
          <w:rFonts w:cs="Times New Roman"/>
        </w:rPr>
        <w:t xml:space="preserve">are detected in </w:t>
      </w:r>
      <w:r w:rsidR="00B6593C">
        <w:rPr>
          <w:rFonts w:cs="Times New Roman"/>
        </w:rPr>
        <w:t xml:space="preserve">concert with improvements in insulin sensitivity, future experiments </w:t>
      </w:r>
      <w:r w:rsidR="00F628D5">
        <w:rPr>
          <w:rFonts w:cs="Times New Roman"/>
        </w:rPr>
        <w:t>may</w:t>
      </w:r>
      <w:r w:rsidR="00B6593C">
        <w:rPr>
          <w:rFonts w:cs="Times New Roman"/>
        </w:rPr>
        <w:t xml:space="preserve"> investigate </w:t>
      </w:r>
      <w:r w:rsidR="00F628D5">
        <w:rPr>
          <w:rFonts w:cs="Times New Roman"/>
        </w:rPr>
        <w:t xml:space="preserve">the effects of </w:t>
      </w:r>
      <w:proofErr w:type="spellStart"/>
      <w:r w:rsidR="00B6593C">
        <w:rPr>
          <w:rFonts w:cs="Times New Roman"/>
        </w:rPr>
        <w:t>eTRF</w:t>
      </w:r>
      <w:proofErr w:type="spellEnd"/>
      <w:r w:rsidR="00B6593C">
        <w:rPr>
          <w:rFonts w:cs="Times New Roman"/>
        </w:rPr>
        <w:t xml:space="preserve"> </w:t>
      </w:r>
      <w:r w:rsidR="00F628D5">
        <w:rPr>
          <w:rFonts w:cs="Times New Roman"/>
        </w:rPr>
        <w:t>i</w:t>
      </w:r>
      <w:r w:rsidR="00B6593C">
        <w:rPr>
          <w:rFonts w:cs="Times New Roman"/>
        </w:rPr>
        <w:t>n GDF15 knockout mice.</w:t>
      </w:r>
    </w:p>
    <w:p w14:paraId="0191A375" w14:textId="06B75118" w:rsidR="00A13480" w:rsidRDefault="00A13480" w:rsidP="00D233E7">
      <w:pPr>
        <w:rPr>
          <w:rFonts w:cs="Times New Roman"/>
        </w:rPr>
      </w:pPr>
    </w:p>
    <w:p w14:paraId="327209D9" w14:textId="013FAB49" w:rsidR="004B030F" w:rsidRDefault="004B030F" w:rsidP="00F628D5">
      <w:pPr>
        <w:ind w:firstLine="720"/>
        <w:rPr>
          <w:rStyle w:val="SubtleEmphasis"/>
          <w:i w:val="0"/>
        </w:rPr>
      </w:pPr>
      <w:r w:rsidRPr="00A413DD">
        <w:t>One of the few fairly consistent findings of time-restricted feeding trials in both humans and animals is a</w:t>
      </w:r>
      <w:r w:rsidR="00F628D5">
        <w:t xml:space="preserve"> </w:t>
      </w:r>
      <w:r w:rsidR="00200583">
        <w:t xml:space="preserve">reduction in </w:t>
      </w:r>
      <w:proofErr w:type="spellStart"/>
      <w:r w:rsidR="00200583">
        <w:t>insulinemia</w:t>
      </w:r>
      <w:proofErr w:type="spellEnd"/>
      <w:r w:rsidR="00200583">
        <w:t xml:space="preserve">. </w:t>
      </w:r>
      <w:r w:rsidR="00400B8B">
        <w:t xml:space="preserve">Insulin concentration increases are known to be a part of the natural history of type II diabetes disease progression. </w:t>
      </w:r>
      <w:r w:rsidR="003E46E3">
        <w:t xml:space="preserve">To test the role of insulin in the effects of </w:t>
      </w:r>
      <w:proofErr w:type="spellStart"/>
      <w:r w:rsidR="003E46E3">
        <w:t>eTRF</w:t>
      </w:r>
      <w:proofErr w:type="spellEnd"/>
      <w:r w:rsidR="003E46E3">
        <w:t xml:space="preserve">, serum insulin will be measured in both </w:t>
      </w:r>
      <w:proofErr w:type="spellStart"/>
      <w:r w:rsidR="003E46E3">
        <w:t>eTRF</w:t>
      </w:r>
      <w:proofErr w:type="spellEnd"/>
      <w:r w:rsidR="003E46E3">
        <w:t xml:space="preserve"> and AL dams and compared. I hypothesize</w:t>
      </w:r>
      <w:r w:rsidR="0042416C">
        <w:t xml:space="preserve"> that insulin secretion will be reduced in </w:t>
      </w:r>
      <w:proofErr w:type="spellStart"/>
      <w:r w:rsidR="0042416C">
        <w:t>eTRF</w:t>
      </w:r>
      <w:proofErr w:type="spellEnd"/>
      <w:r w:rsidR="0042416C">
        <w:t xml:space="preserve"> dams, and therefore insulin sensitivity will be increased. The tissues specific-mechanisms of insulin signaling can also be investigated. </w:t>
      </w:r>
    </w:p>
    <w:p w14:paraId="01F71E86" w14:textId="2591F44B" w:rsidR="001E0D8A" w:rsidRPr="00146803" w:rsidRDefault="001E0D8A" w:rsidP="00146803">
      <w:pPr>
        <w:rPr>
          <w:rFonts w:cs="Times New Roman"/>
        </w:rPr>
      </w:pPr>
    </w:p>
    <w:p w14:paraId="55B90EF2" w14:textId="09A05241" w:rsidR="00926E95" w:rsidRPr="00F96DB1" w:rsidRDefault="00330625" w:rsidP="00B67A65">
      <w:pPr>
        <w:pStyle w:val="Heading2"/>
      </w:pPr>
      <w:bookmarkStart w:id="135" w:name="_Toc16185296"/>
      <w:r>
        <w:br/>
      </w:r>
      <w:r w:rsidR="00926E95" w:rsidRPr="00F96DB1">
        <w:t>Methods:</w:t>
      </w:r>
      <w:bookmarkEnd w:id="135"/>
    </w:p>
    <w:p w14:paraId="377F3ADF" w14:textId="0177593B" w:rsidR="00926E95" w:rsidRPr="00F96DB1" w:rsidRDefault="00926E95" w:rsidP="00926E95">
      <w:pPr>
        <w:rPr>
          <w:rFonts w:cs="Times New Roman"/>
        </w:rPr>
      </w:pPr>
    </w:p>
    <w:p w14:paraId="27025880" w14:textId="18AE8D51" w:rsidR="00926E95" w:rsidRPr="00F96DB1" w:rsidRDefault="00926E95" w:rsidP="00B67A65">
      <w:pPr>
        <w:pStyle w:val="Heading3"/>
      </w:pPr>
      <w:bookmarkStart w:id="136" w:name="_Toc16185297"/>
      <w:r w:rsidRPr="00F96DB1">
        <w:t>Animals:</w:t>
      </w:r>
      <w:bookmarkEnd w:id="136"/>
    </w:p>
    <w:p w14:paraId="2009F806" w14:textId="7F5613C5" w:rsidR="00926E95" w:rsidRPr="00F96DB1" w:rsidRDefault="00382CE8" w:rsidP="00926E95">
      <w:pPr>
        <w:rPr>
          <w:rFonts w:eastAsia="Times New Roman" w:cs="Times New Roman"/>
          <w:color w:val="000000"/>
        </w:rPr>
      </w:pPr>
      <w:r w:rsidRPr="00F96DB1">
        <w:rPr>
          <w:rFonts w:cs="Times New Roman"/>
        </w:rPr>
        <w:t>C57B</w:t>
      </w:r>
      <w:r w:rsidR="001041F5">
        <w:rPr>
          <w:rFonts w:cs="Times New Roman"/>
        </w:rPr>
        <w:t>L</w:t>
      </w:r>
      <w:r w:rsidRPr="00F96DB1">
        <w:rPr>
          <w:rFonts w:cs="Times New Roman"/>
        </w:rPr>
        <w:t>6/J mice were previously used in the insulin resistance of pregnancy experiment were used in this experiment.</w:t>
      </w:r>
      <w:r w:rsidR="009B6663" w:rsidRPr="00F96DB1">
        <w:rPr>
          <w:rFonts w:cs="Times New Roman"/>
        </w:rPr>
        <w:t xml:space="preserve"> </w:t>
      </w:r>
      <w:r w:rsidR="004E1444" w:rsidRPr="00F96DB1">
        <w:rPr>
          <w:rFonts w:eastAsia="Times New Roman" w:cs="Times New Roman"/>
          <w:color w:val="000000"/>
        </w:rPr>
        <w:t xml:space="preserve">At 134 days of age, </w:t>
      </w:r>
      <w:r w:rsidR="004E1444" w:rsidRPr="00F96DB1">
        <w:rPr>
          <w:rFonts w:cs="Times New Roman"/>
        </w:rPr>
        <w:t>a</w:t>
      </w:r>
      <w:r w:rsidRPr="00F96DB1">
        <w:rPr>
          <w:rFonts w:cs="Times New Roman"/>
        </w:rPr>
        <w:t xml:space="preserve">ge matched females were randomized to either </w:t>
      </w:r>
      <w:r w:rsidRPr="00A13480">
        <w:rPr>
          <w:rFonts w:cs="Times New Roman"/>
          <w:i/>
        </w:rPr>
        <w:t>ad libitum</w:t>
      </w:r>
      <w:r w:rsidR="004E1444" w:rsidRPr="00F96DB1">
        <w:rPr>
          <w:rFonts w:cs="Times New Roman"/>
        </w:rPr>
        <w:t xml:space="preserve"> (AL)</w:t>
      </w:r>
      <w:r w:rsidRPr="00F96DB1">
        <w:rPr>
          <w:rFonts w:cs="Times New Roman"/>
        </w:rPr>
        <w:t xml:space="preserve"> or early time-restricted eating (</w:t>
      </w:r>
      <w:proofErr w:type="spellStart"/>
      <w:r w:rsidRPr="00F96DB1">
        <w:rPr>
          <w:rFonts w:cs="Times New Roman"/>
        </w:rPr>
        <w:t>eTRF</w:t>
      </w:r>
      <w:proofErr w:type="spellEnd"/>
      <w:r w:rsidRPr="00F96DB1">
        <w:rPr>
          <w:rFonts w:cs="Times New Roman"/>
        </w:rPr>
        <w:t xml:space="preserve">). Dams randomized to </w:t>
      </w:r>
      <w:r w:rsidR="004E1444" w:rsidRPr="00F96DB1">
        <w:rPr>
          <w:rFonts w:cs="Times New Roman"/>
        </w:rPr>
        <w:t>AL</w:t>
      </w:r>
      <w:r w:rsidRPr="00F96DB1">
        <w:rPr>
          <w:rFonts w:cs="Times New Roman"/>
        </w:rPr>
        <w:t xml:space="preserve"> feeding </w:t>
      </w:r>
      <w:r w:rsidR="004E1444" w:rsidRPr="00F96DB1">
        <w:rPr>
          <w:rFonts w:cs="Times New Roman"/>
        </w:rPr>
        <w:t>had 24-hour access to chow (</w:t>
      </w:r>
      <w:r w:rsidR="004E1444" w:rsidRPr="00F96DB1">
        <w:rPr>
          <w:rFonts w:eastAsia="Times New Roman" w:cs="Times New Roman"/>
          <w:color w:val="000000"/>
        </w:rPr>
        <w:t>5% fat, 24% protein, 3.7% sucrose, 32% starch</w:t>
      </w:r>
      <w:r w:rsidR="004E1444" w:rsidRPr="00F96DB1">
        <w:rPr>
          <w:rFonts w:cs="Times New Roman"/>
        </w:rPr>
        <w:t xml:space="preserve">). Dams randomized to </w:t>
      </w:r>
      <w:proofErr w:type="spellStart"/>
      <w:r w:rsidR="004E1444" w:rsidRPr="00F96DB1">
        <w:rPr>
          <w:rFonts w:cs="Times New Roman"/>
        </w:rPr>
        <w:t>eTRF</w:t>
      </w:r>
      <w:proofErr w:type="spellEnd"/>
      <w:r w:rsidR="004E1444" w:rsidRPr="00F96DB1">
        <w:rPr>
          <w:rFonts w:cs="Times New Roman"/>
        </w:rPr>
        <w:t xml:space="preserve"> feeding were allowed </w:t>
      </w:r>
      <w:r w:rsidR="004E1444" w:rsidRPr="00A13480">
        <w:rPr>
          <w:rFonts w:cs="Times New Roman"/>
          <w:i/>
        </w:rPr>
        <w:t>ad libitum</w:t>
      </w:r>
      <w:r w:rsidR="004E1444" w:rsidRPr="00F96DB1">
        <w:rPr>
          <w:rFonts w:cs="Times New Roman"/>
        </w:rPr>
        <w:t xml:space="preserve"> access to chow during 6 hours of the dark cycle (8pm-2am). At 2 am, all dams were moved to clean cages</w:t>
      </w:r>
      <w:r w:rsidR="009B6663" w:rsidRPr="00F96DB1">
        <w:rPr>
          <w:rFonts w:cs="Times New Roman"/>
        </w:rPr>
        <w:t xml:space="preserve"> </w:t>
      </w:r>
      <w:r w:rsidR="007A5566">
        <w:rPr>
          <w:rFonts w:cs="Times New Roman"/>
        </w:rPr>
        <w:t xml:space="preserve">to standardize stress and handling between feeding regimens </w:t>
      </w:r>
      <w:r w:rsidR="004E1444" w:rsidRPr="00F96DB1">
        <w:rPr>
          <w:rFonts w:cs="Times New Roman"/>
        </w:rPr>
        <w:t>(</w:t>
      </w:r>
      <w:proofErr w:type="spellStart"/>
      <w:r w:rsidR="007A5566">
        <w:rPr>
          <w:rFonts w:cs="Times New Roman"/>
        </w:rPr>
        <w:t>Hatori</w:t>
      </w:r>
      <w:proofErr w:type="spellEnd"/>
      <w:r w:rsidR="007A5566">
        <w:rPr>
          <w:rFonts w:cs="Times New Roman"/>
        </w:rPr>
        <w:t>, 2012</w:t>
      </w:r>
      <w:r w:rsidR="004E1444" w:rsidRPr="00F96DB1">
        <w:rPr>
          <w:rFonts w:cs="Times New Roman"/>
        </w:rPr>
        <w:t xml:space="preserve">). </w:t>
      </w:r>
      <w:r w:rsidR="004E1444" w:rsidRPr="00F96DB1">
        <w:rPr>
          <w:rFonts w:eastAsia="Times New Roman" w:cs="Times New Roman"/>
          <w:color w:val="000000"/>
        </w:rPr>
        <w:t xml:space="preserve">Animals were held in a 12:12 light dark cycle, </w:t>
      </w:r>
      <w:r w:rsidR="007A5566">
        <w:rPr>
          <w:rFonts w:eastAsia="Times New Roman" w:cs="Times New Roman"/>
          <w:color w:val="000000"/>
        </w:rPr>
        <w:t xml:space="preserve">in a </w:t>
      </w:r>
      <w:r w:rsidR="004E1444" w:rsidRPr="00F96DB1">
        <w:rPr>
          <w:rFonts w:eastAsia="Times New Roman" w:cs="Times New Roman"/>
          <w:color w:val="000000"/>
        </w:rPr>
        <w:t xml:space="preserve">temperature and humidity-controlled facility. Food intake was monitored daily, with 6 hour and </w:t>
      </w:r>
      <w:r w:rsidR="009B6663" w:rsidRPr="00F96DB1">
        <w:rPr>
          <w:rFonts w:eastAsia="Times New Roman" w:cs="Times New Roman"/>
          <w:color w:val="000000"/>
        </w:rPr>
        <w:t>24-hour</w:t>
      </w:r>
      <w:r w:rsidR="004E1444" w:rsidRPr="00F96DB1">
        <w:rPr>
          <w:rFonts w:eastAsia="Times New Roman" w:cs="Times New Roman"/>
          <w:color w:val="000000"/>
        </w:rPr>
        <w:t xml:space="preserve"> intake calculated</w:t>
      </w:r>
      <w:r w:rsidR="007A5566">
        <w:rPr>
          <w:rFonts w:eastAsia="Times New Roman" w:cs="Times New Roman"/>
          <w:color w:val="000000"/>
        </w:rPr>
        <w:t xml:space="preserve"> as total grams of food consumed per day multiplied by utilizable energy in the provided diet</w:t>
      </w:r>
      <w:r w:rsidR="004E1444" w:rsidRPr="00F96DB1">
        <w:rPr>
          <w:rFonts w:eastAsia="Times New Roman" w:cs="Times New Roman"/>
          <w:color w:val="000000"/>
        </w:rPr>
        <w:t xml:space="preserve">. </w:t>
      </w:r>
      <w:r w:rsidR="00A13480">
        <w:rPr>
          <w:rFonts w:eastAsia="Times New Roman" w:cs="Times New Roman"/>
          <w:color w:val="000000"/>
        </w:rPr>
        <w:t xml:space="preserve">Dams were switched to AL feeding upon parturition. </w:t>
      </w:r>
    </w:p>
    <w:p w14:paraId="069CF8FB" w14:textId="4F086D4E" w:rsidR="009B6663" w:rsidRPr="00F96DB1" w:rsidRDefault="009B6663" w:rsidP="00926E95">
      <w:pPr>
        <w:rPr>
          <w:rFonts w:cs="Times New Roman"/>
        </w:rPr>
      </w:pPr>
    </w:p>
    <w:p w14:paraId="1156250D" w14:textId="069BEB73" w:rsidR="009B6663" w:rsidRPr="00F96DB1" w:rsidRDefault="009B6663" w:rsidP="00B67A65">
      <w:pPr>
        <w:pStyle w:val="Heading3"/>
      </w:pPr>
      <w:bookmarkStart w:id="137" w:name="_Toc16185298"/>
      <w:r w:rsidRPr="00F96DB1">
        <w:t>Mating:</w:t>
      </w:r>
      <w:bookmarkEnd w:id="137"/>
    </w:p>
    <w:p w14:paraId="7CA23441" w14:textId="2619201C" w:rsidR="009B6663" w:rsidRPr="00F96DB1" w:rsidRDefault="009B6663" w:rsidP="00926E95">
      <w:pPr>
        <w:rPr>
          <w:rFonts w:cs="Times New Roman"/>
        </w:rPr>
      </w:pPr>
      <w:r w:rsidRPr="00F96DB1">
        <w:rPr>
          <w:rFonts w:cs="Times New Roman"/>
        </w:rPr>
        <w:t xml:space="preserve">Dams were singly housed for the course of the experiment. After a one-week acclimation period, males were added to the cages in monogamous pairs. Males were allowed to remain in cages until copulatory plug appeared, which was noted as day 0.5 of pregnancy. </w:t>
      </w:r>
      <w:r w:rsidR="004E2C3A">
        <w:rPr>
          <w:rFonts w:cs="Times New Roman"/>
        </w:rPr>
        <w:t>At gestation day 19, males were removed to prevent second pregnancies after delivering. During the course of the birth and post-natal period until PND 21, dams were singly housed with their litters.</w:t>
      </w:r>
    </w:p>
    <w:p w14:paraId="36EDE06E" w14:textId="77777777" w:rsidR="004E1444" w:rsidRPr="00F96DB1" w:rsidRDefault="004E1444" w:rsidP="00926E95">
      <w:pPr>
        <w:rPr>
          <w:rFonts w:cs="Times New Roman"/>
        </w:rPr>
      </w:pPr>
    </w:p>
    <w:p w14:paraId="397CC9A2" w14:textId="3A358B19" w:rsidR="00926E95" w:rsidRPr="00F96DB1" w:rsidRDefault="00926E95" w:rsidP="00B67A65">
      <w:pPr>
        <w:pStyle w:val="Heading3"/>
      </w:pPr>
      <w:bookmarkStart w:id="138" w:name="_Toc16185299"/>
      <w:r w:rsidRPr="00F96DB1">
        <w:lastRenderedPageBreak/>
        <w:t>Body Composition:</w:t>
      </w:r>
      <w:bookmarkEnd w:id="138"/>
    </w:p>
    <w:p w14:paraId="578A693E" w14:textId="010EEA0F" w:rsidR="009B6663" w:rsidRPr="00F96DB1" w:rsidRDefault="009B6663" w:rsidP="009B6663">
      <w:pPr>
        <w:rPr>
          <w:rFonts w:eastAsia="Times New Roman" w:cs="Times New Roman"/>
          <w:color w:val="000000"/>
        </w:rPr>
      </w:pPr>
      <w:r w:rsidRPr="00F96DB1">
        <w:rPr>
          <w:rFonts w:eastAsia="Times New Roman" w:cs="Times New Roman"/>
          <w:color w:val="000000"/>
        </w:rPr>
        <w:t>Once a week, Dams weight was measured weekly using an electronic scale (</w:t>
      </w:r>
      <w:r w:rsidR="007A5566">
        <w:rPr>
          <w:rFonts w:eastAsia="Times New Roman" w:cs="Times New Roman"/>
          <w:color w:val="000000"/>
        </w:rPr>
        <w:t>Mettler Toledo</w:t>
      </w:r>
      <w:r w:rsidRPr="00F96DB1">
        <w:rPr>
          <w:rFonts w:eastAsia="Times New Roman" w:cs="Times New Roman"/>
          <w:color w:val="000000"/>
        </w:rPr>
        <w:t>). Body composition including fat mass, lean mass, and free water was assessed indirectly via magnetic resonance imaging (</w:t>
      </w:r>
      <w:proofErr w:type="spellStart"/>
      <w:r w:rsidRPr="00F96DB1">
        <w:rPr>
          <w:rFonts w:eastAsia="Times New Roman" w:cs="Times New Roman"/>
          <w:color w:val="000000"/>
        </w:rPr>
        <w:t>EchoMRI</w:t>
      </w:r>
      <w:proofErr w:type="spellEnd"/>
      <w:r w:rsidRPr="00F96DB1">
        <w:rPr>
          <w:rFonts w:eastAsia="Times New Roman" w:cs="Times New Roman"/>
          <w:color w:val="000000"/>
        </w:rPr>
        <w:t>).</w:t>
      </w:r>
    </w:p>
    <w:p w14:paraId="03502253" w14:textId="046648F3" w:rsidR="00926E95" w:rsidRPr="00F96DB1" w:rsidRDefault="00926E95" w:rsidP="00926E95">
      <w:pPr>
        <w:rPr>
          <w:rFonts w:cs="Times New Roman"/>
        </w:rPr>
      </w:pPr>
    </w:p>
    <w:p w14:paraId="34416ECB" w14:textId="00A2A8DC" w:rsidR="00926E95" w:rsidRDefault="00926E95" w:rsidP="00B67A65">
      <w:pPr>
        <w:pStyle w:val="Heading3"/>
      </w:pPr>
      <w:bookmarkStart w:id="139" w:name="_Toc16185300"/>
      <w:r w:rsidRPr="00F96DB1">
        <w:t>Insulin Sensitivity:</w:t>
      </w:r>
      <w:bookmarkEnd w:id="139"/>
    </w:p>
    <w:p w14:paraId="7B34AB87" w14:textId="005E2C01" w:rsidR="004469CF" w:rsidRPr="004469CF" w:rsidRDefault="004469CF" w:rsidP="00926E95">
      <w:pPr>
        <w:rPr>
          <w:rFonts w:cs="Times New Roman"/>
          <w:i/>
        </w:rPr>
      </w:pPr>
      <w:r w:rsidRPr="004469CF">
        <w:rPr>
          <w:rFonts w:cs="Times New Roman"/>
          <w:i/>
        </w:rPr>
        <w:t>Insulin tolerance test:</w:t>
      </w:r>
    </w:p>
    <w:p w14:paraId="15C0DC82" w14:textId="7BE2595A" w:rsidR="00657472" w:rsidRDefault="00657472" w:rsidP="00926E95">
      <w:pPr>
        <w:rPr>
          <w:rFonts w:eastAsia="Times New Roman" w:cs="Times New Roman"/>
          <w:color w:val="000000"/>
        </w:rPr>
      </w:pPr>
      <w:r w:rsidRPr="00F96DB1">
        <w:rPr>
          <w:rFonts w:cs="Times New Roman"/>
        </w:rPr>
        <w:t xml:space="preserve">Insulin sensitivity was assessed by insulin tolerance test 16 days after mating began. Gestational age during ITT was determined using plug data, body weight gain, and date of delivery. As a </w:t>
      </w:r>
      <w:r w:rsidRPr="004E2C3A">
        <w:rPr>
          <w:rFonts w:cs="Times New Roman"/>
        </w:rPr>
        <w:t>result, most dams were in the 1</w:t>
      </w:r>
      <w:r w:rsidRPr="004E2C3A">
        <w:rPr>
          <w:rFonts w:cs="Times New Roman"/>
          <w:vertAlign w:val="superscript"/>
        </w:rPr>
        <w:t>st</w:t>
      </w:r>
      <w:r w:rsidRPr="004E2C3A">
        <w:rPr>
          <w:rFonts w:cs="Times New Roman"/>
        </w:rPr>
        <w:t xml:space="preserve"> or 3</w:t>
      </w:r>
      <w:r w:rsidRPr="004E2C3A">
        <w:rPr>
          <w:rFonts w:cs="Times New Roman"/>
          <w:vertAlign w:val="superscript"/>
        </w:rPr>
        <w:t>rd</w:t>
      </w:r>
      <w:r w:rsidRPr="004E2C3A">
        <w:rPr>
          <w:rFonts w:cs="Times New Roman"/>
        </w:rPr>
        <w:t xml:space="preserve"> week of gestation during this time. </w:t>
      </w:r>
      <w:r w:rsidR="00F866FE" w:rsidRPr="004E2C3A">
        <w:rPr>
          <w:rFonts w:eastAsia="Times New Roman" w:cs="Times New Roman"/>
          <w:color w:val="000000"/>
        </w:rPr>
        <w:t>After 6-hour fast,</w:t>
      </w:r>
      <w:r w:rsidR="00F866FE" w:rsidRPr="00F96DB1">
        <w:rPr>
          <w:rFonts w:eastAsia="Times New Roman" w:cs="Times New Roman"/>
          <w:color w:val="000000"/>
        </w:rPr>
        <w:t xml:space="preserve"> blood glucose was taken using a glucometer and tail clip. Females were given insulin injections (0.75 units/kg body weight; Humulin U100 in cold sterile, filtered Phosphate buffered saline (PBS)) and blood glucose was tested using a glucometer at 15-minute intervals for 2 hours. If animals began to exhibit moribund behaviors, 300 units of 10% glucose in cold sterile filtered PBS was administered and subsequent BG measurements were omitted from the ITT.</w:t>
      </w:r>
    </w:p>
    <w:p w14:paraId="3C8A12AA" w14:textId="77777777" w:rsidR="007A5566" w:rsidRDefault="007A5566" w:rsidP="00926E95">
      <w:pPr>
        <w:rPr>
          <w:rFonts w:cs="Times New Roman"/>
          <w:i/>
        </w:rPr>
      </w:pPr>
    </w:p>
    <w:p w14:paraId="6E90D3E9" w14:textId="09092CBC" w:rsidR="004469CF" w:rsidRDefault="004469CF" w:rsidP="00926E95">
      <w:pPr>
        <w:rPr>
          <w:rFonts w:cs="Times New Roman"/>
          <w:i/>
        </w:rPr>
      </w:pPr>
      <w:commentRangeStart w:id="140"/>
      <w:proofErr w:type="spellStart"/>
      <w:r w:rsidRPr="004469CF">
        <w:rPr>
          <w:rFonts w:cs="Times New Roman"/>
          <w:i/>
        </w:rPr>
        <w:t>Hyperinsulinemic</w:t>
      </w:r>
      <w:proofErr w:type="spellEnd"/>
      <w:r w:rsidRPr="004469CF">
        <w:rPr>
          <w:rFonts w:cs="Times New Roman"/>
          <w:i/>
        </w:rPr>
        <w:t>-euglycemic clamp:</w:t>
      </w:r>
      <w:commentRangeEnd w:id="140"/>
      <w:r w:rsidR="00BF51D2">
        <w:rPr>
          <w:rStyle w:val="CommentReference"/>
        </w:rPr>
        <w:commentReference w:id="140"/>
      </w:r>
    </w:p>
    <w:p w14:paraId="787C6F91" w14:textId="5CE7FBAC" w:rsidR="00CC2456" w:rsidRDefault="00F5543F" w:rsidP="00CC2456">
      <w:pPr>
        <w:rPr>
          <w:rFonts w:cs="Times New Roman"/>
        </w:rPr>
      </w:pPr>
      <w:r>
        <w:rPr>
          <w:rFonts w:cs="Times New Roman"/>
        </w:rPr>
        <w:t>After</w:t>
      </w:r>
      <w:r w:rsidR="004469CF">
        <w:rPr>
          <w:rFonts w:cs="Times New Roman"/>
        </w:rPr>
        <w:t xml:space="preserve"> mating and confirmation of pregnancy by </w:t>
      </w:r>
      <w:r w:rsidR="004469CF" w:rsidRPr="004E2C3A">
        <w:rPr>
          <w:rFonts w:cs="Times New Roman"/>
        </w:rPr>
        <w:t xml:space="preserve">weight gain </w:t>
      </w:r>
      <w:r w:rsidR="004469CF" w:rsidRPr="00694B30">
        <w:rPr>
          <w:rFonts w:cs="Times New Roman"/>
        </w:rPr>
        <w:t xml:space="preserve">of </w:t>
      </w:r>
      <w:r w:rsidR="004E2C3A" w:rsidRPr="00694B30">
        <w:rPr>
          <w:rFonts w:cs="Times New Roman"/>
        </w:rPr>
        <w:t>1.75</w:t>
      </w:r>
      <w:r w:rsidR="004469CF" w:rsidRPr="00694B30">
        <w:rPr>
          <w:rFonts w:cs="Times New Roman"/>
        </w:rPr>
        <w:t>g</w:t>
      </w:r>
      <w:r w:rsidR="004469CF" w:rsidRPr="004E2C3A">
        <w:rPr>
          <w:rFonts w:cs="Times New Roman"/>
        </w:rPr>
        <w:t xml:space="preserve"> signaling 7 days of pregnancy</w:t>
      </w:r>
      <w:r w:rsidR="00CC2456">
        <w:rPr>
          <w:rFonts w:cs="Times New Roman"/>
        </w:rPr>
        <w:t xml:space="preserve"> </w:t>
      </w:r>
      <w:r w:rsidR="00614A20">
        <w:rPr>
          <w:rFonts w:cs="Times New Roman"/>
        </w:rPr>
        <w:fldChar w:fldCharType="begin"/>
      </w:r>
      <w:r w:rsidR="00614A20">
        <w:rPr>
          <w:rFonts w:cs="Times New Roman"/>
        </w:rPr>
        <w:instrText xml:space="preserve"> ADDIN ZOTERO_ITEM CSL_CITATION {"citationID":"MZpMGcY9","properties":{"formattedCitation":"(Heyne et al., 2015)","plainCitation":"(Heyne et al., 2015)","noteIndex":0},"citationItems":[{"id":74,"uris":["http://zotero.org/users/5073745/items/6V4ZMVUG"],"uri":["http://zotero.org/users/5073745/items/6V4ZMVUG"],"itemData":{"id":74,"type":"article-journal","title":"A Simple and Reliable Method for Early Pregnancy Detection in Inbred Mice","container-title":"Journal of the American Association for Laboratory Animal Science : JAALAS","page":"368-371","volume":"54","issue":"4","source":"PubMed Central","abstract":"The study of normal and abnormal development typically requires precise embryonic staging. In mice, this task is accomplished through timed matings and the detection of a copulation plug. However, the presence of a plug is not a definitive indicator of true pregnancy, particularly in inbred mice, in which false-pregnancy rates have been reported to be 50% or higher, depending on the strain. This high rate poses considerable financial and animal use burdens because manipulation of the putative dam is often required before pregnancy can be confirmed by palpation or visual inspection. To address this problem, we examined weight gain in a population of 275 wildtype C57BL/6J mice (age, 12 wk or older) between the time of plug detection and during early embryogenesis (gestational days 7 to 10). In this population, assessing pregnancy according to the presence of a plug alone yielded a 37.1% false-positive rate. Pregnant mice gained an average of 3.49 g, whereas nonpregnant mice gained only 1.15 g. Beginning at gestational day 7.75, implementing an optimal weight-gain discrimination threshold of 1.75 g reduced the false-positive rate to 10.5%, without excluding any pregnant mice. These results were consistent with those from younger (age, 8 wk) wildtype C57BL/6J and FVB/NTac female mice, suggesting broad applicability of this method across age and strain. Our findings provide a simple and effective method for reducing animal use and study costs.","ISSN":"1559-6109","note":"PMID: 26224435\nPMCID: PMC4521569","journalAbbreviation":"J Am Assoc Lab Anim Sci","author":[{"family":"Heyne","given":"Galen W"},{"family":"Plisch","given":"Erin H"},{"family":"Melberg","given":"Cal G"},{"family":"Sandgren","given":"Eric P"},{"family":"Peter","given":"Jody A"},{"family":"Lipinski","given":"Robert J"}],"issued":{"date-parts":[["2015",7]]}}}],"schema":"https://github.com/citation-style-language/schema/raw/master/csl-citation.json"} </w:instrText>
      </w:r>
      <w:r w:rsidR="00614A20">
        <w:rPr>
          <w:rFonts w:cs="Times New Roman"/>
        </w:rPr>
        <w:fldChar w:fldCharType="separate"/>
      </w:r>
      <w:r w:rsidR="001916B7">
        <w:rPr>
          <w:rFonts w:cs="Times New Roman"/>
          <w:noProof/>
        </w:rPr>
        <w:t>(Heyne et al., 2015)</w:t>
      </w:r>
      <w:r w:rsidR="00614A20">
        <w:rPr>
          <w:rFonts w:cs="Times New Roman"/>
        </w:rPr>
        <w:fldChar w:fldCharType="end"/>
      </w:r>
      <w:r w:rsidR="00614A20">
        <w:rPr>
          <w:rFonts w:cs="Times New Roman"/>
        </w:rPr>
        <w:t xml:space="preserve">, </w:t>
      </w:r>
      <w:r w:rsidR="004469CF" w:rsidRPr="004E2C3A">
        <w:rPr>
          <w:rFonts w:cs="Times New Roman"/>
        </w:rPr>
        <w:t xml:space="preserve">animals will be placed singly housed into a </w:t>
      </w:r>
      <w:r w:rsidR="00931D42" w:rsidRPr="004E2C3A">
        <w:rPr>
          <w:rFonts w:cs="Times New Roman"/>
        </w:rPr>
        <w:t>special cage</w:t>
      </w:r>
      <w:r w:rsidR="004469CF" w:rsidRPr="004E2C3A">
        <w:rPr>
          <w:rFonts w:cs="Times New Roman"/>
        </w:rPr>
        <w:t xml:space="preserve"> unit. Dams will be cannulated and exogenous insulin will be administered, inducing a state of hyperinsulinemia</w:t>
      </w:r>
      <w:r w:rsidR="00CC2456">
        <w:rPr>
          <w:rFonts w:cs="Times New Roman"/>
        </w:rPr>
        <w:t xml:space="preserve"> </w:t>
      </w:r>
      <w:r w:rsidR="00C50689">
        <w:rPr>
          <w:rFonts w:cs="Times New Roman"/>
        </w:rPr>
        <w:fldChar w:fldCharType="begin"/>
      </w:r>
      <w:r w:rsidR="00C50689">
        <w:rPr>
          <w:rFonts w:cs="Times New Roman"/>
        </w:rPr>
        <w:instrText xml:space="preserve"> ADDIN ZOTERO_ITEM CSL_CITATION {"citationID":"9AmpnVjm","properties":{"formattedCitation":"(Kim, 2009)","plainCitation":"(Kim, 2009)","noteIndex":0},"citationItems":[{"id":51,"uris":["http://zotero.org/users/5073745/items/BCFCJJQH"],"uri":["http://zotero.org/users/5073745/items/BCFCJJQH"],"itemData":{"id":51,"type":"chapter","title":"Hyperinsulinemic–Euglycemic Clamp to Assess Insulin Sensitivity In Vivo","container-title":"Type 2 Diabetes: Methods and Protocols","collection-title":"Methods in Molecular Biology","publisher":"Humana Press","publisher-place":"Totowa, NJ","page":"221-238","source":"Springer Link","event-place":"Totowa, NJ","abstract":"SummaryInsulin resistance, the impaired ability of insulin to stimulate glucose utilization, is a major characteristic of type 2 diabetes. Insulin sensitivity can be measured using a variety of techniques that are commonly employed in diabetes research and care. Of these, hyperinsulinemic-euglycemic clamp is the gold-standard method to assess insulin sensitivity. The euglycemic clamp is widely used in clinics and laboratories to measure insulin action on glucose utilization in humans and animals for clinical and basic science research. Incorporation of radioactive-labeled glucose during euglycemic clamps makes it possible to measure glucose metabolism in individual organs. In recent years, euglycemic clamps have been actively performed in transgenic animal models of obesity, diabetes, and its complications, and have significantly advanced our understanding on the etiology and pathogenesis of type 2 diabetes. This chapter describes our standardized methods of the euglycemic clamp and associated surgical and biochemical procedures to measure insulin sensitivity in conscious rodents.","URL":"https://doi.org/10.1007/978-1-59745-448-3_15","ISBN":"978-1-59745-448-3","note":"DOI: 10.1007/978-1-59745-448-3_15","language":"en","author":[{"family":"Kim","given":"Jason K."}],"editor":[{"family":"Stocker","given":"Claire"}],"issued":{"date-parts":[["2009"]]},"accessed":{"date-parts":[["2019",8,16]]}}}],"schema":"https://github.com/citation-style-language/schema/raw/master/csl-citation.json"} </w:instrText>
      </w:r>
      <w:r w:rsidR="00C50689">
        <w:rPr>
          <w:rFonts w:cs="Times New Roman"/>
        </w:rPr>
        <w:fldChar w:fldCharType="separate"/>
      </w:r>
      <w:r w:rsidR="001916B7">
        <w:rPr>
          <w:rFonts w:cs="Times New Roman"/>
          <w:noProof/>
        </w:rPr>
        <w:t>(Kim, 2009)</w:t>
      </w:r>
      <w:r w:rsidR="00C50689">
        <w:rPr>
          <w:rFonts w:cs="Times New Roman"/>
        </w:rPr>
        <w:fldChar w:fldCharType="end"/>
      </w:r>
      <w:r w:rsidR="00945A2E">
        <w:rPr>
          <w:rFonts w:cs="Times New Roman"/>
        </w:rPr>
        <w:t xml:space="preserve"> and thereby suppressing hepatic glucose production</w:t>
      </w:r>
      <w:r w:rsidR="004469CF">
        <w:rPr>
          <w:rFonts w:cs="Times New Roman"/>
        </w:rPr>
        <w:t xml:space="preserve">. Glucose is infused to maintain blood sugar, with the amount infused correlating to the ability of that animal to utilize insulin to dispose of glucose. Greater glucose infusion rates </w:t>
      </w:r>
      <w:r w:rsidR="00945A2E">
        <w:rPr>
          <w:rFonts w:cs="Times New Roman"/>
        </w:rPr>
        <w:t>represent more insulin sensitive animals. This method also allows for understanding of tissue-specific glucose disposal</w:t>
      </w:r>
      <w:r w:rsidR="00CC2456">
        <w:rPr>
          <w:rFonts w:cs="Times New Roman"/>
        </w:rPr>
        <w:t xml:space="preserve"> through the use of radiolabeled glucose</w:t>
      </w:r>
      <w:r w:rsidR="00945A2E">
        <w:rPr>
          <w:rFonts w:cs="Times New Roman"/>
        </w:rPr>
        <w:t>.</w:t>
      </w:r>
    </w:p>
    <w:p w14:paraId="6E92FF05" w14:textId="2D56BD8C" w:rsidR="00665FF6" w:rsidRPr="004469CF" w:rsidRDefault="00665FF6" w:rsidP="00926E95">
      <w:pPr>
        <w:rPr>
          <w:rFonts w:cs="Times New Roman"/>
        </w:rPr>
      </w:pPr>
      <w:r>
        <w:rPr>
          <w:rFonts w:cs="Times New Roman"/>
        </w:rPr>
        <w:t>.</w:t>
      </w:r>
    </w:p>
    <w:p w14:paraId="3A39D829" w14:textId="77777777" w:rsidR="004469CF" w:rsidRPr="00F96DB1" w:rsidRDefault="004469CF" w:rsidP="00926E95">
      <w:pPr>
        <w:rPr>
          <w:rFonts w:cs="Times New Roman"/>
        </w:rPr>
      </w:pPr>
    </w:p>
    <w:p w14:paraId="7E760E26" w14:textId="33888E56" w:rsidR="007A5566" w:rsidRDefault="007A5566" w:rsidP="007A5566">
      <w:pPr>
        <w:pStyle w:val="Heading3"/>
      </w:pPr>
      <w:r>
        <w:t>Glycemia:</w:t>
      </w:r>
    </w:p>
    <w:p w14:paraId="1863F68C" w14:textId="5CC5238A" w:rsidR="00C50689" w:rsidRPr="00C50689" w:rsidRDefault="00F628D5" w:rsidP="00C50689">
      <w:r>
        <w:t>Fasting blood glucose will be assessed with a tail vein blood collection and a glucometer immediately preceding the insulin tolerance test. However, a</w:t>
      </w:r>
      <w:r w:rsidR="00DF1B2B">
        <w:t>s Jamshed and colleagues have previously demonstrated, the use of continuous glucose monitoring may demonstrate more significant trends in glycemia that static blood glucose and terminal blood glucose measurement are able to capture</w:t>
      </w:r>
      <w:r w:rsidR="00CC2456">
        <w:t xml:space="preserve"> </w:t>
      </w:r>
      <w:r w:rsidR="00DF1B2B">
        <w:fldChar w:fldCharType="begin"/>
      </w:r>
      <w:r w:rsidR="00DF1B2B">
        <w:instrText xml:space="preserve"> ADDIN ZOTERO_ITEM CSL_CITATION {"citationID":"0VSBdVNs","properties":{"formattedCitation":"(Jamshed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DF1B2B">
        <w:fldChar w:fldCharType="separate"/>
      </w:r>
      <w:r w:rsidR="00DF1B2B">
        <w:rPr>
          <w:noProof/>
        </w:rPr>
        <w:t>(Jamshed et al., 2019)</w:t>
      </w:r>
      <w:r w:rsidR="00DF1B2B">
        <w:fldChar w:fldCharType="end"/>
      </w:r>
      <w:r w:rsidR="00DF1B2B">
        <w:t xml:space="preserve">. For this reason, </w:t>
      </w:r>
      <w:r>
        <w:t>if no clinically significant differences in glycemia between dams arises, I propose</w:t>
      </w:r>
      <w:r w:rsidR="00DF1B2B">
        <w:t xml:space="preserve"> to use continuous glucose telemetry during pregnancy to collect 24-hours of continuous glucose measurements without the need for serial sampling</w:t>
      </w:r>
      <w:r>
        <w:t xml:space="preserve"> and reduction in maternal blood volume</w:t>
      </w:r>
      <w:r w:rsidR="00DF1B2B">
        <w:t xml:space="preserve">. </w:t>
      </w:r>
      <w:r w:rsidR="0085676B">
        <w:t xml:space="preserve">With the collaboration and expertise provided from the animal phenotyping core, implantable </w:t>
      </w:r>
      <w:r w:rsidR="00384B6A">
        <w:t xml:space="preserve">glucose telemetry units will be implanted into dams during early pregnancy. The telemetry units collect glucose data </w:t>
      </w:r>
      <w:r w:rsidR="00B211F9">
        <w:t xml:space="preserve">can collect data anywhere from 28 to </w:t>
      </w:r>
      <w:r w:rsidR="00384B6A">
        <w:t>45 days</w:t>
      </w:r>
      <w:r w:rsidR="00B211F9">
        <w:t>;</w:t>
      </w:r>
      <w:r w:rsidR="00384B6A">
        <w:t xml:space="preserve"> therefore, glycemia during the entire pregnancy can be captured with this implantable device. </w:t>
      </w:r>
    </w:p>
    <w:p w14:paraId="18AEB7ED" w14:textId="77777777" w:rsidR="00CC2456" w:rsidRDefault="00CC2456" w:rsidP="00B67A65">
      <w:pPr>
        <w:pStyle w:val="Heading3"/>
      </w:pPr>
      <w:bookmarkStart w:id="141" w:name="_Toc16185301"/>
    </w:p>
    <w:p w14:paraId="4CA93DEF" w14:textId="31655D08" w:rsidR="00926E95" w:rsidRPr="00F96DB1" w:rsidRDefault="00926E95" w:rsidP="00B67A65">
      <w:pPr>
        <w:pStyle w:val="Heading3"/>
      </w:pPr>
      <w:r w:rsidRPr="00F96DB1">
        <w:t>Energy Expenditure:</w:t>
      </w:r>
      <w:bookmarkEnd w:id="141"/>
    </w:p>
    <w:p w14:paraId="13B9E7E6" w14:textId="373B5191" w:rsidR="00926E95" w:rsidRPr="00F96DB1" w:rsidRDefault="002D7DCD" w:rsidP="00926E95">
      <w:pPr>
        <w:rPr>
          <w:rFonts w:cs="Times New Roman"/>
        </w:rPr>
      </w:pPr>
      <w:commentRangeStart w:id="142"/>
      <w:commentRangeStart w:id="143"/>
      <w:r>
        <w:rPr>
          <w:rFonts w:cs="Times New Roman"/>
        </w:rPr>
        <w:t>CLAMS</w:t>
      </w:r>
      <w:commentRangeEnd w:id="142"/>
      <w:r w:rsidR="00C50689">
        <w:rPr>
          <w:rStyle w:val="CommentReference"/>
        </w:rPr>
        <w:commentReference w:id="142"/>
      </w:r>
      <w:commentRangeEnd w:id="143"/>
      <w:r w:rsidR="00F628D5">
        <w:rPr>
          <w:rStyle w:val="CommentReference"/>
        </w:rPr>
        <w:commentReference w:id="143"/>
      </w:r>
    </w:p>
    <w:p w14:paraId="5E020F83" w14:textId="77777777" w:rsidR="00926E95" w:rsidRPr="00F96DB1" w:rsidRDefault="00926E95" w:rsidP="00B67A65">
      <w:pPr>
        <w:pStyle w:val="Heading3"/>
      </w:pPr>
      <w:bookmarkStart w:id="144" w:name="_Toc16185302"/>
      <w:r w:rsidRPr="00F96DB1">
        <w:t>Digestive Physiology:</w:t>
      </w:r>
      <w:bookmarkEnd w:id="144"/>
    </w:p>
    <w:p w14:paraId="28CFB8DE" w14:textId="5A4C2886" w:rsidR="00976A3C" w:rsidRDefault="0057571A" w:rsidP="00926E95">
      <w:pPr>
        <w:rPr>
          <w:rFonts w:cs="Times New Roman"/>
          <w:i/>
        </w:rPr>
      </w:pPr>
      <w:r>
        <w:rPr>
          <w:rFonts w:cs="Times New Roman"/>
          <w:i/>
        </w:rPr>
        <w:t>Energy Absorption</w:t>
      </w:r>
    </w:p>
    <w:p w14:paraId="33EE8174" w14:textId="7A48B854" w:rsidR="0057571A" w:rsidRPr="0057571A" w:rsidRDefault="0057571A" w:rsidP="00926E95">
      <w:pPr>
        <w:rPr>
          <w:rFonts w:cs="Times New Roman"/>
        </w:rPr>
      </w:pPr>
      <w:r>
        <w:rPr>
          <w:rFonts w:cs="Times New Roman"/>
        </w:rPr>
        <w:lastRenderedPageBreak/>
        <w:t>To determin</w:t>
      </w:r>
      <w:r w:rsidR="00C50689">
        <w:rPr>
          <w:rFonts w:cs="Times New Roman"/>
        </w:rPr>
        <w:t>e</w:t>
      </w:r>
      <w:r>
        <w:rPr>
          <w:rFonts w:cs="Times New Roman"/>
        </w:rPr>
        <w:t xml:space="preserve"> if there </w:t>
      </w:r>
      <w:r w:rsidR="00681D4E">
        <w:rPr>
          <w:rFonts w:cs="Times New Roman"/>
        </w:rPr>
        <w:t>exist</w:t>
      </w:r>
      <w:r>
        <w:rPr>
          <w:rFonts w:cs="Times New Roman"/>
        </w:rPr>
        <w:t xml:space="preserve"> any differences in the amounts of energy consumed from food consumed between </w:t>
      </w:r>
      <w:proofErr w:type="spellStart"/>
      <w:r>
        <w:rPr>
          <w:rFonts w:cs="Times New Roman"/>
        </w:rPr>
        <w:t>eTRF</w:t>
      </w:r>
      <w:proofErr w:type="spellEnd"/>
      <w:r>
        <w:rPr>
          <w:rFonts w:cs="Times New Roman"/>
        </w:rPr>
        <w:t xml:space="preserve"> dams and ad libitum fed dams, fecal calorimetry will be performed. Full 24-hour fecal samples will be collected from dams individually</w:t>
      </w:r>
      <w:r w:rsidR="00227796">
        <w:rPr>
          <w:rFonts w:cs="Times New Roman"/>
        </w:rPr>
        <w:t xml:space="preserve"> and </w:t>
      </w:r>
      <w:r w:rsidR="00C4112F">
        <w:rPr>
          <w:rFonts w:cs="Times New Roman"/>
        </w:rPr>
        <w:t xml:space="preserve">then </w:t>
      </w:r>
      <w:r w:rsidR="00227796">
        <w:rPr>
          <w:rFonts w:cs="Times New Roman"/>
        </w:rPr>
        <w:t xml:space="preserve">dried. Dried fecal matter will be </w:t>
      </w:r>
      <w:r w:rsidR="00D53715">
        <w:rPr>
          <w:rFonts w:cs="Times New Roman"/>
        </w:rPr>
        <w:t xml:space="preserve">assessed by a </w:t>
      </w:r>
      <w:r w:rsidR="00227796">
        <w:rPr>
          <w:rFonts w:cs="Times New Roman"/>
        </w:rPr>
        <w:t>bomb calorimeter to determine total energy content in the stool</w:t>
      </w:r>
      <w:r w:rsidR="00D53715">
        <w:rPr>
          <w:rFonts w:cs="Times New Roman"/>
        </w:rPr>
        <w:t xml:space="preserve"> as described by Murphy and colleagues </w:t>
      </w:r>
      <w:r w:rsidR="00D53715">
        <w:rPr>
          <w:rFonts w:cs="Times New Roman"/>
        </w:rPr>
        <w:fldChar w:fldCharType="begin"/>
      </w:r>
      <w:r w:rsidR="00D53715">
        <w:rPr>
          <w:rFonts w:cs="Times New Roman"/>
        </w:rPr>
        <w:instrText xml:space="preserve"> ADDIN ZOTERO_ITEM CSL_CITATION {"citationID":"U07ZZr5O","properties":{"formattedCitation":"(Murphy et al., 2010)","plainCitation":"(Murphy et al., 2010)","noteIndex":0},"citationItems":[{"id":32,"uris":["http://zotero.org/users/5073745/items/QARNRCJ7"],"uri":["http://zotero.org/users/5073745/items/QARNRCJ7"],"itemData":{"id":32,"type":"article-journal","title":"Composition and energy harvesting capacity of the gut microbiota: relationship to diet, obesity and time in mouse models","container-title":"Gut","page":"1635-1642","volume":"59","issue":"12","source":"gut-bmj-com.proxy.lib.umich.edu","abstract":"Background and Aims Increased efficiency of energy harvest, due to alterations in the gut microbiota (increased Firmicutes and decreased Bacteroidetes), has been implicated in obesity in mice and humans. However, a causal relationship is unproven and contributory variables include diet, genetics and age. Therefore, we explored the effect of a high-fat (HF) diet and genetically determined obesity (ob/ob) for changes in microbiota and energy harvesting capacity over time.\nMethods Seven-week-old male ob/ob mice were fed a low-fat diet and wild-type mice were fed either a low-fat diet or a HF-diet for 8 weeks (n=8/group). They were assessed at 7, 11 and 15 weeks of age for: fat and lean body mass (by NMR); faecal and caecal short-chain fatty acids (SCFA, by gas chromatography); faecal energy content (by bomb calorimetry) and microbial composition (by metagenomic pyrosequencing).\nResults A progressive increase in Firmicutes was confirmed in both HF-fed and ob/ob mice reaching statistical significance in the former, but this phylum was unchanged over time in the lean controls. Reductions in Bacteroidetes were also found in ob/ob mice. However, changes in the microbiota were dissociated from markers of energy harvest. Thus, although the faecal energy in the ob/ob mice was significantly decreased at 7 weeks, and caecal SCFA increased, these did not persist and faecal acetate diminished over time in both ob/ob and HF-fed mice, but not in lean controls. Furthermore, the proportion of the major phyla did not correlate with energy harvest markers.\nConclusion The relationship between the microbial composition and energy harvesting capacity is more complex than previously considered. While compositional changes in the faecal microbiota were confirmed, this was primarily a feature of high-fat feeding rather than genetically induced obesity. In addition, changes in the proportions of the major phyla were unrelated to markers of energy harvest which changed over time. The possibility of microbial adaptation to diet and time should be considered in future studies.","DOI":"10.1136/gut.2010.215665","ISSN":"0017-5749, 1468-3288","note":"PMID: 20926643","title-short":"Composition and energy harvesting capacity of the gut microbiota","language":"en","author":[{"family":"Murphy","given":"E. F."},{"family":"Cotter","given":"P. D."},{"family":"Healy","given":"S."},{"family":"Marques","given":"T. M."},{"family":"O'Sullivan","given":"O."},{"family":"Fouhy","given":"F."},{"family":"Clarke","given":"S. F."},{"family":"O'Toole","given":"P. W."},{"family":"Quigley","given":"E. M."},{"family":"Stanton","given":"C."},{"family":"Ross","given":"P. R."},{"family":"O'Doherty","given":"R. M."},{"family":"Shanahan","given":"F."}],"issued":{"date-parts":[["2010",12,1]]}}}],"schema":"https://github.com/citation-style-language/schema/raw/master/csl-citation.json"} </w:instrText>
      </w:r>
      <w:r w:rsidR="00D53715">
        <w:rPr>
          <w:rFonts w:cs="Times New Roman"/>
        </w:rPr>
        <w:fldChar w:fldCharType="separate"/>
      </w:r>
      <w:r w:rsidR="001916B7">
        <w:rPr>
          <w:rFonts w:cs="Times New Roman"/>
          <w:noProof/>
        </w:rPr>
        <w:t>(Murphy et al., 2010)</w:t>
      </w:r>
      <w:r w:rsidR="00D53715">
        <w:rPr>
          <w:rFonts w:cs="Times New Roman"/>
        </w:rPr>
        <w:fldChar w:fldCharType="end"/>
      </w:r>
      <w:r w:rsidR="00227796">
        <w:rPr>
          <w:rFonts w:cs="Times New Roman"/>
        </w:rPr>
        <w:t xml:space="preserve">. Results will be expressed as total energy intake for that day – energy found in stool. </w:t>
      </w:r>
    </w:p>
    <w:p w14:paraId="0A234B0D" w14:textId="4DD3032A" w:rsidR="00976A3C" w:rsidRPr="00976A3C" w:rsidRDefault="00976A3C" w:rsidP="00926E95">
      <w:pPr>
        <w:rPr>
          <w:rFonts w:cs="Times New Roman"/>
          <w:i/>
        </w:rPr>
      </w:pPr>
      <w:r w:rsidRPr="004B370A">
        <w:rPr>
          <w:rFonts w:cs="Times New Roman"/>
          <w:i/>
        </w:rPr>
        <w:t>Macronutrient absorption</w:t>
      </w:r>
      <w:r w:rsidR="00A57F80" w:rsidRPr="004B370A">
        <w:rPr>
          <w:rFonts w:cs="Times New Roman"/>
          <w:i/>
        </w:rPr>
        <w:t xml:space="preserve"> into portal circulation</w:t>
      </w:r>
    </w:p>
    <w:p w14:paraId="1019EDD5" w14:textId="77C6FBCC" w:rsidR="00926E95" w:rsidRDefault="00681D4E" w:rsidP="00926E95">
      <w:pPr>
        <w:rPr>
          <w:rFonts w:cs="Times New Roman"/>
        </w:rPr>
      </w:pPr>
      <w:r>
        <w:rPr>
          <w:rFonts w:cs="Times New Roman"/>
        </w:rPr>
        <w:t>macronutrient absorption</w:t>
      </w:r>
      <w:r w:rsidR="004A327E">
        <w:rPr>
          <w:rFonts w:cs="Times New Roman"/>
        </w:rPr>
        <w:t xml:space="preserve"> should be assessed in vivo. This can be accomplished through the use of </w:t>
      </w:r>
      <w:r w:rsidR="004A327E" w:rsidRPr="00A57F80">
        <w:rPr>
          <w:rFonts w:cs="Times New Roman"/>
          <w:i/>
        </w:rPr>
        <w:t>in situ</w:t>
      </w:r>
      <w:r w:rsidR="004A327E">
        <w:rPr>
          <w:rFonts w:cs="Times New Roman"/>
        </w:rPr>
        <w:t xml:space="preserve"> looping of the intestinal tract. Anaesthetized dams at </w:t>
      </w:r>
      <w:r w:rsidR="004A327E" w:rsidRPr="004B370A">
        <w:rPr>
          <w:rFonts w:cs="Times New Roman"/>
        </w:rPr>
        <w:t xml:space="preserve">day </w:t>
      </w:r>
      <w:r w:rsidR="00A57F80" w:rsidRPr="004B370A">
        <w:rPr>
          <w:rFonts w:cs="Times New Roman"/>
        </w:rPr>
        <w:t>1</w:t>
      </w:r>
      <w:r w:rsidR="004B370A" w:rsidRPr="004B370A">
        <w:rPr>
          <w:rFonts w:cs="Times New Roman"/>
        </w:rPr>
        <w:t>7.5</w:t>
      </w:r>
      <w:r w:rsidR="004A327E" w:rsidRPr="004B370A">
        <w:rPr>
          <w:rFonts w:cs="Times New Roman"/>
        </w:rPr>
        <w:t xml:space="preserve"> will have</w:t>
      </w:r>
      <w:r w:rsidR="004A327E">
        <w:rPr>
          <w:rFonts w:cs="Times New Roman"/>
        </w:rPr>
        <w:t xml:space="preserve"> two small incisions made on the abdomen</w:t>
      </w:r>
      <w:r w:rsidR="00C4112F">
        <w:rPr>
          <w:rFonts w:cs="Times New Roman"/>
        </w:rPr>
        <w:t>,</w:t>
      </w:r>
      <w:r w:rsidR="004A327E">
        <w:rPr>
          <w:rFonts w:cs="Times New Roman"/>
        </w:rPr>
        <w:t xml:space="preserve"> and </w:t>
      </w:r>
      <w:r w:rsidR="00C4112F">
        <w:rPr>
          <w:rFonts w:cs="Times New Roman"/>
        </w:rPr>
        <w:t>peritoneal cavity will be</w:t>
      </w:r>
      <w:r w:rsidR="004A327E">
        <w:rPr>
          <w:rFonts w:cs="Times New Roman"/>
        </w:rPr>
        <w:t xml:space="preserve"> flushed with PBS. A proximal </w:t>
      </w:r>
      <w:proofErr w:type="spellStart"/>
      <w:r w:rsidR="004A327E">
        <w:rPr>
          <w:rFonts w:cs="Times New Roman"/>
        </w:rPr>
        <w:t>jejeunal</w:t>
      </w:r>
      <w:proofErr w:type="spellEnd"/>
      <w:r w:rsidR="004A327E">
        <w:rPr>
          <w:rFonts w:cs="Times New Roman"/>
        </w:rPr>
        <w:t xml:space="preserve"> loop will be made and a mixture </w:t>
      </w:r>
      <w:proofErr w:type="gramStart"/>
      <w:r w:rsidR="004A327E">
        <w:rPr>
          <w:rFonts w:cs="Times New Roman"/>
        </w:rPr>
        <w:t xml:space="preserve">of </w:t>
      </w:r>
      <w:r w:rsidR="00C4112F">
        <w:rPr>
          <w:rFonts w:cs="Times New Roman"/>
        </w:rPr>
        <w:t xml:space="preserve"> PBS</w:t>
      </w:r>
      <w:proofErr w:type="gramEnd"/>
      <w:r w:rsidR="00C4112F">
        <w:rPr>
          <w:rFonts w:cs="Times New Roman"/>
        </w:rPr>
        <w:t>/radiolabeled macronutrient solution (</w:t>
      </w:r>
      <w:commentRangeStart w:id="145"/>
      <w:r w:rsidR="004A327E">
        <w:rPr>
          <w:rFonts w:cs="Times New Roman"/>
        </w:rPr>
        <w:t>PBS/ [</w:t>
      </w:r>
      <w:r w:rsidR="004A327E" w:rsidRPr="004A327E">
        <w:rPr>
          <w:rFonts w:cs="Times New Roman"/>
          <w:vertAlign w:val="superscript"/>
        </w:rPr>
        <w:t>3</w:t>
      </w:r>
      <w:r w:rsidR="004A327E">
        <w:rPr>
          <w:rFonts w:cs="Times New Roman"/>
        </w:rPr>
        <w:t xml:space="preserve">H] </w:t>
      </w:r>
      <w:proofErr w:type="spellStart"/>
      <w:r w:rsidR="004A327E">
        <w:rPr>
          <w:rFonts w:cs="Times New Roman"/>
        </w:rPr>
        <w:t>Triolein</w:t>
      </w:r>
      <w:proofErr w:type="spellEnd"/>
      <w:r w:rsidR="004A327E">
        <w:rPr>
          <w:rFonts w:cs="Times New Roman"/>
        </w:rPr>
        <w:t>/[</w:t>
      </w:r>
      <w:r w:rsidR="004A327E" w:rsidRPr="004A327E">
        <w:rPr>
          <w:rFonts w:cs="Times New Roman"/>
          <w:vertAlign w:val="superscript"/>
        </w:rPr>
        <w:t>14</w:t>
      </w:r>
      <w:r w:rsidR="004A327E">
        <w:rPr>
          <w:rFonts w:cs="Times New Roman"/>
        </w:rPr>
        <w:t>C] Cholesterol and cholesterol</w:t>
      </w:r>
      <w:r w:rsidR="00C428FD">
        <w:rPr>
          <w:rFonts w:cs="Times New Roman"/>
        </w:rPr>
        <w:t xml:space="preserve"> for lipid absorption</w:t>
      </w:r>
      <w:r w:rsidR="00C4112F">
        <w:rPr>
          <w:rFonts w:cs="Times New Roman"/>
        </w:rPr>
        <w:t xml:space="preserve">, </w:t>
      </w:r>
      <w:r w:rsidR="00C428FD">
        <w:rPr>
          <w:rFonts w:cs="Times New Roman"/>
        </w:rPr>
        <w:t>and [</w:t>
      </w:r>
      <w:r w:rsidR="00C428FD" w:rsidRPr="004A327E">
        <w:rPr>
          <w:rFonts w:cs="Times New Roman"/>
          <w:vertAlign w:val="superscript"/>
        </w:rPr>
        <w:t>14</w:t>
      </w:r>
      <w:r w:rsidR="00C428FD">
        <w:rPr>
          <w:rFonts w:cs="Times New Roman"/>
        </w:rPr>
        <w:t xml:space="preserve">C] alpha </w:t>
      </w:r>
      <w:proofErr w:type="spellStart"/>
      <w:r w:rsidR="00C428FD">
        <w:rPr>
          <w:rFonts w:cs="Times New Roman"/>
        </w:rPr>
        <w:t>Methylglucoside</w:t>
      </w:r>
      <w:proofErr w:type="spellEnd"/>
      <w:r w:rsidR="00C428FD">
        <w:rPr>
          <w:rFonts w:cs="Times New Roman"/>
        </w:rPr>
        <w:t xml:space="preserve"> (</w:t>
      </w:r>
      <w:r w:rsidR="00C428FD">
        <w:rPr>
          <w:rFonts w:cs="Times New Roman"/>
        </w:rPr>
        <w:sym w:font="Symbol" w:char="F061"/>
      </w:r>
      <w:r w:rsidR="00C428FD">
        <w:rPr>
          <w:rFonts w:cs="Times New Roman"/>
        </w:rPr>
        <w:t>MG) for carbohydrates, and [</w:t>
      </w:r>
      <w:r w:rsidR="00C428FD">
        <w:rPr>
          <w:rFonts w:cs="Times New Roman"/>
          <w:vertAlign w:val="superscript"/>
        </w:rPr>
        <w:t>3</w:t>
      </w:r>
      <w:r w:rsidR="00C428FD">
        <w:rPr>
          <w:rFonts w:cs="Times New Roman"/>
        </w:rPr>
        <w:t>H]</w:t>
      </w:r>
      <w:proofErr w:type="spellStart"/>
      <w:r w:rsidR="00C428FD">
        <w:rPr>
          <w:rFonts w:cs="Times New Roman"/>
        </w:rPr>
        <w:t>glycylsarcosine</w:t>
      </w:r>
      <w:proofErr w:type="spellEnd"/>
      <w:r w:rsidR="00C428FD">
        <w:rPr>
          <w:rFonts w:cs="Times New Roman"/>
        </w:rPr>
        <w:t xml:space="preserve"> (</w:t>
      </w:r>
      <w:proofErr w:type="spellStart"/>
      <w:r w:rsidR="00C428FD">
        <w:rPr>
          <w:rFonts w:cs="Times New Roman"/>
        </w:rPr>
        <w:t>gly-sar</w:t>
      </w:r>
      <w:proofErr w:type="spellEnd"/>
      <w:r w:rsidR="00C428FD">
        <w:rPr>
          <w:rFonts w:cs="Times New Roman"/>
        </w:rPr>
        <w:t>)</w:t>
      </w:r>
      <w:commentRangeEnd w:id="145"/>
      <w:r w:rsidR="00C428FD">
        <w:rPr>
          <w:rStyle w:val="CommentReference"/>
        </w:rPr>
        <w:commentReference w:id="145"/>
      </w:r>
      <w:r w:rsidR="00C428FD">
        <w:rPr>
          <w:rFonts w:cs="Times New Roman"/>
        </w:rPr>
        <w:t xml:space="preserve"> for protein</w:t>
      </w:r>
      <w:r w:rsidR="00C4112F">
        <w:rPr>
          <w:rFonts w:cs="Times New Roman"/>
        </w:rPr>
        <w:t>)</w:t>
      </w:r>
      <w:r w:rsidR="00E7221B">
        <w:rPr>
          <w:rFonts w:cs="Times New Roman"/>
        </w:rPr>
        <w:t xml:space="preserve"> will be introduced to the lumen of the loop via </w:t>
      </w:r>
      <w:proofErr w:type="spellStart"/>
      <w:r w:rsidR="00E7221B">
        <w:rPr>
          <w:rFonts w:cs="Times New Roman"/>
        </w:rPr>
        <w:t>microsyringe</w:t>
      </w:r>
      <w:proofErr w:type="spellEnd"/>
      <w:r w:rsidR="00E7221B">
        <w:rPr>
          <w:rFonts w:cs="Times New Roman"/>
        </w:rPr>
        <w:t>. After 1</w:t>
      </w:r>
      <w:r w:rsidR="00C4112F">
        <w:rPr>
          <w:rFonts w:cs="Times New Roman"/>
        </w:rPr>
        <w:t>-</w:t>
      </w:r>
      <w:r w:rsidR="00E7221B">
        <w:rPr>
          <w:rFonts w:cs="Times New Roman"/>
        </w:rPr>
        <w:t>hour elapses, loops will be collected a</w:t>
      </w:r>
      <w:r w:rsidR="00C4112F">
        <w:rPr>
          <w:rFonts w:cs="Times New Roman"/>
        </w:rPr>
        <w:t xml:space="preserve">s well as </w:t>
      </w:r>
      <w:r w:rsidR="009C66F1">
        <w:rPr>
          <w:rFonts w:cs="Times New Roman"/>
        </w:rPr>
        <w:t>blood</w:t>
      </w:r>
      <w:r w:rsidR="00C428FD">
        <w:rPr>
          <w:rFonts w:cs="Times New Roman"/>
        </w:rPr>
        <w:t xml:space="preserve"> samples</w:t>
      </w:r>
      <w:r w:rsidR="009C66F1">
        <w:rPr>
          <w:rFonts w:cs="Times New Roman"/>
        </w:rPr>
        <w:t xml:space="preserve"> from the portal vein. </w:t>
      </w:r>
      <w:r w:rsidR="00C428FD">
        <w:rPr>
          <w:rFonts w:cs="Times New Roman"/>
        </w:rPr>
        <w:t>Blood will then be centrifuged at 4 degrees C at 5000 RCF for 20 minutes to collect serum. Serum will be analy</w:t>
      </w:r>
      <w:r w:rsidR="00E313DC">
        <w:rPr>
          <w:rFonts w:cs="Times New Roman"/>
        </w:rPr>
        <w:t>z</w:t>
      </w:r>
      <w:r w:rsidR="00C428FD">
        <w:rPr>
          <w:rFonts w:cs="Times New Roman"/>
        </w:rPr>
        <w:t xml:space="preserve">ed by scintillation counter to </w:t>
      </w:r>
      <w:r w:rsidR="00E313DC">
        <w:rPr>
          <w:rFonts w:cs="Times New Roman"/>
        </w:rPr>
        <w:t xml:space="preserve">quantify nutrient absorption into portal circulation. </w:t>
      </w:r>
    </w:p>
    <w:p w14:paraId="2A149053" w14:textId="64E6D862" w:rsidR="00E77202" w:rsidRDefault="00E77202" w:rsidP="005F3C68">
      <w:pPr>
        <w:pStyle w:val="Heading3"/>
      </w:pPr>
    </w:p>
    <w:p w14:paraId="1840669A" w14:textId="7EB4E349" w:rsidR="00E77202" w:rsidRPr="00A33C49" w:rsidRDefault="00A33C49" w:rsidP="00DA7459">
      <w:pPr>
        <w:rPr>
          <w:rStyle w:val="SubtleEmphasis"/>
          <w:b/>
          <w:i w:val="0"/>
          <w:color w:val="000000" w:themeColor="text1"/>
          <w:sz w:val="28"/>
          <w:szCs w:val="28"/>
        </w:rPr>
      </w:pPr>
      <w:r w:rsidRPr="00A33C49">
        <w:rPr>
          <w:rStyle w:val="SubtleEmphasis"/>
          <w:b/>
          <w:i w:val="0"/>
          <w:color w:val="000000" w:themeColor="text1"/>
          <w:sz w:val="28"/>
          <w:szCs w:val="28"/>
        </w:rPr>
        <w:t>Potential Pitfalls and Alternative</w:t>
      </w:r>
      <w:r w:rsidR="00955141">
        <w:rPr>
          <w:rStyle w:val="SubtleEmphasis"/>
          <w:b/>
          <w:i w:val="0"/>
          <w:color w:val="000000" w:themeColor="text1"/>
          <w:sz w:val="28"/>
          <w:szCs w:val="28"/>
        </w:rPr>
        <w:t xml:space="preserve"> Approaches</w:t>
      </w:r>
    </w:p>
    <w:p w14:paraId="27D05931" w14:textId="2AF0A1B5" w:rsidR="00DF6206" w:rsidRDefault="00DF6206" w:rsidP="00DA7459">
      <w:pPr>
        <w:rPr>
          <w:rStyle w:val="SubtleEmphasis"/>
          <w:color w:val="000000" w:themeColor="text1"/>
          <w:u w:val="single"/>
        </w:rPr>
      </w:pPr>
      <w:r w:rsidRPr="00DF6206">
        <w:rPr>
          <w:rStyle w:val="SubtleEmphasis"/>
          <w:color w:val="000000" w:themeColor="text1"/>
          <w:u w:val="single"/>
        </w:rPr>
        <w:t>Fertility-specific pitfalls</w:t>
      </w:r>
    </w:p>
    <w:p w14:paraId="6C786236" w14:textId="02D3183E" w:rsidR="00DF6206" w:rsidRDefault="00DF6206" w:rsidP="00DA7459">
      <w:pPr>
        <w:rPr>
          <w:rStyle w:val="SubtleEmphasis"/>
          <w:i w:val="0"/>
          <w:color w:val="000000" w:themeColor="text1"/>
        </w:rPr>
      </w:pPr>
      <w:r>
        <w:rPr>
          <w:rStyle w:val="SubtleEmphasis"/>
          <w:i w:val="0"/>
          <w:color w:val="000000" w:themeColor="text1"/>
        </w:rPr>
        <w:t xml:space="preserve">Due to the restrictive nature of this feeding regimen, we may observe reduced litter size or litter numbers in </w:t>
      </w:r>
      <w:proofErr w:type="spellStart"/>
      <w:r>
        <w:rPr>
          <w:rStyle w:val="SubtleEmphasis"/>
          <w:i w:val="0"/>
          <w:color w:val="000000" w:themeColor="text1"/>
        </w:rPr>
        <w:t>eTRF</w:t>
      </w:r>
      <w:proofErr w:type="spellEnd"/>
      <w:r>
        <w:rPr>
          <w:rStyle w:val="SubtleEmphasis"/>
          <w:i w:val="0"/>
          <w:color w:val="000000" w:themeColor="text1"/>
        </w:rPr>
        <w:t xml:space="preserve"> fed dams. If this becomes apparent, further examining the reason for reduced pups and litters will be of great importance. It could be that the reduction in litters is behavioral, in that there is reduced mating drive in mating pairs exposed to </w:t>
      </w:r>
      <w:proofErr w:type="spellStart"/>
      <w:r>
        <w:rPr>
          <w:rStyle w:val="SubtleEmphasis"/>
          <w:i w:val="0"/>
          <w:color w:val="000000" w:themeColor="text1"/>
        </w:rPr>
        <w:t>eTRF</w:t>
      </w:r>
      <w:proofErr w:type="spellEnd"/>
      <w:r>
        <w:rPr>
          <w:rStyle w:val="SubtleEmphasis"/>
          <w:i w:val="0"/>
          <w:color w:val="000000" w:themeColor="text1"/>
        </w:rPr>
        <w:t xml:space="preserve">. Swamy and colleagues noted that implantations were not reduced in chrono-disrupted mating pairs, but fewer plugs and litters resulted in their union. To test if the problem is implantation related – staining of dams’ uteri </w:t>
      </w:r>
      <w:r w:rsidRPr="00F21DE2">
        <w:rPr>
          <w:rStyle w:val="SubtleEmphasis"/>
          <w:color w:val="000000" w:themeColor="text1"/>
        </w:rPr>
        <w:t>p</w:t>
      </w:r>
      <w:r w:rsidR="00F21DE2" w:rsidRPr="00F21DE2">
        <w:rPr>
          <w:rStyle w:val="SubtleEmphasis"/>
          <w:color w:val="000000" w:themeColor="text1"/>
        </w:rPr>
        <w:t xml:space="preserve">ost </w:t>
      </w:r>
      <w:proofErr w:type="spellStart"/>
      <w:r w:rsidR="00F21DE2" w:rsidRPr="00F21DE2">
        <w:rPr>
          <w:rStyle w:val="SubtleEmphasis"/>
          <w:color w:val="000000" w:themeColor="text1"/>
        </w:rPr>
        <w:t>mortum</w:t>
      </w:r>
      <w:proofErr w:type="spellEnd"/>
      <w:r>
        <w:rPr>
          <w:rStyle w:val="SubtleEmphasis"/>
          <w:i w:val="0"/>
          <w:color w:val="000000" w:themeColor="text1"/>
        </w:rPr>
        <w:t xml:space="preserve"> for implantations will be critical. If implantations largely </w:t>
      </w:r>
      <w:proofErr w:type="spellStart"/>
      <w:r>
        <w:rPr>
          <w:rStyle w:val="SubtleEmphasis"/>
          <w:i w:val="0"/>
          <w:color w:val="000000" w:themeColor="text1"/>
        </w:rPr>
        <w:t>corre</w:t>
      </w:r>
      <w:r w:rsidR="00F21DE2">
        <w:rPr>
          <w:rStyle w:val="SubtleEmphasis"/>
          <w:i w:val="0"/>
          <w:color w:val="000000" w:themeColor="text1"/>
        </w:rPr>
        <w:t>l</w:t>
      </w:r>
      <w:r>
        <w:rPr>
          <w:rStyle w:val="SubtleEmphasis"/>
          <w:i w:val="0"/>
          <w:color w:val="000000" w:themeColor="text1"/>
        </w:rPr>
        <w:t>lates</w:t>
      </w:r>
      <w:proofErr w:type="spellEnd"/>
      <w:r>
        <w:rPr>
          <w:rStyle w:val="SubtleEmphasis"/>
          <w:i w:val="0"/>
          <w:color w:val="000000" w:themeColor="text1"/>
        </w:rPr>
        <w:t xml:space="preserve"> with number of pups produced per dam, it will be necessary to observe and characterize mating behavior and frequency. </w:t>
      </w:r>
    </w:p>
    <w:p w14:paraId="5B761D6D" w14:textId="2FE42F27" w:rsidR="00F21DE2" w:rsidRPr="00F21DE2" w:rsidRDefault="00F21DE2" w:rsidP="00DA7459">
      <w:pPr>
        <w:rPr>
          <w:rStyle w:val="SubtleEmphasis"/>
          <w:color w:val="000000" w:themeColor="text1"/>
          <w:u w:val="single"/>
        </w:rPr>
      </w:pPr>
      <w:r w:rsidRPr="00F21DE2">
        <w:rPr>
          <w:rStyle w:val="SubtleEmphasis"/>
          <w:color w:val="000000" w:themeColor="text1"/>
          <w:u w:val="single"/>
        </w:rPr>
        <w:t xml:space="preserve">Maternal </w:t>
      </w:r>
      <w:r>
        <w:rPr>
          <w:rStyle w:val="SubtleEmphasis"/>
          <w:color w:val="000000" w:themeColor="text1"/>
          <w:u w:val="single"/>
        </w:rPr>
        <w:t xml:space="preserve">nurturing </w:t>
      </w:r>
      <w:r w:rsidRPr="00F21DE2">
        <w:rPr>
          <w:rStyle w:val="SubtleEmphasis"/>
          <w:color w:val="000000" w:themeColor="text1"/>
          <w:u w:val="single"/>
        </w:rPr>
        <w:t>behavioral pitfalls</w:t>
      </w:r>
    </w:p>
    <w:p w14:paraId="1F40BD8B" w14:textId="69E3EF22" w:rsidR="00F21DE2" w:rsidRPr="00F21DE2" w:rsidRDefault="00F21DE2" w:rsidP="00DA7459">
      <w:pPr>
        <w:rPr>
          <w:rStyle w:val="SubtleEmphasis"/>
          <w:i w:val="0"/>
          <w:color w:val="000000" w:themeColor="text1"/>
        </w:rPr>
      </w:pPr>
      <w:r>
        <w:rPr>
          <w:rStyle w:val="SubtleEmphasis"/>
          <w:i w:val="0"/>
          <w:color w:val="000000" w:themeColor="text1"/>
        </w:rPr>
        <w:t>Maternal behavior is a critical modulator in both maternal and offspring health. In mice, it is known that there is a risk of cannibalism of offspring</w:t>
      </w:r>
      <w:r>
        <w:rPr>
          <w:rStyle w:val="SubtleEmphasis"/>
          <w:i w:val="0"/>
          <w:color w:val="000000" w:themeColor="text1"/>
        </w:rPr>
        <w:fldChar w:fldCharType="begin"/>
      </w:r>
      <w:r>
        <w:rPr>
          <w:rStyle w:val="SubtleEmphasis"/>
          <w:i w:val="0"/>
          <w:color w:val="000000" w:themeColor="text1"/>
        </w:rPr>
        <w:instrText xml:space="preserve"> ADDIN ZOTERO_ITEM CSL_CITATION {"citationID":"DXTYSth9","properties":{"formattedCitation":"(Weber, Algers, W\\uc0\\u252{}rbel, Hultgren, &amp; Olsson, 2013)","plainCitation":"(Weber, Algers, Würbel, Hultgren, &amp; Olsson, 2013)","noteIndex":0},"citationItems":[{"id":207,"uris":["http://zotero.org/users/5073745/items/F6QYTZG8"],"uri":["http://zotero.org/users/5073745/items/F6QYTZG8"],"itemData":{"id":207,"type":"article-journal","title":"Influence of Strain and Parity on the Risk of Litter Loss in Laboratory Mice","container-title":"Reproduction in Domestic Animals","page":"292-296","volume":"48","issue":"2","source":"Wiley Online Library","abstract":"Contents Pup mortality is a considerable problem in laboratory mouse breeding and the view that parity influence survival of newborn mice is widespread. Some evidence suggests that maternal behaviour is related to offspring mortality in mice. Parental experience is a factor that can improve maternal behaviour and offspring survival in some mammals. However, few papers report a relationship between parity and pup survival in mice. We investigated the influence of strain and parity on loss of entire litters of C57BL/6 and BALB/c mice using data from a breeding colony. In total, 344 C57BL/6 and 146 BALB/c litters were included. We found a considerable mortality rate for both strains: 32% of C57BL/6 litters and 20% for BALB/c litters were lost. There was a significant difference in survival of the first litter between strains, with 3.6 times higher odds of mortality in C57BL/6 mice (p = 0.0028). Parity or previous parental experience of litter loss did, however, not affect litter loss. The scientific literature does not provide a clear picture of perinatal mortality in laboratory mice. Very few studies report perinatal mortality, and only a handful of papers exist where mortality was systematically studied; this area is thus poorly understood. If perinatal mortality in mice is not recognized and investigated, but instead considered normal when breeding mice, a serious welfare problem might be overlooked.","DOI":"10.1111/j.1439-0531.2012.02147.x","ISSN":"1439-0531","language":"en","author":[{"family":"Weber","given":"E. M."},{"family":"Algers","given":"B."},{"family":"Würbel","given":"H."},{"family":"Hultgren","given":"J."},{"family":"Olsson","given":"I. a. S."}],"issued":{"date-parts":[["2013"]]}}}],"schema":"https://github.com/citation-style-language/schema/raw/master/csl-citation.json"} </w:instrText>
      </w:r>
      <w:r>
        <w:rPr>
          <w:rStyle w:val="SubtleEmphasis"/>
          <w:i w:val="0"/>
          <w:color w:val="000000" w:themeColor="text1"/>
        </w:rPr>
        <w:fldChar w:fldCharType="separate"/>
      </w:r>
      <w:r w:rsidRPr="00F21DE2">
        <w:rPr>
          <w:rFonts w:cs="Times New Roman"/>
          <w:color w:val="000000"/>
        </w:rPr>
        <w:t>(Weber, Algers, Würbel, Hultgren, &amp; Olsson, 2013)</w:t>
      </w:r>
      <w:r>
        <w:rPr>
          <w:rStyle w:val="SubtleEmphasis"/>
          <w:i w:val="0"/>
          <w:color w:val="000000" w:themeColor="text1"/>
        </w:rPr>
        <w:fldChar w:fldCharType="end"/>
      </w:r>
      <w:r>
        <w:rPr>
          <w:rStyle w:val="SubtleEmphasis"/>
          <w:i w:val="0"/>
          <w:color w:val="000000" w:themeColor="text1"/>
        </w:rPr>
        <w:t xml:space="preserve">. Unfortunately, this effect is largely unavoidable, in that C57BL/6J mice are known to partake in this behavior. In order to minimize this effect, handling of pups for counting and weighing will be minimal and animals who are not nulliparous will be used as breeders, in the hopes of maternal instinct being more developed after having had one litter before mating under </w:t>
      </w:r>
      <w:proofErr w:type="spellStart"/>
      <w:r>
        <w:rPr>
          <w:rStyle w:val="SubtleEmphasis"/>
          <w:i w:val="0"/>
          <w:color w:val="000000" w:themeColor="text1"/>
        </w:rPr>
        <w:t>eTRF</w:t>
      </w:r>
      <w:proofErr w:type="spellEnd"/>
      <w:r>
        <w:rPr>
          <w:rStyle w:val="SubtleEmphasis"/>
          <w:i w:val="0"/>
          <w:color w:val="000000" w:themeColor="text1"/>
        </w:rPr>
        <w:t xml:space="preserve"> or AL conditions. </w:t>
      </w:r>
    </w:p>
    <w:p w14:paraId="27230187" w14:textId="328123A2" w:rsidR="00DF6206" w:rsidRPr="00DF6206" w:rsidRDefault="00DF6206" w:rsidP="00DA7459">
      <w:pPr>
        <w:rPr>
          <w:rStyle w:val="SubtleEmphasis"/>
          <w:color w:val="000000" w:themeColor="text1"/>
          <w:u w:val="single"/>
        </w:rPr>
      </w:pPr>
      <w:r w:rsidRPr="00DF6206">
        <w:rPr>
          <w:rStyle w:val="SubtleEmphasis"/>
          <w:color w:val="000000" w:themeColor="text1"/>
          <w:u w:val="single"/>
        </w:rPr>
        <w:t>Null Findings</w:t>
      </w:r>
    </w:p>
    <w:p w14:paraId="6426C27A" w14:textId="61E192BB" w:rsidR="00DF6206" w:rsidRDefault="00DF6206" w:rsidP="00DA7459">
      <w:pPr>
        <w:rPr>
          <w:rStyle w:val="SubtleEmphasis"/>
          <w:i w:val="0"/>
          <w:color w:val="000000" w:themeColor="text1"/>
        </w:rPr>
      </w:pPr>
      <w:r>
        <w:rPr>
          <w:rStyle w:val="SubtleEmphasis"/>
          <w:i w:val="0"/>
          <w:color w:val="000000" w:themeColor="text1"/>
        </w:rPr>
        <w:t xml:space="preserve">Although there is an anticipated insulin-sensitive and normal body composition phenotype, it may be that </w:t>
      </w:r>
      <w:proofErr w:type="spellStart"/>
      <w:r>
        <w:rPr>
          <w:rStyle w:val="SubtleEmphasis"/>
          <w:i w:val="0"/>
          <w:color w:val="000000" w:themeColor="text1"/>
        </w:rPr>
        <w:t>eTRF</w:t>
      </w:r>
      <w:proofErr w:type="spellEnd"/>
      <w:r>
        <w:rPr>
          <w:rStyle w:val="SubtleEmphasis"/>
          <w:i w:val="0"/>
          <w:color w:val="000000" w:themeColor="text1"/>
        </w:rPr>
        <w:t xml:space="preserve"> fails to impart any effect on fertility, feeding, body composition, and maternal insulin sensitivity. If this is found, it will still be of great public health importance, as there would be no preliminary evidence to suggest harm for mother or child when the dyad observes this feeding paradigm. </w:t>
      </w:r>
      <w:r w:rsidR="00955141">
        <w:rPr>
          <w:rStyle w:val="SubtleEmphasis"/>
          <w:i w:val="0"/>
          <w:color w:val="000000" w:themeColor="text1"/>
        </w:rPr>
        <w:t xml:space="preserve">This would require further experimentation and </w:t>
      </w:r>
      <w:r w:rsidR="00F21DE2">
        <w:rPr>
          <w:rStyle w:val="SubtleEmphasis"/>
          <w:i w:val="0"/>
          <w:color w:val="000000" w:themeColor="text1"/>
        </w:rPr>
        <w:t xml:space="preserve">phenotyping to confirm. </w:t>
      </w:r>
    </w:p>
    <w:p w14:paraId="7EC0ED89" w14:textId="27DA8588" w:rsidR="00F21DE2" w:rsidRPr="00F21DE2" w:rsidRDefault="00F21DE2" w:rsidP="00A06EE7">
      <w:pPr>
        <w:rPr>
          <w:rStyle w:val="SubtleEmphasis"/>
          <w:color w:val="000000" w:themeColor="text1"/>
          <w:u w:val="single"/>
        </w:rPr>
      </w:pPr>
      <w:r w:rsidRPr="00F21DE2">
        <w:rPr>
          <w:rStyle w:val="SubtleEmphasis"/>
          <w:color w:val="000000" w:themeColor="text1"/>
          <w:u w:val="single"/>
        </w:rPr>
        <w:t>Circadian rhythm of hormones</w:t>
      </w:r>
      <w:r>
        <w:rPr>
          <w:rStyle w:val="SubtleEmphasis"/>
          <w:color w:val="000000" w:themeColor="text1"/>
          <w:u w:val="single"/>
        </w:rPr>
        <w:t xml:space="preserve"> and metabolism</w:t>
      </w:r>
    </w:p>
    <w:p w14:paraId="0C07135D" w14:textId="53B2EE1B" w:rsidR="001E0AFA" w:rsidRPr="004B370A" w:rsidRDefault="00F21DE2" w:rsidP="00F21DE2">
      <w:pPr>
        <w:rPr>
          <w:rStyle w:val="SubtleEmphasis"/>
          <w:i w:val="0"/>
          <w:color w:val="000000" w:themeColor="text1"/>
        </w:rPr>
      </w:pPr>
      <w:r>
        <w:rPr>
          <w:rStyle w:val="SubtleEmphasis"/>
          <w:i w:val="0"/>
          <w:color w:val="000000" w:themeColor="text1"/>
        </w:rPr>
        <w:t xml:space="preserve">As much of metabolism and humoral release is coordinated by the circadian clock system, the timing of samples must be considered. Because continuous sampling for blood is impractical and </w:t>
      </w:r>
      <w:r>
        <w:rPr>
          <w:rStyle w:val="SubtleEmphasis"/>
          <w:i w:val="0"/>
          <w:color w:val="000000" w:themeColor="text1"/>
        </w:rPr>
        <w:lastRenderedPageBreak/>
        <w:t xml:space="preserve">create hypovolemic stress for both the dam and the gestating offspring, beginning the sampling for hormones, glucose, and other candidates must first be undertaken as static measures. If there is a circadian pattern to the effect of </w:t>
      </w:r>
      <w:proofErr w:type="spellStart"/>
      <w:r>
        <w:rPr>
          <w:rStyle w:val="SubtleEmphasis"/>
          <w:i w:val="0"/>
          <w:color w:val="000000" w:themeColor="text1"/>
        </w:rPr>
        <w:t>eTRF</w:t>
      </w:r>
      <w:proofErr w:type="spellEnd"/>
      <w:r>
        <w:rPr>
          <w:rStyle w:val="SubtleEmphasis"/>
          <w:i w:val="0"/>
          <w:color w:val="000000" w:themeColor="text1"/>
        </w:rPr>
        <w:t xml:space="preserve">, like there is known to be for cortisol, a morning and evening sample should be compared. If the diurnal relationship for these indices is unclear with two samples, then continuous sampling may need to be employed. The use of glucose or blood pressure telemetry can help to give a more accurate picture of the circadian rhythm of hormone and metabolism. However, as these methodologies are costly and may exert additional stress on recently impregnated dam, this method will be employed only if necessary to clarify the effects of </w:t>
      </w:r>
      <w:proofErr w:type="spellStart"/>
      <w:r>
        <w:rPr>
          <w:rStyle w:val="SubtleEmphasis"/>
          <w:i w:val="0"/>
          <w:color w:val="000000" w:themeColor="text1"/>
        </w:rPr>
        <w:t>eTRF</w:t>
      </w:r>
      <w:proofErr w:type="spellEnd"/>
      <w:r>
        <w:rPr>
          <w:rStyle w:val="SubtleEmphasis"/>
          <w:i w:val="0"/>
          <w:color w:val="000000" w:themeColor="text1"/>
        </w:rPr>
        <w:t xml:space="preserve">. </w:t>
      </w:r>
      <w:r w:rsidR="000751BB">
        <w:rPr>
          <w:rStyle w:val="SubtleEmphasis"/>
          <w:i w:val="0"/>
          <w:color w:val="000000" w:themeColor="text1"/>
        </w:rPr>
        <w:t xml:space="preserve"> </w:t>
      </w:r>
    </w:p>
    <w:p w14:paraId="40AE625C" w14:textId="77777777" w:rsidR="00725CF0" w:rsidRDefault="00725CF0" w:rsidP="00725CF0">
      <w:pPr>
        <w:rPr>
          <w:rStyle w:val="SubtleEmphasis"/>
          <w:i w:val="0"/>
        </w:rPr>
      </w:pPr>
      <w:r>
        <w:rPr>
          <w:rStyle w:val="SubtleEmphasis"/>
          <w:i w:val="0"/>
        </w:rPr>
        <w:br w:type="page"/>
      </w:r>
    </w:p>
    <w:p w14:paraId="07413025" w14:textId="77777777" w:rsidR="00A83D7B" w:rsidRPr="00A83D7B" w:rsidRDefault="00A83D7B" w:rsidP="00A83D7B">
      <w:pPr>
        <w:pStyle w:val="Bibliography"/>
        <w:rPr>
          <w:rFonts w:cs="Times New Roman"/>
          <w:color w:val="808080"/>
        </w:rPr>
      </w:pPr>
      <w:r>
        <w:rPr>
          <w:rStyle w:val="SubtleEmphasis"/>
          <w:i w:val="0"/>
        </w:rPr>
        <w:lastRenderedPageBreak/>
        <w:fldChar w:fldCharType="begin"/>
      </w:r>
      <w:r>
        <w:rPr>
          <w:rStyle w:val="SubtleEmphasis"/>
          <w:i w:val="0"/>
        </w:rPr>
        <w:instrText xml:space="preserve"> ADDIN ZOTERO_BIBL {"uncited":[],"omitted":[],"custom":[]} CSL_BIBLIOGRAPHY </w:instrText>
      </w:r>
      <w:r>
        <w:rPr>
          <w:rStyle w:val="SubtleEmphasis"/>
          <w:i w:val="0"/>
        </w:rPr>
        <w:fldChar w:fldCharType="separate"/>
      </w:r>
      <w:r w:rsidRPr="00A83D7B">
        <w:rPr>
          <w:rFonts w:cs="Times New Roman"/>
          <w:color w:val="808080"/>
        </w:rPr>
        <w:t xml:space="preserve">Anson, R. M., Guo, Z., de Cabo, R., Iyun, T., Rios, M., Hagepanos, A., … Mattson, M. P. (2003). Intermittent fasting dissociates beneficial effects of dietary restriction on glucose metabolism and neuronal resistance to injury from calorie intake. </w:t>
      </w:r>
      <w:r w:rsidRPr="00A83D7B">
        <w:rPr>
          <w:rFonts w:cs="Times New Roman"/>
          <w:i/>
          <w:iCs/>
          <w:color w:val="808080"/>
        </w:rPr>
        <w:t>Proceedings of the National Academy of Sciences of the United States of America</w:t>
      </w:r>
      <w:r w:rsidRPr="00A83D7B">
        <w:rPr>
          <w:rFonts w:cs="Times New Roman"/>
          <w:color w:val="808080"/>
        </w:rPr>
        <w:t xml:space="preserve">, </w:t>
      </w:r>
      <w:r w:rsidRPr="00A83D7B">
        <w:rPr>
          <w:rFonts w:cs="Times New Roman"/>
          <w:i/>
          <w:iCs/>
          <w:color w:val="808080"/>
        </w:rPr>
        <w:t>100</w:t>
      </w:r>
      <w:r w:rsidRPr="00A83D7B">
        <w:rPr>
          <w:rFonts w:cs="Times New Roman"/>
          <w:color w:val="808080"/>
        </w:rPr>
        <w:t>(10), 6216–6220. https://doi.org/10.1073/pnas.1035720100</w:t>
      </w:r>
    </w:p>
    <w:p w14:paraId="6AE0B369" w14:textId="77777777" w:rsidR="00A83D7B" w:rsidRPr="00A83D7B" w:rsidRDefault="00A83D7B" w:rsidP="00A83D7B">
      <w:pPr>
        <w:pStyle w:val="Bibliography"/>
        <w:rPr>
          <w:rFonts w:cs="Times New Roman"/>
          <w:color w:val="808080"/>
        </w:rPr>
      </w:pPr>
      <w:r w:rsidRPr="00A83D7B">
        <w:rPr>
          <w:rFonts w:cs="Times New Roman"/>
          <w:color w:val="808080"/>
        </w:rPr>
        <w:t xml:space="preserve">Barlow, S. M., Morrison, P. J., &amp; Sullivan, F. M. (1974). PLASMA CORTICOSTERONE LEVELS DURING PREGNANCY IN THE MOUSE: THE RELATIVE CONTRIBUTIONS OF THE ADRENAL GLANDS AND FOETO-PLACENTAL UNITS. </w:t>
      </w:r>
      <w:r w:rsidRPr="00A83D7B">
        <w:rPr>
          <w:rFonts w:cs="Times New Roman"/>
          <w:i/>
          <w:iCs/>
          <w:color w:val="808080"/>
        </w:rPr>
        <w:t>Journal of Endocrinology</w:t>
      </w:r>
      <w:r w:rsidRPr="00A83D7B">
        <w:rPr>
          <w:rFonts w:cs="Times New Roman"/>
          <w:color w:val="808080"/>
        </w:rPr>
        <w:t xml:space="preserve">, </w:t>
      </w:r>
      <w:r w:rsidRPr="00A83D7B">
        <w:rPr>
          <w:rFonts w:cs="Times New Roman"/>
          <w:i/>
          <w:iCs/>
          <w:color w:val="808080"/>
        </w:rPr>
        <w:t>60</w:t>
      </w:r>
      <w:r w:rsidRPr="00A83D7B">
        <w:rPr>
          <w:rFonts w:cs="Times New Roman"/>
          <w:color w:val="808080"/>
        </w:rPr>
        <w:t>(3), 473–483. https://doi.org/10.1677/joe.0.0600473</w:t>
      </w:r>
    </w:p>
    <w:p w14:paraId="494FB748" w14:textId="77777777" w:rsidR="00A83D7B" w:rsidRPr="00A83D7B" w:rsidRDefault="00A83D7B" w:rsidP="00A83D7B">
      <w:pPr>
        <w:pStyle w:val="Bibliography"/>
        <w:rPr>
          <w:rFonts w:cs="Times New Roman"/>
          <w:color w:val="808080"/>
        </w:rPr>
      </w:pPr>
      <w:r w:rsidRPr="00A83D7B">
        <w:rPr>
          <w:rFonts w:cs="Times New Roman"/>
          <w:color w:val="808080"/>
        </w:rPr>
        <w:t xml:space="preserve">Bellamy, L., Casas, J.-P., Hingorani, A. D., &amp; Williams, D. (2009). Type 2 diabetes mellitus after gestational diabetes: A systematic review and meta-analysis. </w:t>
      </w:r>
      <w:r w:rsidRPr="00A83D7B">
        <w:rPr>
          <w:rFonts w:cs="Times New Roman"/>
          <w:i/>
          <w:iCs/>
          <w:color w:val="808080"/>
        </w:rPr>
        <w:t>The Lancet</w:t>
      </w:r>
      <w:r w:rsidRPr="00A83D7B">
        <w:rPr>
          <w:rFonts w:cs="Times New Roman"/>
          <w:color w:val="808080"/>
        </w:rPr>
        <w:t xml:space="preserve">, </w:t>
      </w:r>
      <w:r w:rsidRPr="00A83D7B">
        <w:rPr>
          <w:rFonts w:cs="Times New Roman"/>
          <w:i/>
          <w:iCs/>
          <w:color w:val="808080"/>
        </w:rPr>
        <w:t>373</w:t>
      </w:r>
      <w:r w:rsidRPr="00A83D7B">
        <w:rPr>
          <w:rFonts w:cs="Times New Roman"/>
          <w:color w:val="808080"/>
        </w:rPr>
        <w:t>(9677), 1773–1779. https://doi.org/10.1016/S0140-6736(09)60731-5</w:t>
      </w:r>
    </w:p>
    <w:p w14:paraId="123733FA" w14:textId="77777777" w:rsidR="00A83D7B" w:rsidRPr="00A83D7B" w:rsidRDefault="00A83D7B" w:rsidP="00A83D7B">
      <w:pPr>
        <w:pStyle w:val="Bibliography"/>
        <w:rPr>
          <w:rFonts w:cs="Times New Roman"/>
          <w:color w:val="808080"/>
        </w:rPr>
      </w:pPr>
      <w:r w:rsidRPr="00A83D7B">
        <w:rPr>
          <w:rFonts w:cs="Times New Roman"/>
          <w:color w:val="808080"/>
        </w:rPr>
        <w:t xml:space="preserve">Caligioni, C. S. (2009). Assessing reproductive status/stages in mice. </w:t>
      </w:r>
      <w:r w:rsidRPr="00A83D7B">
        <w:rPr>
          <w:rFonts w:cs="Times New Roman"/>
          <w:i/>
          <w:iCs/>
          <w:color w:val="808080"/>
        </w:rPr>
        <w:t>Current Protocols in Neuroscience</w:t>
      </w:r>
      <w:r w:rsidRPr="00A83D7B">
        <w:rPr>
          <w:rFonts w:cs="Times New Roman"/>
          <w:color w:val="808080"/>
        </w:rPr>
        <w:t xml:space="preserve">, </w:t>
      </w:r>
      <w:r w:rsidRPr="00A83D7B">
        <w:rPr>
          <w:rFonts w:cs="Times New Roman"/>
          <w:i/>
          <w:iCs/>
          <w:color w:val="808080"/>
        </w:rPr>
        <w:t>Appendix 4</w:t>
      </w:r>
      <w:r w:rsidRPr="00A83D7B">
        <w:rPr>
          <w:rFonts w:cs="Times New Roman"/>
          <w:color w:val="808080"/>
        </w:rPr>
        <w:t>, Appendix 4I. https://doi.org/10.1002/0471142301.nsa04is48</w:t>
      </w:r>
    </w:p>
    <w:p w14:paraId="6AD1CA18" w14:textId="77777777" w:rsidR="00A83D7B" w:rsidRPr="00A83D7B" w:rsidRDefault="00A83D7B" w:rsidP="00A83D7B">
      <w:pPr>
        <w:pStyle w:val="Bibliography"/>
        <w:rPr>
          <w:rFonts w:cs="Times New Roman"/>
          <w:color w:val="808080"/>
        </w:rPr>
      </w:pPr>
      <w:r w:rsidRPr="00A83D7B">
        <w:rPr>
          <w:rFonts w:cs="Times New Roman"/>
          <w:color w:val="808080"/>
        </w:rPr>
        <w:t xml:space="preserve">Cho, N. H., Shaw, J. E., Karuranga, S., Huang, Y., da Rocha Fernandes, J. D., Ohlrogge, A. W., &amp; Malanda, B. (2018). IDF Diabetes Atlas: Global estimates of diabetes prevalence for 2017 and projections for 2045. </w:t>
      </w:r>
      <w:r w:rsidRPr="00A83D7B">
        <w:rPr>
          <w:rFonts w:cs="Times New Roman"/>
          <w:i/>
          <w:iCs/>
          <w:color w:val="808080"/>
        </w:rPr>
        <w:t>Diabetes Research and Clinical Practice</w:t>
      </w:r>
      <w:r w:rsidRPr="00A83D7B">
        <w:rPr>
          <w:rFonts w:cs="Times New Roman"/>
          <w:color w:val="808080"/>
        </w:rPr>
        <w:t xml:space="preserve">, </w:t>
      </w:r>
      <w:r w:rsidRPr="00A83D7B">
        <w:rPr>
          <w:rFonts w:cs="Times New Roman"/>
          <w:i/>
          <w:iCs/>
          <w:color w:val="808080"/>
        </w:rPr>
        <w:t>138</w:t>
      </w:r>
      <w:r w:rsidRPr="00A83D7B">
        <w:rPr>
          <w:rFonts w:cs="Times New Roman"/>
          <w:color w:val="808080"/>
        </w:rPr>
        <w:t>, 271–281. https://doi.org/10.1016/j.diabres.2018.02.023</w:t>
      </w:r>
    </w:p>
    <w:p w14:paraId="0D42F77A" w14:textId="77777777" w:rsidR="00A83D7B" w:rsidRPr="00A83D7B" w:rsidRDefault="00A83D7B" w:rsidP="00A83D7B">
      <w:pPr>
        <w:pStyle w:val="Bibliography"/>
        <w:rPr>
          <w:rFonts w:cs="Times New Roman"/>
          <w:color w:val="808080"/>
        </w:rPr>
      </w:pPr>
      <w:r w:rsidRPr="00A83D7B">
        <w:rPr>
          <w:rFonts w:cs="Times New Roman"/>
          <w:color w:val="808080"/>
        </w:rPr>
        <w:t xml:space="preserve">Daley, A., Pallan, M., Clifford, S., Jolly, K., Bryant, M., Adab, P., … Roalfe, A. (2017). Are babies conceived during Ramadan born smaller and sooner than babies conceived at other times of the year? A Born in Bradford Cohort Study. </w:t>
      </w:r>
      <w:r w:rsidRPr="00A83D7B">
        <w:rPr>
          <w:rFonts w:cs="Times New Roman"/>
          <w:i/>
          <w:iCs/>
          <w:color w:val="808080"/>
        </w:rPr>
        <w:t>Journal of Epidemiology and Community Health</w:t>
      </w:r>
      <w:r w:rsidRPr="00A83D7B">
        <w:rPr>
          <w:rFonts w:cs="Times New Roman"/>
          <w:color w:val="808080"/>
        </w:rPr>
        <w:t xml:space="preserve">, </w:t>
      </w:r>
      <w:r w:rsidRPr="00A83D7B">
        <w:rPr>
          <w:rFonts w:cs="Times New Roman"/>
          <w:i/>
          <w:iCs/>
          <w:color w:val="808080"/>
        </w:rPr>
        <w:t>71</w:t>
      </w:r>
      <w:r w:rsidRPr="00A83D7B">
        <w:rPr>
          <w:rFonts w:cs="Times New Roman"/>
          <w:color w:val="808080"/>
        </w:rPr>
        <w:t>(7), 722–728. https://doi.org/10.1136/jech-2016-208800</w:t>
      </w:r>
    </w:p>
    <w:p w14:paraId="5D1CC76E"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Dube, S., Slama, M. Q., Basu, A., Rizza, R. A., &amp; Basu, R. (2015). Glucocorticoid Excess Increases Hepatic 11β-HSD-1 Activity in Humans: Implications in Steroid-Induced Diabetes. </w:t>
      </w:r>
      <w:r w:rsidRPr="00A83D7B">
        <w:rPr>
          <w:rFonts w:cs="Times New Roman"/>
          <w:i/>
          <w:iCs/>
          <w:color w:val="808080"/>
        </w:rPr>
        <w:t>The Journal of Clinical Endocrinology and Metabolism</w:t>
      </w:r>
      <w:r w:rsidRPr="00A83D7B">
        <w:rPr>
          <w:rFonts w:cs="Times New Roman"/>
          <w:color w:val="808080"/>
        </w:rPr>
        <w:t xml:space="preserve">, </w:t>
      </w:r>
      <w:r w:rsidRPr="00A83D7B">
        <w:rPr>
          <w:rFonts w:cs="Times New Roman"/>
          <w:i/>
          <w:iCs/>
          <w:color w:val="808080"/>
        </w:rPr>
        <w:t>100</w:t>
      </w:r>
      <w:r w:rsidRPr="00A83D7B">
        <w:rPr>
          <w:rFonts w:cs="Times New Roman"/>
          <w:color w:val="808080"/>
        </w:rPr>
        <w:t>(11), 4155–4162. https://doi.org/10.1210/jc.2015-2673</w:t>
      </w:r>
    </w:p>
    <w:p w14:paraId="341BA512" w14:textId="77777777" w:rsidR="00A83D7B" w:rsidRPr="00A83D7B" w:rsidRDefault="00A83D7B" w:rsidP="00A83D7B">
      <w:pPr>
        <w:pStyle w:val="Bibliography"/>
        <w:rPr>
          <w:rFonts w:cs="Times New Roman"/>
          <w:color w:val="808080"/>
        </w:rPr>
      </w:pPr>
      <w:r w:rsidRPr="00A83D7B">
        <w:rPr>
          <w:rFonts w:cs="Times New Roman"/>
          <w:color w:val="808080"/>
        </w:rPr>
        <w:t xml:space="preserve">Fernandez, R. C., Marino, J. L., Varcoe, T. J., Davis, S., Moran, L. J., Rumbold, A. R., … Moore, V. M. (2016). Fixed or Rotating Night Shift Work Undertaken by Women: Implications for Fertility and Miscarriage. </w:t>
      </w:r>
      <w:r w:rsidRPr="00A83D7B">
        <w:rPr>
          <w:rFonts w:cs="Times New Roman"/>
          <w:i/>
          <w:iCs/>
          <w:color w:val="808080"/>
        </w:rPr>
        <w:t>Seminars in Reproductive Medicine</w:t>
      </w:r>
      <w:r w:rsidRPr="00A83D7B">
        <w:rPr>
          <w:rFonts w:cs="Times New Roman"/>
          <w:color w:val="808080"/>
        </w:rPr>
        <w:t xml:space="preserve">, </w:t>
      </w:r>
      <w:r w:rsidRPr="00A83D7B">
        <w:rPr>
          <w:rFonts w:cs="Times New Roman"/>
          <w:i/>
          <w:iCs/>
          <w:color w:val="808080"/>
        </w:rPr>
        <w:t>34</w:t>
      </w:r>
      <w:r w:rsidRPr="00A83D7B">
        <w:rPr>
          <w:rFonts w:cs="Times New Roman"/>
          <w:color w:val="808080"/>
        </w:rPr>
        <w:t>(2), 74–82. https://doi.org/10.1055/s-0036-1571354</w:t>
      </w:r>
    </w:p>
    <w:p w14:paraId="239882C6" w14:textId="77777777" w:rsidR="00A83D7B" w:rsidRPr="00A83D7B" w:rsidRDefault="00A83D7B" w:rsidP="00A83D7B">
      <w:pPr>
        <w:pStyle w:val="Bibliography"/>
        <w:rPr>
          <w:rFonts w:cs="Times New Roman"/>
          <w:color w:val="808080"/>
        </w:rPr>
      </w:pPr>
      <w:r w:rsidRPr="00A83D7B">
        <w:rPr>
          <w:rFonts w:cs="Times New Roman"/>
          <w:color w:val="808080"/>
        </w:rPr>
        <w:t xml:space="preserve">Fisher, A. L., &amp; Nemeth, E. (2017). Iron homeostasis during pregnancy. </w:t>
      </w:r>
      <w:r w:rsidRPr="00A83D7B">
        <w:rPr>
          <w:rFonts w:cs="Times New Roman"/>
          <w:i/>
          <w:iCs/>
          <w:color w:val="808080"/>
        </w:rPr>
        <w:t>The American Journal of Clinical Nutrition</w:t>
      </w:r>
      <w:r w:rsidRPr="00A83D7B">
        <w:rPr>
          <w:rFonts w:cs="Times New Roman"/>
          <w:color w:val="808080"/>
        </w:rPr>
        <w:t xml:space="preserve">, </w:t>
      </w:r>
      <w:r w:rsidRPr="00A83D7B">
        <w:rPr>
          <w:rFonts w:cs="Times New Roman"/>
          <w:i/>
          <w:iCs/>
          <w:color w:val="808080"/>
        </w:rPr>
        <w:t>106</w:t>
      </w:r>
      <w:r w:rsidRPr="00A83D7B">
        <w:rPr>
          <w:rFonts w:cs="Times New Roman"/>
          <w:color w:val="808080"/>
        </w:rPr>
        <w:t>(Suppl 6), 1567S-1574S. https://doi.org/10.3945/ajcn.117.155812</w:t>
      </w:r>
    </w:p>
    <w:p w14:paraId="2CDDBA9A" w14:textId="77777777" w:rsidR="00A83D7B" w:rsidRPr="00A83D7B" w:rsidRDefault="00A83D7B" w:rsidP="00A83D7B">
      <w:pPr>
        <w:pStyle w:val="Bibliography"/>
        <w:rPr>
          <w:rFonts w:cs="Times New Roman"/>
          <w:color w:val="808080"/>
        </w:rPr>
      </w:pPr>
      <w:r w:rsidRPr="00A83D7B">
        <w:rPr>
          <w:rFonts w:cs="Times New Roman"/>
          <w:color w:val="808080"/>
        </w:rPr>
        <w:t xml:space="preserve">Gabel, K., Hoddy, K. K., Haggerty, N., Song, J., Kroeger, C. M., Trepanowski, J. F., … Varady, K. A. (n.d.). Effects of 8-hour time restricted feeding on body weight and metabolic disease risk factors in obese adults: A pilot study. </w:t>
      </w:r>
      <w:r w:rsidRPr="00A83D7B">
        <w:rPr>
          <w:rFonts w:cs="Times New Roman"/>
          <w:i/>
          <w:iCs/>
          <w:color w:val="808080"/>
        </w:rPr>
        <w:t>Nutrition and Healthy Aging</w:t>
      </w:r>
      <w:r w:rsidRPr="00A83D7B">
        <w:rPr>
          <w:rFonts w:cs="Times New Roman"/>
          <w:color w:val="808080"/>
        </w:rPr>
        <w:t xml:space="preserve">, </w:t>
      </w:r>
      <w:r w:rsidRPr="00A83D7B">
        <w:rPr>
          <w:rFonts w:cs="Times New Roman"/>
          <w:i/>
          <w:iCs/>
          <w:color w:val="808080"/>
        </w:rPr>
        <w:t>4</w:t>
      </w:r>
      <w:r w:rsidRPr="00A83D7B">
        <w:rPr>
          <w:rFonts w:cs="Times New Roman"/>
          <w:color w:val="808080"/>
        </w:rPr>
        <w:t>(4), 345–353. https://doi.org/10.3233/NHA-170036</w:t>
      </w:r>
    </w:p>
    <w:p w14:paraId="514C6329" w14:textId="77777777" w:rsidR="00A83D7B" w:rsidRPr="00A83D7B" w:rsidRDefault="00A83D7B" w:rsidP="00A83D7B">
      <w:pPr>
        <w:pStyle w:val="Bibliography"/>
        <w:rPr>
          <w:rFonts w:cs="Times New Roman"/>
          <w:color w:val="808080"/>
        </w:rPr>
      </w:pPr>
      <w:r w:rsidRPr="00A83D7B">
        <w:rPr>
          <w:rFonts w:cs="Times New Roman"/>
          <w:color w:val="808080"/>
        </w:rPr>
        <w:t xml:space="preserve">Goldstein, R. F., Abell, S. K., Ranasinha, S., Misso, M., Boyle, J. A., Black, M. H., … Teede, H. J. (2017). Association of Gestational Weight Gain With Maternal and Infant Outcomes: A Systematic Review and Meta-analysis. </w:t>
      </w:r>
      <w:r w:rsidRPr="00A83D7B">
        <w:rPr>
          <w:rFonts w:cs="Times New Roman"/>
          <w:i/>
          <w:iCs/>
          <w:color w:val="808080"/>
        </w:rPr>
        <w:t>JAMA</w:t>
      </w:r>
      <w:r w:rsidRPr="00A83D7B">
        <w:rPr>
          <w:rFonts w:cs="Times New Roman"/>
          <w:color w:val="808080"/>
        </w:rPr>
        <w:t xml:space="preserve">, </w:t>
      </w:r>
      <w:r w:rsidRPr="00A83D7B">
        <w:rPr>
          <w:rFonts w:cs="Times New Roman"/>
          <w:i/>
          <w:iCs/>
          <w:color w:val="808080"/>
        </w:rPr>
        <w:t>317</w:t>
      </w:r>
      <w:r w:rsidRPr="00A83D7B">
        <w:rPr>
          <w:rFonts w:cs="Times New Roman"/>
          <w:color w:val="808080"/>
        </w:rPr>
        <w:t>(21), 2207–2225. https://doi.org/10.1001/jama.2017.3635</w:t>
      </w:r>
    </w:p>
    <w:p w14:paraId="7A850517" w14:textId="77777777" w:rsidR="00A83D7B" w:rsidRPr="00A83D7B" w:rsidRDefault="00A83D7B" w:rsidP="00A83D7B">
      <w:pPr>
        <w:pStyle w:val="Bibliography"/>
        <w:rPr>
          <w:rFonts w:cs="Times New Roman"/>
          <w:color w:val="808080"/>
        </w:rPr>
      </w:pPr>
      <w:r w:rsidRPr="00A83D7B">
        <w:rPr>
          <w:rFonts w:cs="Times New Roman"/>
          <w:color w:val="808080"/>
        </w:rPr>
        <w:t xml:space="preserve">Halberg, N., Henriksen, M., Söderhamn, N., Stallknecht, B., Ploug, T., Schjerling, P., &amp; Dela, F. (2005). Effect of intermittent fasting and refeeding on insulin action in healthy men. </w:t>
      </w:r>
      <w:r w:rsidRPr="00A83D7B">
        <w:rPr>
          <w:rFonts w:cs="Times New Roman"/>
          <w:i/>
          <w:iCs/>
          <w:color w:val="808080"/>
        </w:rPr>
        <w:t>Journal of Applied Physiology</w:t>
      </w:r>
      <w:r w:rsidRPr="00A83D7B">
        <w:rPr>
          <w:rFonts w:cs="Times New Roman"/>
          <w:color w:val="808080"/>
        </w:rPr>
        <w:t xml:space="preserve">, </w:t>
      </w:r>
      <w:r w:rsidRPr="00A83D7B">
        <w:rPr>
          <w:rFonts w:cs="Times New Roman"/>
          <w:i/>
          <w:iCs/>
          <w:color w:val="808080"/>
        </w:rPr>
        <w:t>99</w:t>
      </w:r>
      <w:r w:rsidRPr="00A83D7B">
        <w:rPr>
          <w:rFonts w:cs="Times New Roman"/>
          <w:color w:val="808080"/>
        </w:rPr>
        <w:t>(6), 2128–2136. https://doi.org/10.1152/japplphysiol.00683.2005</w:t>
      </w:r>
    </w:p>
    <w:p w14:paraId="5C214475"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Hatori, M., Vollmers, C., Zarrinpar, A., DiTacchio, L., Bushong, E. A., Gill, S., … Panda, S. (2012). Time-Restricted Feeding without Reducing Caloric Intake Prevents Metabolic Diseases in Mice Fed a High-Fat Diet. </w:t>
      </w:r>
      <w:r w:rsidRPr="00A83D7B">
        <w:rPr>
          <w:rFonts w:cs="Times New Roman"/>
          <w:i/>
          <w:iCs/>
          <w:color w:val="808080"/>
        </w:rPr>
        <w:t>Cell Metabolism</w:t>
      </w:r>
      <w:r w:rsidRPr="00A83D7B">
        <w:rPr>
          <w:rFonts w:cs="Times New Roman"/>
          <w:color w:val="808080"/>
        </w:rPr>
        <w:t xml:space="preserve">, </w:t>
      </w:r>
      <w:r w:rsidRPr="00A83D7B">
        <w:rPr>
          <w:rFonts w:cs="Times New Roman"/>
          <w:i/>
          <w:iCs/>
          <w:color w:val="808080"/>
        </w:rPr>
        <w:t>15</w:t>
      </w:r>
      <w:r w:rsidRPr="00A83D7B">
        <w:rPr>
          <w:rFonts w:cs="Times New Roman"/>
          <w:color w:val="808080"/>
        </w:rPr>
        <w:t>(6), 848–860. https://doi.org/10.1016/j.cmet.2012.04.019</w:t>
      </w:r>
    </w:p>
    <w:p w14:paraId="034C1526" w14:textId="77777777" w:rsidR="00A83D7B" w:rsidRPr="00A83D7B" w:rsidRDefault="00A83D7B" w:rsidP="00A83D7B">
      <w:pPr>
        <w:pStyle w:val="Bibliography"/>
        <w:rPr>
          <w:rFonts w:cs="Times New Roman"/>
          <w:color w:val="808080"/>
        </w:rPr>
      </w:pPr>
      <w:r w:rsidRPr="00A83D7B">
        <w:rPr>
          <w:rFonts w:cs="Times New Roman"/>
          <w:color w:val="808080"/>
        </w:rPr>
        <w:t xml:space="preserve">Heijmans, B. T., Tobi, E. W., Stein, A. D., Putter, H., Blauw, G. J., Susser, E. S., … Lumey, L. H. (2008). Persistent epigenetic differences associated with prenatal exposure to famine in humans. </w:t>
      </w:r>
      <w:r w:rsidRPr="00A83D7B">
        <w:rPr>
          <w:rFonts w:cs="Times New Roman"/>
          <w:i/>
          <w:iCs/>
          <w:color w:val="808080"/>
        </w:rPr>
        <w:t>Proceedings of the National Academy of Sciences of the United States of America</w:t>
      </w:r>
      <w:r w:rsidRPr="00A83D7B">
        <w:rPr>
          <w:rFonts w:cs="Times New Roman"/>
          <w:color w:val="808080"/>
        </w:rPr>
        <w:t xml:space="preserve">, </w:t>
      </w:r>
      <w:r w:rsidRPr="00A83D7B">
        <w:rPr>
          <w:rFonts w:cs="Times New Roman"/>
          <w:i/>
          <w:iCs/>
          <w:color w:val="808080"/>
        </w:rPr>
        <w:t>105</w:t>
      </w:r>
      <w:r w:rsidRPr="00A83D7B">
        <w:rPr>
          <w:rFonts w:cs="Times New Roman"/>
          <w:color w:val="808080"/>
        </w:rPr>
        <w:t>(44), 17046–17049. https://doi.org/10.1073/pnas.0806560105</w:t>
      </w:r>
    </w:p>
    <w:p w14:paraId="18D401B6" w14:textId="77777777" w:rsidR="00A83D7B" w:rsidRPr="00A83D7B" w:rsidRDefault="00A83D7B" w:rsidP="00A83D7B">
      <w:pPr>
        <w:pStyle w:val="Bibliography"/>
        <w:rPr>
          <w:rFonts w:cs="Times New Roman"/>
          <w:color w:val="808080"/>
        </w:rPr>
      </w:pPr>
      <w:r w:rsidRPr="00A83D7B">
        <w:rPr>
          <w:rFonts w:cs="Times New Roman"/>
          <w:color w:val="808080"/>
        </w:rPr>
        <w:t xml:space="preserve">Heyne, G. W., Plisch, E. H., Melberg, C. G., Sandgren, E. P., Peter, J. A., &amp; Lipinski, R. J. (2015). A Simple and Reliable Method for Early Pregnancy Detection in Inbred Mice. </w:t>
      </w:r>
      <w:r w:rsidRPr="00A83D7B">
        <w:rPr>
          <w:rFonts w:cs="Times New Roman"/>
          <w:i/>
          <w:iCs/>
          <w:color w:val="808080"/>
        </w:rPr>
        <w:t>Journal of the American Association for Laboratory Animal Science : JAALAS</w:t>
      </w:r>
      <w:r w:rsidRPr="00A83D7B">
        <w:rPr>
          <w:rFonts w:cs="Times New Roman"/>
          <w:color w:val="808080"/>
        </w:rPr>
        <w:t xml:space="preserve">, </w:t>
      </w:r>
      <w:r w:rsidRPr="00A83D7B">
        <w:rPr>
          <w:rFonts w:cs="Times New Roman"/>
          <w:i/>
          <w:iCs/>
          <w:color w:val="808080"/>
        </w:rPr>
        <w:t>54</w:t>
      </w:r>
      <w:r w:rsidRPr="00A83D7B">
        <w:rPr>
          <w:rFonts w:cs="Times New Roman"/>
          <w:color w:val="808080"/>
        </w:rPr>
        <w:t>(4), 368–371.</w:t>
      </w:r>
    </w:p>
    <w:p w14:paraId="185271B9" w14:textId="77777777" w:rsidR="00A83D7B" w:rsidRPr="00A83D7B" w:rsidRDefault="00A83D7B" w:rsidP="00A83D7B">
      <w:pPr>
        <w:pStyle w:val="Bibliography"/>
        <w:rPr>
          <w:rFonts w:cs="Times New Roman"/>
          <w:color w:val="808080"/>
        </w:rPr>
      </w:pPr>
      <w:r w:rsidRPr="00A83D7B">
        <w:rPr>
          <w:rFonts w:cs="Times New Roman"/>
          <w:color w:val="808080"/>
        </w:rPr>
        <w:t xml:space="preserve">Hızlı, D., Yılmaz, S. S., Onaran, Y., Kafalı, H., Danışman, N., &amp; Mollamahmutoğlu, L. (2012). Impact of maternal fasting during Ramadan on fetal Doppler parameters, maternal lipid levels and neonatal outcomes. </w:t>
      </w:r>
      <w:r w:rsidRPr="00A83D7B">
        <w:rPr>
          <w:rFonts w:cs="Times New Roman"/>
          <w:i/>
          <w:iCs/>
          <w:color w:val="808080"/>
        </w:rPr>
        <w:t>The Journal of Maternal-Fetal &amp; Neonatal Medicine</w:t>
      </w:r>
      <w:r w:rsidRPr="00A83D7B">
        <w:rPr>
          <w:rFonts w:cs="Times New Roman"/>
          <w:color w:val="808080"/>
        </w:rPr>
        <w:t xml:space="preserve">, </w:t>
      </w:r>
      <w:r w:rsidRPr="00A83D7B">
        <w:rPr>
          <w:rFonts w:cs="Times New Roman"/>
          <w:i/>
          <w:iCs/>
          <w:color w:val="808080"/>
        </w:rPr>
        <w:t>25</w:t>
      </w:r>
      <w:r w:rsidRPr="00A83D7B">
        <w:rPr>
          <w:rFonts w:cs="Times New Roman"/>
          <w:color w:val="808080"/>
        </w:rPr>
        <w:t>(7), 975–977. https://doi.org/10.3109/14767058.2011.602142</w:t>
      </w:r>
    </w:p>
    <w:p w14:paraId="2DE17F14" w14:textId="77777777" w:rsidR="00A83D7B" w:rsidRPr="00A83D7B" w:rsidRDefault="00A83D7B" w:rsidP="00A83D7B">
      <w:pPr>
        <w:pStyle w:val="Bibliography"/>
        <w:rPr>
          <w:rFonts w:cs="Times New Roman"/>
          <w:color w:val="808080"/>
        </w:rPr>
      </w:pPr>
      <w:r w:rsidRPr="00A83D7B">
        <w:rPr>
          <w:rFonts w:cs="Times New Roman"/>
          <w:color w:val="808080"/>
        </w:rPr>
        <w:t xml:space="preserve">Hsu, J.-Y., Crawley, S., Chen, M., Ayupova, D. A., Lindhout, D. A., Higbee, J., … Allan, B. B. (2017). Non-homeostatic body weight regulation through a brainstem-restricted receptor for GDF15. </w:t>
      </w:r>
      <w:r w:rsidRPr="00A83D7B">
        <w:rPr>
          <w:rFonts w:cs="Times New Roman"/>
          <w:i/>
          <w:iCs/>
          <w:color w:val="808080"/>
        </w:rPr>
        <w:t>Nature</w:t>
      </w:r>
      <w:r w:rsidRPr="00A83D7B">
        <w:rPr>
          <w:rFonts w:cs="Times New Roman"/>
          <w:color w:val="808080"/>
        </w:rPr>
        <w:t xml:space="preserve">, </w:t>
      </w:r>
      <w:r w:rsidRPr="00A83D7B">
        <w:rPr>
          <w:rFonts w:cs="Times New Roman"/>
          <w:i/>
          <w:iCs/>
          <w:color w:val="808080"/>
        </w:rPr>
        <w:t>550</w:t>
      </w:r>
      <w:r w:rsidRPr="00A83D7B">
        <w:rPr>
          <w:rFonts w:cs="Times New Roman"/>
          <w:color w:val="808080"/>
        </w:rPr>
        <w:t>(7675), 255–259. https://doi.org/10.1038/nature24042</w:t>
      </w:r>
    </w:p>
    <w:p w14:paraId="3ED4F6EF" w14:textId="77777777" w:rsidR="00A83D7B" w:rsidRPr="00A83D7B" w:rsidRDefault="00A83D7B" w:rsidP="00A83D7B">
      <w:pPr>
        <w:pStyle w:val="Bibliography"/>
        <w:rPr>
          <w:rFonts w:cs="Times New Roman"/>
          <w:color w:val="808080"/>
        </w:rPr>
      </w:pPr>
      <w:r w:rsidRPr="00A83D7B">
        <w:rPr>
          <w:rFonts w:cs="Times New Roman"/>
          <w:color w:val="808080"/>
        </w:rPr>
        <w:t xml:space="preserve">Jafari, Z., Mehla, J., Afrashteh, N., Kolb, B. E., &amp; Mohajerani, M. H. (2017). Corticosterone response to gestational stress and postpartum memory function in mice. </w:t>
      </w:r>
      <w:r w:rsidRPr="00A83D7B">
        <w:rPr>
          <w:rFonts w:cs="Times New Roman"/>
          <w:i/>
          <w:iCs/>
          <w:color w:val="808080"/>
        </w:rPr>
        <w:t>PloS One</w:t>
      </w:r>
      <w:r w:rsidRPr="00A83D7B">
        <w:rPr>
          <w:rFonts w:cs="Times New Roman"/>
          <w:color w:val="808080"/>
        </w:rPr>
        <w:t xml:space="preserve">, </w:t>
      </w:r>
      <w:r w:rsidRPr="00A83D7B">
        <w:rPr>
          <w:rFonts w:cs="Times New Roman"/>
          <w:i/>
          <w:iCs/>
          <w:color w:val="808080"/>
        </w:rPr>
        <w:t>12</w:t>
      </w:r>
      <w:r w:rsidRPr="00A83D7B">
        <w:rPr>
          <w:rFonts w:cs="Times New Roman"/>
          <w:color w:val="808080"/>
        </w:rPr>
        <w:t>(7), e0180306. https://doi.org/10.1371/journal.pone.0180306</w:t>
      </w:r>
    </w:p>
    <w:p w14:paraId="0B121268"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Jamshed, H., Beyl, R. A., Della Manna, D. L., Yang, E. S., Ravussin, E., &amp; Peterson, C. M. (2019). Early Time-Restricted Feeding Improves 24-Hour Glucose Levels and Affects Markers of the Circadian Clock, Aging, and Autophagy in Humans. </w:t>
      </w:r>
      <w:r w:rsidRPr="00A83D7B">
        <w:rPr>
          <w:rFonts w:cs="Times New Roman"/>
          <w:i/>
          <w:iCs/>
          <w:color w:val="808080"/>
        </w:rPr>
        <w:t>Nutrients</w:t>
      </w:r>
      <w:r w:rsidRPr="00A83D7B">
        <w:rPr>
          <w:rFonts w:cs="Times New Roman"/>
          <w:color w:val="808080"/>
        </w:rPr>
        <w:t xml:space="preserve">, </w:t>
      </w:r>
      <w:r w:rsidRPr="00A83D7B">
        <w:rPr>
          <w:rFonts w:cs="Times New Roman"/>
          <w:i/>
          <w:iCs/>
          <w:color w:val="808080"/>
        </w:rPr>
        <w:t>11</w:t>
      </w:r>
      <w:r w:rsidRPr="00A83D7B">
        <w:rPr>
          <w:rFonts w:cs="Times New Roman"/>
          <w:color w:val="808080"/>
        </w:rPr>
        <w:t>(6), 1234. https://doi.org/10.3390/nu11061234</w:t>
      </w:r>
    </w:p>
    <w:p w14:paraId="4F58E29E" w14:textId="77777777" w:rsidR="00A83D7B" w:rsidRPr="00A83D7B" w:rsidRDefault="00A83D7B" w:rsidP="00A83D7B">
      <w:pPr>
        <w:pStyle w:val="Bibliography"/>
        <w:rPr>
          <w:rFonts w:cs="Times New Roman"/>
          <w:color w:val="808080"/>
        </w:rPr>
      </w:pPr>
      <w:r w:rsidRPr="00A83D7B">
        <w:rPr>
          <w:rFonts w:cs="Times New Roman"/>
          <w:color w:val="808080"/>
        </w:rPr>
        <w:t xml:space="preserve">Kahleova, H., Lloren, J. I., Mashchak, A., Hill, M., &amp; Fraser, G. E. (2017). Meal Frequency and Timing Are Associated with Changes in Body Mass Index in Adventist Health Study 2. </w:t>
      </w:r>
      <w:r w:rsidRPr="00A83D7B">
        <w:rPr>
          <w:rFonts w:cs="Times New Roman"/>
          <w:i/>
          <w:iCs/>
          <w:color w:val="808080"/>
        </w:rPr>
        <w:t>The Journal of Nutrition</w:t>
      </w:r>
      <w:r w:rsidRPr="00A83D7B">
        <w:rPr>
          <w:rFonts w:cs="Times New Roman"/>
          <w:color w:val="808080"/>
        </w:rPr>
        <w:t xml:space="preserve">, </w:t>
      </w:r>
      <w:r w:rsidRPr="00A83D7B">
        <w:rPr>
          <w:rFonts w:cs="Times New Roman"/>
          <w:i/>
          <w:iCs/>
          <w:color w:val="808080"/>
        </w:rPr>
        <w:t>147</w:t>
      </w:r>
      <w:r w:rsidRPr="00A83D7B">
        <w:rPr>
          <w:rFonts w:cs="Times New Roman"/>
          <w:color w:val="808080"/>
        </w:rPr>
        <w:t>(9), 1722–1728. https://doi.org/10.3945/jn.116.244749</w:t>
      </w:r>
    </w:p>
    <w:p w14:paraId="1FFAA224" w14:textId="77777777" w:rsidR="00A83D7B" w:rsidRPr="00A83D7B" w:rsidRDefault="00A83D7B" w:rsidP="00A83D7B">
      <w:pPr>
        <w:pStyle w:val="Bibliography"/>
        <w:rPr>
          <w:rFonts w:cs="Times New Roman"/>
          <w:color w:val="808080"/>
        </w:rPr>
      </w:pPr>
      <w:r w:rsidRPr="00A83D7B">
        <w:rPr>
          <w:rFonts w:cs="Times New Roman"/>
          <w:color w:val="808080"/>
        </w:rPr>
        <w:t xml:space="preserve">Kim, J. K. (2009). Hyperinsulinemic–Euglycemic Clamp to Assess Insulin Sensitivity In Vivo. In C. Stocker (Ed.), </w:t>
      </w:r>
      <w:r w:rsidRPr="00A83D7B">
        <w:rPr>
          <w:rFonts w:cs="Times New Roman"/>
          <w:i/>
          <w:iCs/>
          <w:color w:val="808080"/>
        </w:rPr>
        <w:t>Type 2 Diabetes: Methods and Protocols</w:t>
      </w:r>
      <w:r w:rsidRPr="00A83D7B">
        <w:rPr>
          <w:rFonts w:cs="Times New Roman"/>
          <w:color w:val="808080"/>
        </w:rPr>
        <w:t xml:space="preserve"> (pp. 221–238). https://doi.org/10.1007/978-1-59745-448-3_15</w:t>
      </w:r>
    </w:p>
    <w:p w14:paraId="6D2AF147" w14:textId="77777777" w:rsidR="00A83D7B" w:rsidRPr="00A83D7B" w:rsidRDefault="00A83D7B" w:rsidP="00A83D7B">
      <w:pPr>
        <w:pStyle w:val="Bibliography"/>
        <w:rPr>
          <w:rFonts w:cs="Times New Roman"/>
          <w:color w:val="808080"/>
        </w:rPr>
      </w:pPr>
      <w:r w:rsidRPr="00A83D7B">
        <w:rPr>
          <w:rFonts w:cs="Times New Roman"/>
          <w:color w:val="808080"/>
        </w:rPr>
        <w:t xml:space="preserve">Kovacs, C. S. (2000). Calcium and Phosphate Metabolism and Related Disorders During Pregnancy and Lactation. In K. R. Feingold, B. Anawalt, A. Boyce, G. Chrousos, K. Dungan, A. Grossman, … D. P. Wilson (Eds.), </w:t>
      </w:r>
      <w:r w:rsidRPr="00A83D7B">
        <w:rPr>
          <w:rFonts w:cs="Times New Roman"/>
          <w:i/>
          <w:iCs/>
          <w:color w:val="808080"/>
        </w:rPr>
        <w:t>Endotext</w:t>
      </w:r>
      <w:r w:rsidRPr="00A83D7B">
        <w:rPr>
          <w:rFonts w:cs="Times New Roman"/>
          <w:color w:val="808080"/>
        </w:rPr>
        <w:t>. Retrieved from http://www.ncbi.nlm.nih.gov/books/NBK279173/</w:t>
      </w:r>
    </w:p>
    <w:p w14:paraId="23772575" w14:textId="77777777" w:rsidR="00A83D7B" w:rsidRPr="00A83D7B" w:rsidRDefault="00A83D7B" w:rsidP="00A83D7B">
      <w:pPr>
        <w:pStyle w:val="Bibliography"/>
        <w:rPr>
          <w:rFonts w:cs="Times New Roman"/>
          <w:color w:val="808080"/>
        </w:rPr>
      </w:pPr>
      <w:r w:rsidRPr="00A83D7B">
        <w:rPr>
          <w:rFonts w:cs="Times New Roman"/>
          <w:color w:val="808080"/>
        </w:rPr>
        <w:t xml:space="preserve">Ladyman, S. R., Carter, K. M., &amp; Grattan, D. R. (2018). Energy homeostasis and running wheel activity during pregnancy in the mouse. </w:t>
      </w:r>
      <w:r w:rsidRPr="00A83D7B">
        <w:rPr>
          <w:rFonts w:cs="Times New Roman"/>
          <w:i/>
          <w:iCs/>
          <w:color w:val="808080"/>
        </w:rPr>
        <w:t>Physiology &amp; Behavior</w:t>
      </w:r>
      <w:r w:rsidRPr="00A83D7B">
        <w:rPr>
          <w:rFonts w:cs="Times New Roman"/>
          <w:color w:val="808080"/>
        </w:rPr>
        <w:t xml:space="preserve">, </w:t>
      </w:r>
      <w:r w:rsidRPr="00A83D7B">
        <w:rPr>
          <w:rFonts w:cs="Times New Roman"/>
          <w:i/>
          <w:iCs/>
          <w:color w:val="808080"/>
        </w:rPr>
        <w:t>194</w:t>
      </w:r>
      <w:r w:rsidRPr="00A83D7B">
        <w:rPr>
          <w:rFonts w:cs="Times New Roman"/>
          <w:color w:val="808080"/>
        </w:rPr>
        <w:t>, 83–94. https://doi.org/10.1016/j.physbeh.2018.05.002</w:t>
      </w:r>
    </w:p>
    <w:p w14:paraId="2CE4CC4D" w14:textId="77777777" w:rsidR="00A83D7B" w:rsidRPr="00A83D7B" w:rsidRDefault="00A83D7B" w:rsidP="00A83D7B">
      <w:pPr>
        <w:pStyle w:val="Bibliography"/>
        <w:rPr>
          <w:rFonts w:cs="Times New Roman"/>
          <w:color w:val="808080"/>
        </w:rPr>
      </w:pPr>
      <w:r w:rsidRPr="00A83D7B">
        <w:rPr>
          <w:rFonts w:cs="Times New Roman"/>
          <w:color w:val="808080"/>
        </w:rPr>
        <w:t xml:space="preserve">Ladyman, Sharon Rachel, Khant Aung, Z., &amp; Grattan, D. R. (2018). Impact of Pregnancy and Lactation on the Long-Term Regulation of Energy Balance in Female Mice. </w:t>
      </w:r>
      <w:r w:rsidRPr="00A83D7B">
        <w:rPr>
          <w:rFonts w:cs="Times New Roman"/>
          <w:i/>
          <w:iCs/>
          <w:color w:val="808080"/>
        </w:rPr>
        <w:t>Endocrinology</w:t>
      </w:r>
      <w:r w:rsidRPr="00A83D7B">
        <w:rPr>
          <w:rFonts w:cs="Times New Roman"/>
          <w:color w:val="808080"/>
        </w:rPr>
        <w:t xml:space="preserve">, </w:t>
      </w:r>
      <w:r w:rsidRPr="00A83D7B">
        <w:rPr>
          <w:rFonts w:cs="Times New Roman"/>
          <w:i/>
          <w:iCs/>
          <w:color w:val="808080"/>
        </w:rPr>
        <w:t>159</w:t>
      </w:r>
      <w:r w:rsidRPr="00A83D7B">
        <w:rPr>
          <w:rFonts w:cs="Times New Roman"/>
          <w:color w:val="808080"/>
        </w:rPr>
        <w:t>(6), 2324–2336. https://doi.org/10.1210/en.2018-00057</w:t>
      </w:r>
    </w:p>
    <w:p w14:paraId="607E74CC" w14:textId="77777777" w:rsidR="00A83D7B" w:rsidRPr="00A83D7B" w:rsidRDefault="00A83D7B" w:rsidP="00A83D7B">
      <w:pPr>
        <w:pStyle w:val="Bibliography"/>
        <w:rPr>
          <w:rFonts w:cs="Times New Roman"/>
          <w:color w:val="808080"/>
        </w:rPr>
      </w:pPr>
      <w:r w:rsidRPr="00A83D7B">
        <w:rPr>
          <w:rFonts w:cs="Times New Roman"/>
          <w:color w:val="808080"/>
        </w:rPr>
        <w:t xml:space="preserve">Liu, B., Page, A. J., Hatzinikolas, G., Chen, M., Wittert, G. A., &amp; Heilbronn, L. K. (2019). Intermittent Fasting Improves Glucose Tolerance and Promotes Adipose Tissue </w:t>
      </w:r>
      <w:r w:rsidRPr="00A83D7B">
        <w:rPr>
          <w:rFonts w:cs="Times New Roman"/>
          <w:color w:val="808080"/>
        </w:rPr>
        <w:lastRenderedPageBreak/>
        <w:t xml:space="preserve">Remodeling in Male Mice Fed a High-Fat Diet. </w:t>
      </w:r>
      <w:r w:rsidRPr="00A83D7B">
        <w:rPr>
          <w:rFonts w:cs="Times New Roman"/>
          <w:i/>
          <w:iCs/>
          <w:color w:val="808080"/>
        </w:rPr>
        <w:t>Endocrinology</w:t>
      </w:r>
      <w:r w:rsidRPr="00A83D7B">
        <w:rPr>
          <w:rFonts w:cs="Times New Roman"/>
          <w:color w:val="808080"/>
        </w:rPr>
        <w:t xml:space="preserve">, </w:t>
      </w:r>
      <w:r w:rsidRPr="00A83D7B">
        <w:rPr>
          <w:rFonts w:cs="Times New Roman"/>
          <w:i/>
          <w:iCs/>
          <w:color w:val="808080"/>
        </w:rPr>
        <w:t>160</w:t>
      </w:r>
      <w:r w:rsidRPr="00A83D7B">
        <w:rPr>
          <w:rFonts w:cs="Times New Roman"/>
          <w:color w:val="808080"/>
        </w:rPr>
        <w:t>(1), 169–180. https://doi.org/10.1210/en.2018-00701</w:t>
      </w:r>
    </w:p>
    <w:p w14:paraId="6E53933E" w14:textId="77777777" w:rsidR="00A83D7B" w:rsidRPr="00A83D7B" w:rsidRDefault="00A83D7B" w:rsidP="00A83D7B">
      <w:pPr>
        <w:pStyle w:val="Bibliography"/>
        <w:rPr>
          <w:rFonts w:cs="Times New Roman"/>
          <w:color w:val="808080"/>
        </w:rPr>
      </w:pPr>
      <w:r w:rsidRPr="00A83D7B">
        <w:rPr>
          <w:rFonts w:cs="Times New Roman"/>
          <w:color w:val="808080"/>
        </w:rPr>
        <w:t xml:space="preserve">Macia, L., Tsai, V. W.-W., Nguyen, A. D., Johnen, H., Kuffner, T., Shi, Y.-C., … Sainsbury, A. (2012). Macrophage Inhibitory Cytokine 1 (MIC-1/GDF15) Decreases Food Intake, Body Weight and Improves Glucose Tolerance in Mice on Normal &amp; Obesogenic Diets. </w:t>
      </w:r>
      <w:r w:rsidRPr="00A83D7B">
        <w:rPr>
          <w:rFonts w:cs="Times New Roman"/>
          <w:i/>
          <w:iCs/>
          <w:color w:val="808080"/>
        </w:rPr>
        <w:t>PLOS ONE</w:t>
      </w:r>
      <w:r w:rsidRPr="00A83D7B">
        <w:rPr>
          <w:rFonts w:cs="Times New Roman"/>
          <w:color w:val="808080"/>
        </w:rPr>
        <w:t xml:space="preserve">, </w:t>
      </w:r>
      <w:r w:rsidRPr="00A83D7B">
        <w:rPr>
          <w:rFonts w:cs="Times New Roman"/>
          <w:i/>
          <w:iCs/>
          <w:color w:val="808080"/>
        </w:rPr>
        <w:t>7</w:t>
      </w:r>
      <w:r w:rsidRPr="00A83D7B">
        <w:rPr>
          <w:rFonts w:cs="Times New Roman"/>
          <w:color w:val="808080"/>
        </w:rPr>
        <w:t>(4), e34868. https://doi.org/10.1371/journal.pone.0034868</w:t>
      </w:r>
    </w:p>
    <w:p w14:paraId="1744A943" w14:textId="77777777" w:rsidR="00A83D7B" w:rsidRPr="00A83D7B" w:rsidRDefault="00A83D7B" w:rsidP="00A83D7B">
      <w:pPr>
        <w:pStyle w:val="Bibliography"/>
        <w:rPr>
          <w:rFonts w:cs="Times New Roman"/>
          <w:color w:val="808080"/>
        </w:rPr>
      </w:pPr>
      <w:r w:rsidRPr="00A83D7B">
        <w:rPr>
          <w:rFonts w:cs="Times New Roman"/>
          <w:color w:val="808080"/>
        </w:rPr>
        <w:t xml:space="preserve">McClure, C. K., Catov, J. M., Ness, R., &amp; Bodnar, L. M. (2013). Associations between gestational weight gain and BMI, abdominal adiposity, and traditional measures of cardiometabolic risk in mothers 8 y postpartum. </w:t>
      </w:r>
      <w:r w:rsidRPr="00A83D7B">
        <w:rPr>
          <w:rFonts w:cs="Times New Roman"/>
          <w:i/>
          <w:iCs/>
          <w:color w:val="808080"/>
        </w:rPr>
        <w:t>The American Journal of Clinical Nutrition</w:t>
      </w:r>
      <w:r w:rsidRPr="00A83D7B">
        <w:rPr>
          <w:rFonts w:cs="Times New Roman"/>
          <w:color w:val="808080"/>
        </w:rPr>
        <w:t xml:space="preserve">, </w:t>
      </w:r>
      <w:r w:rsidRPr="00A83D7B">
        <w:rPr>
          <w:rFonts w:cs="Times New Roman"/>
          <w:i/>
          <w:iCs/>
          <w:color w:val="808080"/>
        </w:rPr>
        <w:t>98</w:t>
      </w:r>
      <w:r w:rsidRPr="00A83D7B">
        <w:rPr>
          <w:rFonts w:cs="Times New Roman"/>
          <w:color w:val="808080"/>
        </w:rPr>
        <w:t>(5), 1218–1225. https://doi.org/10.3945/ajcn.112.055772</w:t>
      </w:r>
    </w:p>
    <w:p w14:paraId="401E2D02" w14:textId="77777777" w:rsidR="00A83D7B" w:rsidRPr="00A83D7B" w:rsidRDefault="00A83D7B" w:rsidP="00A83D7B">
      <w:pPr>
        <w:pStyle w:val="Bibliography"/>
        <w:rPr>
          <w:rFonts w:cs="Times New Roman"/>
          <w:color w:val="808080"/>
        </w:rPr>
      </w:pPr>
      <w:r w:rsidRPr="00A83D7B">
        <w:rPr>
          <w:rFonts w:cs="Times New Roman"/>
          <w:color w:val="808080"/>
        </w:rPr>
        <w:t>Meal Frequency and Timing Are Associated with Changes in Body Mass Index in Adventist Health Study 2 | The Journal of Nutrition | Oxford Academic. (n.d.). Retrieved August 16, 2019, from https://academic-oup-com.proxy.lib.umich.edu/jn/article/147/9/1722/4743530</w:t>
      </w:r>
    </w:p>
    <w:p w14:paraId="60B16C02" w14:textId="77777777" w:rsidR="00A83D7B" w:rsidRPr="00A83D7B" w:rsidRDefault="00A83D7B" w:rsidP="00A83D7B">
      <w:pPr>
        <w:pStyle w:val="Bibliography"/>
        <w:rPr>
          <w:rFonts w:cs="Times New Roman"/>
          <w:color w:val="808080"/>
        </w:rPr>
      </w:pPr>
      <w:r w:rsidRPr="00A83D7B">
        <w:rPr>
          <w:rFonts w:cs="Times New Roman"/>
          <w:color w:val="808080"/>
        </w:rPr>
        <w:t xml:space="preserve">Mereness, A. L., Murphy, Z. C., Forrestel, A. C., Butler, S., Ko, C., Richards, J. S., &amp; Sellix, M. T. (2016). Conditional Deletion of Bmal1 in Ovarian Theca Cells Disrupts Ovulation in Female Mice. </w:t>
      </w:r>
      <w:r w:rsidRPr="00A83D7B">
        <w:rPr>
          <w:rFonts w:cs="Times New Roman"/>
          <w:i/>
          <w:iCs/>
          <w:color w:val="808080"/>
        </w:rPr>
        <w:t>Endocrinology</w:t>
      </w:r>
      <w:r w:rsidRPr="00A83D7B">
        <w:rPr>
          <w:rFonts w:cs="Times New Roman"/>
          <w:color w:val="808080"/>
        </w:rPr>
        <w:t xml:space="preserve">, </w:t>
      </w:r>
      <w:r w:rsidRPr="00A83D7B">
        <w:rPr>
          <w:rFonts w:cs="Times New Roman"/>
          <w:i/>
          <w:iCs/>
          <w:color w:val="808080"/>
        </w:rPr>
        <w:t>157</w:t>
      </w:r>
      <w:r w:rsidRPr="00A83D7B">
        <w:rPr>
          <w:rFonts w:cs="Times New Roman"/>
          <w:color w:val="808080"/>
        </w:rPr>
        <w:t>(2), 913–927. https://doi.org/10.1210/en.2015-1645</w:t>
      </w:r>
    </w:p>
    <w:p w14:paraId="1189711B" w14:textId="77777777" w:rsidR="00A83D7B" w:rsidRPr="00A83D7B" w:rsidRDefault="00A83D7B" w:rsidP="00A83D7B">
      <w:pPr>
        <w:pStyle w:val="Bibliography"/>
        <w:rPr>
          <w:rFonts w:cs="Times New Roman"/>
          <w:color w:val="808080"/>
        </w:rPr>
      </w:pPr>
      <w:r w:rsidRPr="00A83D7B">
        <w:rPr>
          <w:rFonts w:cs="Times New Roman"/>
          <w:color w:val="808080"/>
        </w:rPr>
        <w:t xml:space="preserve">Murphy, E. F., Cotter, P. D., Healy, S., Marques, T. M., O’Sullivan, O., Fouhy, F., … Shanahan, F. (2010). Composition and energy harvesting capacity of the gut microbiota: Relationship to diet, obesity and time in mouse models. </w:t>
      </w:r>
      <w:r w:rsidRPr="00A83D7B">
        <w:rPr>
          <w:rFonts w:cs="Times New Roman"/>
          <w:i/>
          <w:iCs/>
          <w:color w:val="808080"/>
        </w:rPr>
        <w:t>Gut</w:t>
      </w:r>
      <w:r w:rsidRPr="00A83D7B">
        <w:rPr>
          <w:rFonts w:cs="Times New Roman"/>
          <w:color w:val="808080"/>
        </w:rPr>
        <w:t xml:space="preserve">, </w:t>
      </w:r>
      <w:r w:rsidRPr="00A83D7B">
        <w:rPr>
          <w:rFonts w:cs="Times New Roman"/>
          <w:i/>
          <w:iCs/>
          <w:color w:val="808080"/>
        </w:rPr>
        <w:t>59</w:t>
      </w:r>
      <w:r w:rsidRPr="00A83D7B">
        <w:rPr>
          <w:rFonts w:cs="Times New Roman"/>
          <w:color w:val="808080"/>
        </w:rPr>
        <w:t>(12), 1635–1642. https://doi.org/10.1136/gut.2010.215665</w:t>
      </w:r>
    </w:p>
    <w:p w14:paraId="60C4CD42" w14:textId="77777777" w:rsidR="00A83D7B" w:rsidRPr="00A83D7B" w:rsidRDefault="00A83D7B" w:rsidP="00A83D7B">
      <w:pPr>
        <w:pStyle w:val="Bibliography"/>
        <w:rPr>
          <w:rFonts w:cs="Times New Roman"/>
          <w:color w:val="808080"/>
        </w:rPr>
      </w:pPr>
      <w:r w:rsidRPr="00A83D7B">
        <w:rPr>
          <w:rFonts w:cs="Times New Roman"/>
          <w:color w:val="808080"/>
        </w:rPr>
        <w:t xml:space="preserve">Musial, B., Fernandez-Twinn, D. S., Vaughan, O. R., Ozanne, S. E., Voshol, P., Sferruzzi-Perri, A. N., &amp; Fowden, A. L. (2016). Proximity to Delivery Alters Insulin Sensitivity and </w:t>
      </w:r>
      <w:r w:rsidRPr="00A83D7B">
        <w:rPr>
          <w:rFonts w:cs="Times New Roman"/>
          <w:color w:val="808080"/>
        </w:rPr>
        <w:lastRenderedPageBreak/>
        <w:t xml:space="preserve">Glucose Metabolism in Pregnant Mice. </w:t>
      </w:r>
      <w:r w:rsidRPr="00A83D7B">
        <w:rPr>
          <w:rFonts w:cs="Times New Roman"/>
          <w:i/>
          <w:iCs/>
          <w:color w:val="808080"/>
        </w:rPr>
        <w:t>Diabetes</w:t>
      </w:r>
      <w:r w:rsidRPr="00A83D7B">
        <w:rPr>
          <w:rFonts w:cs="Times New Roman"/>
          <w:color w:val="808080"/>
        </w:rPr>
        <w:t xml:space="preserve">, </w:t>
      </w:r>
      <w:r w:rsidRPr="00A83D7B">
        <w:rPr>
          <w:rFonts w:cs="Times New Roman"/>
          <w:i/>
          <w:iCs/>
          <w:color w:val="808080"/>
        </w:rPr>
        <w:t>65</w:t>
      </w:r>
      <w:r w:rsidRPr="00A83D7B">
        <w:rPr>
          <w:rFonts w:cs="Times New Roman"/>
          <w:color w:val="808080"/>
        </w:rPr>
        <w:t>(4), 851–860. https://doi.org/10.2337/db15-1531</w:t>
      </w:r>
    </w:p>
    <w:p w14:paraId="79033C82" w14:textId="77777777" w:rsidR="00A83D7B" w:rsidRPr="00A83D7B" w:rsidRDefault="00A83D7B" w:rsidP="00A83D7B">
      <w:pPr>
        <w:pStyle w:val="Bibliography"/>
        <w:rPr>
          <w:rFonts w:cs="Times New Roman"/>
          <w:color w:val="808080"/>
        </w:rPr>
      </w:pPr>
      <w:r w:rsidRPr="00A83D7B">
        <w:rPr>
          <w:rFonts w:cs="Times New Roman"/>
          <w:color w:val="808080"/>
        </w:rPr>
        <w:t xml:space="preserve">Opaneye, A. A., Villegas, D. D., &amp; Abdel Azeim, A. (1990). Islamic Festivals and Low Birthweight Infants. </w:t>
      </w:r>
      <w:r w:rsidRPr="00A83D7B">
        <w:rPr>
          <w:rFonts w:cs="Times New Roman"/>
          <w:i/>
          <w:iCs/>
          <w:color w:val="808080"/>
        </w:rPr>
        <w:t>Journal of the Royal Society of Health</w:t>
      </w:r>
      <w:r w:rsidRPr="00A83D7B">
        <w:rPr>
          <w:rFonts w:cs="Times New Roman"/>
          <w:color w:val="808080"/>
        </w:rPr>
        <w:t xml:space="preserve">, </w:t>
      </w:r>
      <w:r w:rsidRPr="00A83D7B">
        <w:rPr>
          <w:rFonts w:cs="Times New Roman"/>
          <w:i/>
          <w:iCs/>
          <w:color w:val="808080"/>
        </w:rPr>
        <w:t>110</w:t>
      </w:r>
      <w:r w:rsidRPr="00A83D7B">
        <w:rPr>
          <w:rFonts w:cs="Times New Roman"/>
          <w:color w:val="808080"/>
        </w:rPr>
        <w:t>(3), 106–107. https://doi.org/10.1177/146642409011000313</w:t>
      </w:r>
    </w:p>
    <w:p w14:paraId="0C3537C6" w14:textId="77777777" w:rsidR="00A83D7B" w:rsidRPr="00A83D7B" w:rsidRDefault="00A83D7B" w:rsidP="00A83D7B">
      <w:pPr>
        <w:pStyle w:val="Bibliography"/>
        <w:rPr>
          <w:rFonts w:cs="Times New Roman"/>
          <w:color w:val="808080"/>
        </w:rPr>
      </w:pPr>
      <w:r w:rsidRPr="00A83D7B">
        <w:rPr>
          <w:rFonts w:cs="Times New Roman"/>
          <w:color w:val="808080"/>
        </w:rPr>
        <w:t xml:space="preserve">Pan, X., &amp; Hussain, M. M. (2009). Clock is important for food and circadian regulation of macronutrient absorption in mice. </w:t>
      </w:r>
      <w:r w:rsidRPr="00A83D7B">
        <w:rPr>
          <w:rFonts w:cs="Times New Roman"/>
          <w:i/>
          <w:iCs/>
          <w:color w:val="808080"/>
        </w:rPr>
        <w:t>Journal of Lipid Research</w:t>
      </w:r>
      <w:r w:rsidRPr="00A83D7B">
        <w:rPr>
          <w:rFonts w:cs="Times New Roman"/>
          <w:color w:val="808080"/>
        </w:rPr>
        <w:t xml:space="preserve">, </w:t>
      </w:r>
      <w:r w:rsidRPr="00A83D7B">
        <w:rPr>
          <w:rFonts w:cs="Times New Roman"/>
          <w:i/>
          <w:iCs/>
          <w:color w:val="808080"/>
        </w:rPr>
        <w:t>50</w:t>
      </w:r>
      <w:r w:rsidRPr="00A83D7B">
        <w:rPr>
          <w:rFonts w:cs="Times New Roman"/>
          <w:color w:val="808080"/>
        </w:rPr>
        <w:t>(9), 1800–1813. https://doi.org/10.1194/jlr.M900085-JLR200</w:t>
      </w:r>
    </w:p>
    <w:p w14:paraId="70A953CF" w14:textId="77777777" w:rsidR="00A83D7B" w:rsidRPr="00A83D7B" w:rsidRDefault="00A83D7B" w:rsidP="00A83D7B">
      <w:pPr>
        <w:pStyle w:val="Bibliography"/>
        <w:rPr>
          <w:rFonts w:cs="Times New Roman"/>
          <w:color w:val="808080"/>
        </w:rPr>
      </w:pPr>
      <w:r w:rsidRPr="00A83D7B">
        <w:rPr>
          <w:rFonts w:cs="Times New Roman"/>
          <w:color w:val="808080"/>
        </w:rPr>
        <w:t xml:space="preserve">Patel, S., Alvarez-Guaita, A., Melvin, A., Rimmington, D., Dattilo, A., Miedzybrodzka, E. L., … O’Rahilly, S. (2019). GDF15 Provides an Endocrine Signal of Nutritional Stress in Mice and Humans. </w:t>
      </w:r>
      <w:r w:rsidRPr="00A83D7B">
        <w:rPr>
          <w:rFonts w:cs="Times New Roman"/>
          <w:i/>
          <w:iCs/>
          <w:color w:val="808080"/>
        </w:rPr>
        <w:t>Cell Metabolism</w:t>
      </w:r>
      <w:r w:rsidRPr="00A83D7B">
        <w:rPr>
          <w:rFonts w:cs="Times New Roman"/>
          <w:color w:val="808080"/>
        </w:rPr>
        <w:t xml:space="preserve">, </w:t>
      </w:r>
      <w:r w:rsidRPr="00A83D7B">
        <w:rPr>
          <w:rFonts w:cs="Times New Roman"/>
          <w:i/>
          <w:iCs/>
          <w:color w:val="808080"/>
        </w:rPr>
        <w:t>29</w:t>
      </w:r>
      <w:r w:rsidRPr="00A83D7B">
        <w:rPr>
          <w:rFonts w:cs="Times New Roman"/>
          <w:color w:val="808080"/>
        </w:rPr>
        <w:t>(3), 707-718.e8. https://doi.org/10.1016/j.cmet.2018.12.016</w:t>
      </w:r>
    </w:p>
    <w:p w14:paraId="2B0124D6" w14:textId="77777777" w:rsidR="00A83D7B" w:rsidRPr="00A83D7B" w:rsidRDefault="00A83D7B" w:rsidP="00A83D7B">
      <w:pPr>
        <w:pStyle w:val="Bibliography"/>
        <w:rPr>
          <w:rFonts w:cs="Times New Roman"/>
          <w:color w:val="808080"/>
        </w:rPr>
      </w:pPr>
      <w:r w:rsidRPr="00A83D7B">
        <w:rPr>
          <w:rFonts w:cs="Times New Roman"/>
          <w:color w:val="808080"/>
        </w:rPr>
        <w:t xml:space="preserve">Pivonello, R., De Leo, M., Cozzolino, A., &amp; Colao, A. (2015). The Treatment of Cushing’s Disease. </w:t>
      </w:r>
      <w:r w:rsidRPr="00A83D7B">
        <w:rPr>
          <w:rFonts w:cs="Times New Roman"/>
          <w:i/>
          <w:iCs/>
          <w:color w:val="808080"/>
        </w:rPr>
        <w:t>Endocrine Reviews</w:t>
      </w:r>
      <w:r w:rsidRPr="00A83D7B">
        <w:rPr>
          <w:rFonts w:cs="Times New Roman"/>
          <w:color w:val="808080"/>
        </w:rPr>
        <w:t xml:space="preserve">, </w:t>
      </w:r>
      <w:r w:rsidRPr="00A83D7B">
        <w:rPr>
          <w:rFonts w:cs="Times New Roman"/>
          <w:i/>
          <w:iCs/>
          <w:color w:val="808080"/>
        </w:rPr>
        <w:t>36</w:t>
      </w:r>
      <w:r w:rsidRPr="00A83D7B">
        <w:rPr>
          <w:rFonts w:cs="Times New Roman"/>
          <w:color w:val="808080"/>
        </w:rPr>
        <w:t>(4), 385–486. https://doi.org/10.1210/er.2013-1048</w:t>
      </w:r>
    </w:p>
    <w:p w14:paraId="65EEEA4D" w14:textId="77777777" w:rsidR="00A83D7B" w:rsidRPr="00A83D7B" w:rsidRDefault="00A83D7B" w:rsidP="00A83D7B">
      <w:pPr>
        <w:pStyle w:val="Bibliography"/>
        <w:rPr>
          <w:rFonts w:cs="Times New Roman"/>
          <w:color w:val="808080"/>
        </w:rPr>
      </w:pPr>
      <w:r w:rsidRPr="00A83D7B">
        <w:rPr>
          <w:rFonts w:cs="Times New Roman"/>
          <w:color w:val="808080"/>
        </w:rPr>
        <w:t xml:space="preserve">Rasmussen, K. M., Abrams, B., Bodnar, L. M., Butte, N. F., Catalano, P. M., &amp; Siega-Riz, A. M. (2010). Recommendations for Weight Gain During Pregnancy in the Context of the Obesity Epidemic. </w:t>
      </w:r>
      <w:r w:rsidRPr="00A83D7B">
        <w:rPr>
          <w:rFonts w:cs="Times New Roman"/>
          <w:i/>
          <w:iCs/>
          <w:color w:val="808080"/>
        </w:rPr>
        <w:t>Obstetrics and Gynecology</w:t>
      </w:r>
      <w:r w:rsidRPr="00A83D7B">
        <w:rPr>
          <w:rFonts w:cs="Times New Roman"/>
          <w:color w:val="808080"/>
        </w:rPr>
        <w:t xml:space="preserve">, </w:t>
      </w:r>
      <w:r w:rsidRPr="00A83D7B">
        <w:rPr>
          <w:rFonts w:cs="Times New Roman"/>
          <w:i/>
          <w:iCs/>
          <w:color w:val="808080"/>
        </w:rPr>
        <w:t>116</w:t>
      </w:r>
      <w:r w:rsidRPr="00A83D7B">
        <w:rPr>
          <w:rFonts w:cs="Times New Roman"/>
          <w:color w:val="808080"/>
        </w:rPr>
        <w:t>(5), 1191–1195. https://doi.org/10.1097/AOG.0b013e3181f60da7</w:t>
      </w:r>
    </w:p>
    <w:p w14:paraId="199F6D88" w14:textId="77777777" w:rsidR="00A83D7B" w:rsidRPr="00A83D7B" w:rsidRDefault="00A83D7B" w:rsidP="00A83D7B">
      <w:pPr>
        <w:pStyle w:val="Bibliography"/>
        <w:rPr>
          <w:rFonts w:cs="Times New Roman"/>
          <w:color w:val="808080"/>
        </w:rPr>
      </w:pPr>
      <w:r w:rsidRPr="00A83D7B">
        <w:rPr>
          <w:rFonts w:cs="Times New Roman"/>
          <w:color w:val="808080"/>
        </w:rPr>
        <w:t xml:space="preserve">Ravussin, E., Beyl, R. A., Poggiogalle, E., Hsia, D. S., &amp; Peterson, C. M. (2019). Early Time-Restricted Feeding Reduces Appetite and Increases Fat Oxidation But Does Not Affect Energy Expenditure in Humans. </w:t>
      </w:r>
      <w:r w:rsidRPr="00A83D7B">
        <w:rPr>
          <w:rFonts w:cs="Times New Roman"/>
          <w:i/>
          <w:iCs/>
          <w:color w:val="808080"/>
        </w:rPr>
        <w:t>Obesity</w:t>
      </w:r>
      <w:r w:rsidRPr="00A83D7B">
        <w:rPr>
          <w:rFonts w:cs="Times New Roman"/>
          <w:color w:val="808080"/>
        </w:rPr>
        <w:t xml:space="preserve">, </w:t>
      </w:r>
      <w:r w:rsidRPr="00A83D7B">
        <w:rPr>
          <w:rFonts w:cs="Times New Roman"/>
          <w:i/>
          <w:iCs/>
          <w:color w:val="808080"/>
        </w:rPr>
        <w:t>27</w:t>
      </w:r>
      <w:r w:rsidRPr="00A83D7B">
        <w:rPr>
          <w:rFonts w:cs="Times New Roman"/>
          <w:color w:val="808080"/>
        </w:rPr>
        <w:t>(8), 1244–1254. https://doi.org/10.1002/oby.22518</w:t>
      </w:r>
    </w:p>
    <w:p w14:paraId="1439C0EB"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Sabet Sarvestani, F., Rahmanifar, F., &amp; Tamadon, A. (2015). Histomorphometric changes of small intestine in pregnant rat. </w:t>
      </w:r>
      <w:r w:rsidRPr="00A83D7B">
        <w:rPr>
          <w:rFonts w:cs="Times New Roman"/>
          <w:i/>
          <w:iCs/>
          <w:color w:val="808080"/>
        </w:rPr>
        <w:t>Veterinary Research Forum</w:t>
      </w:r>
      <w:r w:rsidRPr="00A83D7B">
        <w:rPr>
          <w:rFonts w:cs="Times New Roman"/>
          <w:color w:val="808080"/>
        </w:rPr>
        <w:t xml:space="preserve">, </w:t>
      </w:r>
      <w:r w:rsidRPr="00A83D7B">
        <w:rPr>
          <w:rFonts w:cs="Times New Roman"/>
          <w:i/>
          <w:iCs/>
          <w:color w:val="808080"/>
        </w:rPr>
        <w:t>6</w:t>
      </w:r>
      <w:r w:rsidRPr="00A83D7B">
        <w:rPr>
          <w:rFonts w:cs="Times New Roman"/>
          <w:color w:val="808080"/>
        </w:rPr>
        <w:t>(1), 69–73.</w:t>
      </w:r>
    </w:p>
    <w:p w14:paraId="06AAA7EE" w14:textId="77777777" w:rsidR="00A83D7B" w:rsidRPr="00A83D7B" w:rsidRDefault="00A83D7B" w:rsidP="00A83D7B">
      <w:pPr>
        <w:pStyle w:val="Bibliography"/>
        <w:rPr>
          <w:rFonts w:cs="Times New Roman"/>
          <w:color w:val="808080"/>
        </w:rPr>
      </w:pPr>
      <w:r w:rsidRPr="00A83D7B">
        <w:rPr>
          <w:rFonts w:cs="Times New Roman"/>
          <w:color w:val="808080"/>
        </w:rPr>
        <w:t>Salazar, E. R., Richter, H. G., Spichiger, C., Mendez, N., Halabi, D., Vergara, K., … Torres</w:t>
      </w:r>
      <w:r w:rsidRPr="00A83D7B">
        <w:rPr>
          <w:rFonts w:ascii="Cambria Math" w:hAnsi="Cambria Math" w:cs="Cambria Math"/>
          <w:color w:val="808080"/>
        </w:rPr>
        <w:t>‐</w:t>
      </w:r>
      <w:r w:rsidRPr="00A83D7B">
        <w:rPr>
          <w:rFonts w:cs="Times New Roman"/>
          <w:color w:val="808080"/>
        </w:rPr>
        <w:t xml:space="preserve">Farfan, C. (2018). Gestational chronodisruption leads to persistent changes in the rat fetal and adult adrenal clock and function. </w:t>
      </w:r>
      <w:r w:rsidRPr="00A83D7B">
        <w:rPr>
          <w:rFonts w:cs="Times New Roman"/>
          <w:i/>
          <w:iCs/>
          <w:color w:val="808080"/>
        </w:rPr>
        <w:t>The Journal of Physiology</w:t>
      </w:r>
      <w:r w:rsidRPr="00A83D7B">
        <w:rPr>
          <w:rFonts w:cs="Times New Roman"/>
          <w:color w:val="808080"/>
        </w:rPr>
        <w:t xml:space="preserve">, </w:t>
      </w:r>
      <w:r w:rsidRPr="00A83D7B">
        <w:rPr>
          <w:rFonts w:cs="Times New Roman"/>
          <w:i/>
          <w:iCs/>
          <w:color w:val="808080"/>
        </w:rPr>
        <w:t>596</w:t>
      </w:r>
      <w:r w:rsidRPr="00A83D7B">
        <w:rPr>
          <w:rFonts w:cs="Times New Roman"/>
          <w:color w:val="808080"/>
        </w:rPr>
        <w:t>(23), 5839–5857. https://doi.org/10.1113/JP276083</w:t>
      </w:r>
    </w:p>
    <w:p w14:paraId="5BF8FD8C" w14:textId="77777777" w:rsidR="00A83D7B" w:rsidRPr="00A83D7B" w:rsidRDefault="00A83D7B" w:rsidP="00A83D7B">
      <w:pPr>
        <w:pStyle w:val="Bibliography"/>
        <w:rPr>
          <w:rFonts w:cs="Times New Roman"/>
          <w:color w:val="808080"/>
        </w:rPr>
      </w:pPr>
      <w:r w:rsidRPr="00A83D7B">
        <w:rPr>
          <w:rFonts w:cs="Times New Roman"/>
          <w:color w:val="808080"/>
        </w:rPr>
        <w:t xml:space="preserve">Schulz, L. C. (2010). The Dutch Hunger Winter and the developmental origins of health and disease. </w:t>
      </w:r>
      <w:r w:rsidRPr="00A83D7B">
        <w:rPr>
          <w:rFonts w:cs="Times New Roman"/>
          <w:i/>
          <w:iCs/>
          <w:color w:val="808080"/>
        </w:rPr>
        <w:t>Proceedings of the National Academy of Sciences of the United States of America</w:t>
      </w:r>
      <w:r w:rsidRPr="00A83D7B">
        <w:rPr>
          <w:rFonts w:cs="Times New Roman"/>
          <w:color w:val="808080"/>
        </w:rPr>
        <w:t xml:space="preserve">, </w:t>
      </w:r>
      <w:r w:rsidRPr="00A83D7B">
        <w:rPr>
          <w:rFonts w:cs="Times New Roman"/>
          <w:i/>
          <w:iCs/>
          <w:color w:val="808080"/>
        </w:rPr>
        <w:t>107</w:t>
      </w:r>
      <w:r w:rsidRPr="00A83D7B">
        <w:rPr>
          <w:rFonts w:cs="Times New Roman"/>
          <w:color w:val="808080"/>
        </w:rPr>
        <w:t>(39), 16757–16758. https://doi.org/10.1073/pnas.1012911107</w:t>
      </w:r>
    </w:p>
    <w:p w14:paraId="7A23C483" w14:textId="77777777" w:rsidR="00A83D7B" w:rsidRPr="00A83D7B" w:rsidRDefault="00A83D7B" w:rsidP="00A83D7B">
      <w:pPr>
        <w:pStyle w:val="Bibliography"/>
        <w:rPr>
          <w:rFonts w:cs="Times New Roman"/>
          <w:color w:val="808080"/>
        </w:rPr>
      </w:pPr>
      <w:r w:rsidRPr="00A83D7B">
        <w:rPr>
          <w:rFonts w:cs="Times New Roman"/>
          <w:color w:val="808080"/>
        </w:rPr>
        <w:t xml:space="preserve">Sherman, H., Genzer, Y., Cohen, R., Chapnik, N., Madar, Z., &amp; Froy, O. (2012). Timed high-fat diet resets circadian metabolism and prevents obesity. </w:t>
      </w:r>
      <w:r w:rsidRPr="00A83D7B">
        <w:rPr>
          <w:rFonts w:cs="Times New Roman"/>
          <w:i/>
          <w:iCs/>
          <w:color w:val="808080"/>
        </w:rPr>
        <w:t>FASEB Journal: Official Publication of the Federation of American Societies for Experimental Biology</w:t>
      </w:r>
      <w:r w:rsidRPr="00A83D7B">
        <w:rPr>
          <w:rFonts w:cs="Times New Roman"/>
          <w:color w:val="808080"/>
        </w:rPr>
        <w:t xml:space="preserve">, </w:t>
      </w:r>
      <w:r w:rsidRPr="00A83D7B">
        <w:rPr>
          <w:rFonts w:cs="Times New Roman"/>
          <w:i/>
          <w:iCs/>
          <w:color w:val="808080"/>
        </w:rPr>
        <w:t>26</w:t>
      </w:r>
      <w:r w:rsidRPr="00A83D7B">
        <w:rPr>
          <w:rFonts w:cs="Times New Roman"/>
          <w:color w:val="808080"/>
        </w:rPr>
        <w:t>(8), 3493–3502. https://doi.org/10.1096/fj.12-208868</w:t>
      </w:r>
    </w:p>
    <w:p w14:paraId="4936E1EE" w14:textId="77777777" w:rsidR="00A83D7B" w:rsidRPr="00A83D7B" w:rsidRDefault="00A83D7B" w:rsidP="00A83D7B">
      <w:pPr>
        <w:pStyle w:val="Bibliography"/>
        <w:rPr>
          <w:rFonts w:cs="Times New Roman"/>
          <w:color w:val="808080"/>
        </w:rPr>
      </w:pPr>
      <w:r w:rsidRPr="00A83D7B">
        <w:rPr>
          <w:rFonts w:cs="Times New Roman"/>
          <w:color w:val="808080"/>
        </w:rPr>
        <w:t xml:space="preserve">Sonagra, A. D., Biradar, S. M., K., D., &amp; Murthy D.S., J. (2014). Normal Pregnancy- A State of Insulin Resistance. </w:t>
      </w:r>
      <w:r w:rsidRPr="00A83D7B">
        <w:rPr>
          <w:rFonts w:cs="Times New Roman"/>
          <w:i/>
          <w:iCs/>
          <w:color w:val="808080"/>
        </w:rPr>
        <w:t>Journal of Clinical and Diagnostic Research : JCDR</w:t>
      </w:r>
      <w:r w:rsidRPr="00A83D7B">
        <w:rPr>
          <w:rFonts w:cs="Times New Roman"/>
          <w:color w:val="808080"/>
        </w:rPr>
        <w:t xml:space="preserve">, </w:t>
      </w:r>
      <w:r w:rsidRPr="00A83D7B">
        <w:rPr>
          <w:rFonts w:cs="Times New Roman"/>
          <w:i/>
          <w:iCs/>
          <w:color w:val="808080"/>
        </w:rPr>
        <w:t>8</w:t>
      </w:r>
      <w:r w:rsidRPr="00A83D7B">
        <w:rPr>
          <w:rFonts w:cs="Times New Roman"/>
          <w:color w:val="808080"/>
        </w:rPr>
        <w:t>(11), CC01–CC03. https://doi.org/10.7860/JCDR/2014/10068.5081</w:t>
      </w:r>
    </w:p>
    <w:p w14:paraId="5986498A" w14:textId="77777777" w:rsidR="00A83D7B" w:rsidRPr="00A83D7B" w:rsidRDefault="00A83D7B" w:rsidP="00A83D7B">
      <w:pPr>
        <w:pStyle w:val="Bibliography"/>
        <w:rPr>
          <w:rFonts w:cs="Times New Roman"/>
          <w:color w:val="808080"/>
        </w:rPr>
      </w:pPr>
      <w:r w:rsidRPr="00A83D7B">
        <w:rPr>
          <w:rFonts w:cs="Times New Roman"/>
          <w:color w:val="808080"/>
        </w:rPr>
        <w:t xml:space="preserve">Sugulle, M., Dechend, R., Herse, F., Weedon-Fekjaer, M. S., Johnsen, G. M., Brosnihan, K. B., … Staff, A. C. (2009). Circulating and Placental Growth-Differentiation Factor 15 in Preeclampsia and in Pregnancy Complicated by Diabetes Mellitus. </w:t>
      </w:r>
      <w:r w:rsidRPr="00A83D7B">
        <w:rPr>
          <w:rFonts w:cs="Times New Roman"/>
          <w:i/>
          <w:iCs/>
          <w:color w:val="808080"/>
        </w:rPr>
        <w:t>Hypertension</w:t>
      </w:r>
      <w:r w:rsidRPr="00A83D7B">
        <w:rPr>
          <w:rFonts w:cs="Times New Roman"/>
          <w:color w:val="808080"/>
        </w:rPr>
        <w:t xml:space="preserve">, </w:t>
      </w:r>
      <w:r w:rsidRPr="00A83D7B">
        <w:rPr>
          <w:rFonts w:cs="Times New Roman"/>
          <w:i/>
          <w:iCs/>
          <w:color w:val="808080"/>
        </w:rPr>
        <w:t>54</w:t>
      </w:r>
      <w:r w:rsidRPr="00A83D7B">
        <w:rPr>
          <w:rFonts w:cs="Times New Roman"/>
          <w:color w:val="808080"/>
        </w:rPr>
        <w:t>(1), 106–112. https://doi.org/10.1161/HYPERTENSIONAHA.109.130583</w:t>
      </w:r>
    </w:p>
    <w:p w14:paraId="0FC02A6C" w14:textId="77777777" w:rsidR="00A83D7B" w:rsidRPr="00A83D7B" w:rsidRDefault="00A83D7B" w:rsidP="00A83D7B">
      <w:pPr>
        <w:pStyle w:val="Bibliography"/>
        <w:rPr>
          <w:rFonts w:cs="Times New Roman"/>
          <w:color w:val="808080"/>
        </w:rPr>
      </w:pPr>
      <w:r w:rsidRPr="00A83D7B">
        <w:rPr>
          <w:rFonts w:cs="Times New Roman"/>
          <w:color w:val="808080"/>
        </w:rPr>
        <w:t xml:space="preserve">Sutton, E. F., Beyl, R., Early, K. S., Cefalu, W. T., Ravussin, E., &amp; Peterson, C. M. (2018). Early Time-Restricted Feeding Improves Insulin Sensitivity, Blood Pressure, and Oxidative </w:t>
      </w:r>
      <w:r w:rsidRPr="00A83D7B">
        <w:rPr>
          <w:rFonts w:cs="Times New Roman"/>
          <w:color w:val="808080"/>
        </w:rPr>
        <w:lastRenderedPageBreak/>
        <w:t xml:space="preserve">Stress Even without Weight Loss in Men with Prediabetes. </w:t>
      </w:r>
      <w:r w:rsidRPr="00A83D7B">
        <w:rPr>
          <w:rFonts w:cs="Times New Roman"/>
          <w:i/>
          <w:iCs/>
          <w:color w:val="808080"/>
        </w:rPr>
        <w:t>Cell Metabolism</w:t>
      </w:r>
      <w:r w:rsidRPr="00A83D7B">
        <w:rPr>
          <w:rFonts w:cs="Times New Roman"/>
          <w:color w:val="808080"/>
        </w:rPr>
        <w:t xml:space="preserve">, </w:t>
      </w:r>
      <w:r w:rsidRPr="00A83D7B">
        <w:rPr>
          <w:rFonts w:cs="Times New Roman"/>
          <w:i/>
          <w:iCs/>
          <w:color w:val="808080"/>
        </w:rPr>
        <w:t>27</w:t>
      </w:r>
      <w:r w:rsidRPr="00A83D7B">
        <w:rPr>
          <w:rFonts w:cs="Times New Roman"/>
          <w:color w:val="808080"/>
        </w:rPr>
        <w:t>(6), 1212-1221.e3. https://doi.org/10.1016/j.cmet.2018.04.010</w:t>
      </w:r>
    </w:p>
    <w:p w14:paraId="5A282B4D" w14:textId="77777777" w:rsidR="00A83D7B" w:rsidRPr="00A83D7B" w:rsidRDefault="00A83D7B" w:rsidP="00A83D7B">
      <w:pPr>
        <w:pStyle w:val="Bibliography"/>
        <w:rPr>
          <w:rFonts w:cs="Times New Roman"/>
          <w:color w:val="808080"/>
        </w:rPr>
      </w:pPr>
      <w:r w:rsidRPr="00A83D7B">
        <w:rPr>
          <w:rFonts w:cs="Times New Roman"/>
          <w:color w:val="808080"/>
        </w:rPr>
        <w:t xml:space="preserve">Swamy, S., Xie, X., Kukino, A., Calcagno, H. E., Lasarev, M. R., Park, J. H., &amp; Butler, M. P. (2018). Circadian disruption of food availability significantly reduces reproductive success in mice. </w:t>
      </w:r>
      <w:r w:rsidRPr="00A83D7B">
        <w:rPr>
          <w:rFonts w:cs="Times New Roman"/>
          <w:i/>
          <w:iCs/>
          <w:color w:val="808080"/>
        </w:rPr>
        <w:t>Hormones and Behavior</w:t>
      </w:r>
      <w:r w:rsidRPr="00A83D7B">
        <w:rPr>
          <w:rFonts w:cs="Times New Roman"/>
          <w:color w:val="808080"/>
        </w:rPr>
        <w:t xml:space="preserve">, </w:t>
      </w:r>
      <w:r w:rsidRPr="00A83D7B">
        <w:rPr>
          <w:rFonts w:cs="Times New Roman"/>
          <w:i/>
          <w:iCs/>
          <w:color w:val="808080"/>
        </w:rPr>
        <w:t>105</w:t>
      </w:r>
      <w:r w:rsidRPr="00A83D7B">
        <w:rPr>
          <w:rFonts w:cs="Times New Roman"/>
          <w:color w:val="808080"/>
        </w:rPr>
        <w:t>, 177–184. https://doi.org/10.1016/j.yhbeh.2018.07.006</w:t>
      </w:r>
    </w:p>
    <w:p w14:paraId="52122068" w14:textId="77777777" w:rsidR="00A83D7B" w:rsidRPr="00A83D7B" w:rsidRDefault="00A83D7B" w:rsidP="00A83D7B">
      <w:pPr>
        <w:pStyle w:val="Bibliography"/>
        <w:rPr>
          <w:rFonts w:cs="Times New Roman"/>
          <w:color w:val="808080"/>
        </w:rPr>
      </w:pPr>
      <w:r w:rsidRPr="00A83D7B">
        <w:rPr>
          <w:rFonts w:cs="Times New Roman"/>
          <w:color w:val="808080"/>
        </w:rPr>
        <w:t xml:space="preserve">Upadhyay, A., Anjum, B., Godbole, N. M., Rajak, S., Shukla, P., Tiwari, S., … Godbole, M. M. (2019). Time-restricted feeding reduces high-fat diet associated placental inflammation and limits adverse effects on fetal organ development. </w:t>
      </w:r>
      <w:r w:rsidRPr="00A83D7B">
        <w:rPr>
          <w:rFonts w:cs="Times New Roman"/>
          <w:i/>
          <w:iCs/>
          <w:color w:val="808080"/>
        </w:rPr>
        <w:t>Biochemical and Biophysical Research Communications</w:t>
      </w:r>
      <w:r w:rsidRPr="00A83D7B">
        <w:rPr>
          <w:rFonts w:cs="Times New Roman"/>
          <w:color w:val="808080"/>
        </w:rPr>
        <w:t xml:space="preserve">, </w:t>
      </w:r>
      <w:r w:rsidRPr="00A83D7B">
        <w:rPr>
          <w:rFonts w:cs="Times New Roman"/>
          <w:i/>
          <w:iCs/>
          <w:color w:val="808080"/>
        </w:rPr>
        <w:t>514</w:t>
      </w:r>
      <w:r w:rsidRPr="00A83D7B">
        <w:rPr>
          <w:rFonts w:cs="Times New Roman"/>
          <w:color w:val="808080"/>
        </w:rPr>
        <w:t>(2), 415–421. https://doi.org/10.1016/j.bbrc.2019.04.154</w:t>
      </w:r>
    </w:p>
    <w:p w14:paraId="1C722427" w14:textId="77777777" w:rsidR="00A83D7B" w:rsidRPr="00A83D7B" w:rsidRDefault="00A83D7B" w:rsidP="00A83D7B">
      <w:pPr>
        <w:pStyle w:val="Bibliography"/>
        <w:rPr>
          <w:rFonts w:cs="Times New Roman"/>
          <w:color w:val="808080"/>
        </w:rPr>
      </w:pPr>
      <w:r w:rsidRPr="00A83D7B">
        <w:rPr>
          <w:rFonts w:cs="Times New Roman"/>
          <w:color w:val="808080"/>
        </w:rPr>
        <w:t xml:space="preserve">Weber, E. M., Algers, B., Würbel, H., Hultgren, J., &amp; Olsson, I. a. S. (2013). Influence of Strain and Parity on the Risk of Litter Loss in Laboratory Mice. </w:t>
      </w:r>
      <w:r w:rsidRPr="00A83D7B">
        <w:rPr>
          <w:rFonts w:cs="Times New Roman"/>
          <w:i/>
          <w:iCs/>
          <w:color w:val="808080"/>
        </w:rPr>
        <w:t>Reproduction in Domestic Animals</w:t>
      </w:r>
      <w:r w:rsidRPr="00A83D7B">
        <w:rPr>
          <w:rFonts w:cs="Times New Roman"/>
          <w:color w:val="808080"/>
        </w:rPr>
        <w:t xml:space="preserve">, </w:t>
      </w:r>
      <w:r w:rsidRPr="00A83D7B">
        <w:rPr>
          <w:rFonts w:cs="Times New Roman"/>
          <w:i/>
          <w:iCs/>
          <w:color w:val="808080"/>
        </w:rPr>
        <w:t>48</w:t>
      </w:r>
      <w:r w:rsidRPr="00A83D7B">
        <w:rPr>
          <w:rFonts w:cs="Times New Roman"/>
          <w:color w:val="808080"/>
        </w:rPr>
        <w:t>(2), 292–296. https://doi.org/10.1111/j.1439-0531.2012.02147.x</w:t>
      </w:r>
    </w:p>
    <w:p w14:paraId="61E1B4FF" w14:textId="77777777" w:rsidR="00A83D7B" w:rsidRPr="00A83D7B" w:rsidRDefault="00A83D7B" w:rsidP="00A83D7B">
      <w:pPr>
        <w:pStyle w:val="Bibliography"/>
        <w:rPr>
          <w:rFonts w:cs="Times New Roman"/>
          <w:color w:val="808080"/>
        </w:rPr>
      </w:pPr>
      <w:r w:rsidRPr="00A83D7B">
        <w:rPr>
          <w:rFonts w:cs="Times New Roman"/>
          <w:color w:val="808080"/>
        </w:rPr>
        <w:t xml:space="preserve">Woodie, L. N., Luo, Y., Wayne, M. J., Graff, E. C., Ahmed, B., O’Neill, A. M., &amp; Greene, M. W. (2018). Restricted feeding for 9h in the active period partially abrogates the detrimental metabolic effects of a Western diet with liquid sugar consumption in mice. </w:t>
      </w:r>
      <w:r w:rsidRPr="00A83D7B">
        <w:rPr>
          <w:rFonts w:cs="Times New Roman"/>
          <w:i/>
          <w:iCs/>
          <w:color w:val="808080"/>
        </w:rPr>
        <w:t>Metabolism</w:t>
      </w:r>
      <w:r w:rsidRPr="00A83D7B">
        <w:rPr>
          <w:rFonts w:cs="Times New Roman"/>
          <w:color w:val="808080"/>
        </w:rPr>
        <w:t xml:space="preserve">, </w:t>
      </w:r>
      <w:r w:rsidRPr="00A83D7B">
        <w:rPr>
          <w:rFonts w:cs="Times New Roman"/>
          <w:i/>
          <w:iCs/>
          <w:color w:val="808080"/>
        </w:rPr>
        <w:t>82</w:t>
      </w:r>
      <w:r w:rsidRPr="00A83D7B">
        <w:rPr>
          <w:rFonts w:cs="Times New Roman"/>
          <w:color w:val="808080"/>
        </w:rPr>
        <w:t>, 1–13. https://doi.org/10.1016/j.metabol.2017.12.004</w:t>
      </w:r>
    </w:p>
    <w:p w14:paraId="2AE989C2" w14:textId="77777777" w:rsidR="00A83D7B" w:rsidRPr="00A83D7B" w:rsidRDefault="00A83D7B" w:rsidP="00A83D7B">
      <w:pPr>
        <w:pStyle w:val="Bibliography"/>
        <w:rPr>
          <w:rFonts w:cs="Times New Roman"/>
          <w:color w:val="808080"/>
        </w:rPr>
      </w:pPr>
      <w:r w:rsidRPr="00A83D7B">
        <w:rPr>
          <w:rFonts w:cs="Times New Roman"/>
          <w:color w:val="808080"/>
        </w:rPr>
        <w:t xml:space="preserve">Zhang, M., Sun, W., Qian, J., &amp; Tang, Y. (2018). Fasting exacerbates hepatic growth differentiation factor 15 to promote fatty acid β-oxidation and ketogenesis via activating XBP1 signaling in liver. </w:t>
      </w:r>
      <w:r w:rsidRPr="00A83D7B">
        <w:rPr>
          <w:rFonts w:cs="Times New Roman"/>
          <w:i/>
          <w:iCs/>
          <w:color w:val="808080"/>
        </w:rPr>
        <w:t>Redox Biology</w:t>
      </w:r>
      <w:r w:rsidRPr="00A83D7B">
        <w:rPr>
          <w:rFonts w:cs="Times New Roman"/>
          <w:color w:val="808080"/>
        </w:rPr>
        <w:t xml:space="preserve">, </w:t>
      </w:r>
      <w:r w:rsidRPr="00A83D7B">
        <w:rPr>
          <w:rFonts w:cs="Times New Roman"/>
          <w:i/>
          <w:iCs/>
          <w:color w:val="808080"/>
        </w:rPr>
        <w:t>16</w:t>
      </w:r>
      <w:r w:rsidRPr="00A83D7B">
        <w:rPr>
          <w:rFonts w:cs="Times New Roman"/>
          <w:color w:val="808080"/>
        </w:rPr>
        <w:t>, 87–96. https://doi.org/10.1016/j.redox.2018.01.013</w:t>
      </w:r>
    </w:p>
    <w:p w14:paraId="5C569943" w14:textId="77777777" w:rsidR="00A83D7B" w:rsidRPr="00A83D7B" w:rsidRDefault="00A83D7B" w:rsidP="00A83D7B">
      <w:pPr>
        <w:pStyle w:val="Bibliography"/>
        <w:rPr>
          <w:rFonts w:cs="Times New Roman"/>
          <w:color w:val="808080"/>
        </w:rPr>
      </w:pPr>
      <w:r w:rsidRPr="00A83D7B">
        <w:rPr>
          <w:rFonts w:cs="Times New Roman"/>
          <w:color w:val="808080"/>
        </w:rPr>
        <w:t xml:space="preserve">Zhang, W.-X., Chen, S.-Y., &amp; Liu, C. (2016). Regulation of reproduction by the circadian rhythms. </w:t>
      </w:r>
      <w:r w:rsidRPr="00A83D7B">
        <w:rPr>
          <w:rFonts w:cs="Times New Roman"/>
          <w:i/>
          <w:iCs/>
          <w:color w:val="808080"/>
        </w:rPr>
        <w:t>Sheng Li Xue Bao: [Acta Physiologica Sinica]</w:t>
      </w:r>
      <w:r w:rsidRPr="00A83D7B">
        <w:rPr>
          <w:rFonts w:cs="Times New Roman"/>
          <w:color w:val="808080"/>
        </w:rPr>
        <w:t xml:space="preserve">, </w:t>
      </w:r>
      <w:r w:rsidRPr="00A83D7B">
        <w:rPr>
          <w:rFonts w:cs="Times New Roman"/>
          <w:i/>
          <w:iCs/>
          <w:color w:val="808080"/>
        </w:rPr>
        <w:t>68</w:t>
      </w:r>
      <w:r w:rsidRPr="00A83D7B">
        <w:rPr>
          <w:rFonts w:cs="Times New Roman"/>
          <w:color w:val="808080"/>
        </w:rPr>
        <w:t>(6), 799–808.</w:t>
      </w:r>
    </w:p>
    <w:p w14:paraId="01428B9E"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Ziaee, V., Kihanidoost, Z., Younesian, M., Akhavirad, M.-B., Bateni, F., Kazemianfar, Z., &amp; Hantoushzadeh, S. (2010). The Effect of Ramadan Fasting on Outcome of Pregnancy. </w:t>
      </w:r>
      <w:r w:rsidRPr="00A83D7B">
        <w:rPr>
          <w:rFonts w:cs="Times New Roman"/>
          <w:i/>
          <w:iCs/>
          <w:color w:val="808080"/>
        </w:rPr>
        <w:t>Iranian Journal of Pediatrics</w:t>
      </w:r>
      <w:r w:rsidRPr="00A83D7B">
        <w:rPr>
          <w:rFonts w:cs="Times New Roman"/>
          <w:color w:val="808080"/>
        </w:rPr>
        <w:t xml:space="preserve">, </w:t>
      </w:r>
      <w:r w:rsidRPr="00A83D7B">
        <w:rPr>
          <w:rFonts w:cs="Times New Roman"/>
          <w:i/>
          <w:iCs/>
          <w:color w:val="808080"/>
        </w:rPr>
        <w:t>20</w:t>
      </w:r>
      <w:r w:rsidRPr="00A83D7B">
        <w:rPr>
          <w:rFonts w:cs="Times New Roman"/>
          <w:color w:val="808080"/>
        </w:rPr>
        <w:t>(2), 181–186.</w:t>
      </w:r>
    </w:p>
    <w:p w14:paraId="5350D662" w14:textId="3B0E54A1" w:rsidR="00A06EE7" w:rsidRPr="00A06EE7" w:rsidRDefault="00A83D7B" w:rsidP="00725CF0">
      <w:pPr>
        <w:rPr>
          <w:rStyle w:val="SubtleEmphasis"/>
          <w:i w:val="0"/>
        </w:rPr>
      </w:pPr>
      <w:r>
        <w:rPr>
          <w:rStyle w:val="SubtleEmphasis"/>
          <w:i w:val="0"/>
        </w:rPr>
        <w:fldChar w:fldCharType="end"/>
      </w:r>
      <w:r w:rsidR="004638BC">
        <w:rPr>
          <w:rStyle w:val="SubtleEmphasis"/>
          <w:i w:val="0"/>
        </w:rPr>
        <w:t xml:space="preserve">    </w:t>
      </w:r>
    </w:p>
    <w:sectPr w:rsidR="00A06EE7" w:rsidRPr="00A06EE7"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ave Bridges" w:date="2019-11-27T09:32:00Z" w:initials="DB">
    <w:p w14:paraId="55B9CC3D" w14:textId="29885221" w:rsidR="000B062D" w:rsidRDefault="000B062D">
      <w:pPr>
        <w:pStyle w:val="CommentText"/>
      </w:pPr>
      <w:r>
        <w:rPr>
          <w:rStyle w:val="CommentReference"/>
        </w:rPr>
        <w:annotationRef/>
      </w:r>
      <w:r>
        <w:t>Give a definition of it.</w:t>
      </w:r>
    </w:p>
  </w:comment>
  <w:comment w:id="3" w:author="Dave Bridges" w:date="2019-11-27T09:34:00Z" w:initials="DB">
    <w:p w14:paraId="1074ACD3" w14:textId="094EB91B" w:rsidR="000B062D" w:rsidRDefault="000B062D">
      <w:pPr>
        <w:pStyle w:val="CommentText"/>
      </w:pPr>
      <w:r>
        <w:rPr>
          <w:rStyle w:val="CommentReference"/>
        </w:rPr>
        <w:annotationRef/>
      </w:r>
      <w:r>
        <w:t xml:space="preserve">Depending on if </w:t>
      </w:r>
      <w:proofErr w:type="spellStart"/>
      <w:r>
        <w:t>its</w:t>
      </w:r>
      <w:proofErr w:type="spellEnd"/>
      <w:r>
        <w:t xml:space="preserve"> in your intro chapter you may also need to contrast with fasting, ADF, </w:t>
      </w:r>
      <w:proofErr w:type="spellStart"/>
      <w:r>
        <w:t>etc</w:t>
      </w:r>
      <w:proofErr w:type="spellEnd"/>
    </w:p>
  </w:comment>
  <w:comment w:id="53" w:author="Dave Bridges" w:date="2019-11-27T09:42:00Z" w:initials="DB">
    <w:p w14:paraId="4B7284CC" w14:textId="47EA779F" w:rsidR="0010288E" w:rsidRDefault="0010288E">
      <w:pPr>
        <w:pStyle w:val="CommentText"/>
      </w:pPr>
      <w:r>
        <w:rPr>
          <w:rStyle w:val="CommentReference"/>
        </w:rPr>
        <w:annotationRef/>
      </w:r>
      <w:r>
        <w:t>Id update this to something about food restriction during pregnancy</w:t>
      </w:r>
    </w:p>
  </w:comment>
  <w:comment w:id="61" w:author="Dave Bridges" w:date="2019-11-27T09:39:00Z" w:initials="DB">
    <w:p w14:paraId="3C4B4310" w14:textId="361C2E02" w:rsidR="005F78FD" w:rsidRDefault="005F78FD">
      <w:pPr>
        <w:pStyle w:val="CommentText"/>
      </w:pPr>
      <w:r>
        <w:rPr>
          <w:rStyle w:val="CommentReference"/>
        </w:rPr>
        <w:annotationRef/>
      </w:r>
      <w:r>
        <w:t>define</w:t>
      </w:r>
    </w:p>
  </w:comment>
  <w:comment w:id="62" w:author="Dave Bridges" w:date="2019-11-27T09:40:00Z" w:initials="DB">
    <w:p w14:paraId="721DCDF4" w14:textId="6200C821" w:rsidR="005F78FD" w:rsidRDefault="005F78FD">
      <w:pPr>
        <w:pStyle w:val="CommentText"/>
      </w:pPr>
      <w:r>
        <w:rPr>
          <w:rStyle w:val="CommentReference"/>
        </w:rPr>
        <w:annotationRef/>
      </w:r>
      <w:r>
        <w:t xml:space="preserve">be specific here, is </w:t>
      </w:r>
      <w:r w:rsidR="0010288E">
        <w:t>what was the relative risk of diabetes/CVD</w:t>
      </w:r>
    </w:p>
  </w:comment>
  <w:comment w:id="67" w:author="Dave Bridges" w:date="2019-11-27T09:40:00Z" w:initials="DB">
    <w:p w14:paraId="73171A4F" w14:textId="0DD38614" w:rsidR="0010288E" w:rsidRDefault="0010288E">
      <w:pPr>
        <w:pStyle w:val="CommentText"/>
      </w:pPr>
      <w:r>
        <w:rPr>
          <w:rStyle w:val="CommentReference"/>
        </w:rPr>
        <w:annotationRef/>
      </w:r>
      <w:r>
        <w:t>Probably need to define how people fast.</w:t>
      </w:r>
    </w:p>
  </w:comment>
  <w:comment w:id="99" w:author="Dave Bridges" w:date="2019-11-27T09:48:00Z" w:initials="DB">
    <w:p w14:paraId="703608A2" w14:textId="37FF8C1C" w:rsidR="00D357A3" w:rsidRDefault="00D357A3">
      <w:pPr>
        <w:pStyle w:val="CommentText"/>
      </w:pPr>
      <w:r>
        <w:rPr>
          <w:rStyle w:val="CommentReference"/>
        </w:rPr>
        <w:annotationRef/>
      </w:r>
      <w:proofErr w:type="spellStart"/>
      <w:r>
        <w:t>Its</w:t>
      </w:r>
      <w:proofErr w:type="spellEnd"/>
      <w:r>
        <w:t xml:space="preserve"> not clear to me (maybe check the Cho et al paper) if the diabetes is dependent on the GWG or after accounting for it.  </w:t>
      </w:r>
      <w:proofErr w:type="spellStart"/>
      <w:r>
        <w:t>Eitehr</w:t>
      </w:r>
      <w:proofErr w:type="spellEnd"/>
      <w:r>
        <w:t xml:space="preserve"> way id flip the order of these two paragraphs</w:t>
      </w:r>
    </w:p>
  </w:comment>
  <w:comment w:id="115" w:author="Dave Bridges" w:date="2019-11-27T09:50:00Z" w:initials="DB">
    <w:p w14:paraId="508C62B8" w14:textId="4151F823" w:rsidR="004C7236" w:rsidRDefault="004C7236">
      <w:pPr>
        <w:pStyle w:val="CommentText"/>
      </w:pPr>
      <w:r>
        <w:rPr>
          <w:rStyle w:val="CommentReference"/>
        </w:rPr>
        <w:annotationRef/>
      </w:r>
      <w:proofErr w:type="gramStart"/>
      <w:r>
        <w:t>Plus</w:t>
      </w:r>
      <w:proofErr w:type="gramEnd"/>
      <w:r>
        <w:t xml:space="preserve"> the new 2019 Panda paper</w:t>
      </w:r>
    </w:p>
  </w:comment>
  <w:comment w:id="133" w:author="Molly Carter" w:date="2019-11-24T22:48:00Z" w:initials="MC">
    <w:p w14:paraId="473B9003" w14:textId="045BA29D" w:rsidR="00B6593C" w:rsidRDefault="00B6593C">
      <w:pPr>
        <w:pStyle w:val="CommentText"/>
      </w:pPr>
      <w:r>
        <w:rPr>
          <w:rStyle w:val="CommentReference"/>
        </w:rPr>
        <w:annotationRef/>
      </w:r>
      <w:r>
        <w:t xml:space="preserve">I did my best to try to frame this with </w:t>
      </w:r>
      <w:proofErr w:type="spellStart"/>
      <w:r>
        <w:t>eTRF</w:t>
      </w:r>
      <w:proofErr w:type="spellEnd"/>
      <w:r>
        <w:t xml:space="preserve"> and the IR of pregnancy cohort. Since its basically done and glycemia/insulin sensitivity in </w:t>
      </w:r>
      <w:proofErr w:type="spellStart"/>
      <w:r>
        <w:t>eTRF</w:t>
      </w:r>
      <w:proofErr w:type="spellEnd"/>
      <w:r>
        <w:t xml:space="preserve"> is discussed later, I left this quite concise. Let me know if it should be executed differently. </w:t>
      </w:r>
    </w:p>
  </w:comment>
  <w:comment w:id="134" w:author="Dave Bridges" w:date="2019-08-19T11:14:00Z" w:initials="DB">
    <w:p w14:paraId="51A2CC6F" w14:textId="77777777" w:rsidR="00B6593C" w:rsidRDefault="00B6593C" w:rsidP="00414BFB">
      <w:pPr>
        <w:pStyle w:val="CommentText"/>
      </w:pPr>
      <w:r>
        <w:rPr>
          <w:rStyle w:val="CommentReference"/>
        </w:rPr>
        <w:annotationRef/>
      </w:r>
      <w:r>
        <w:t>Carbohydrate and lipid oxidation can be calculated from VO2 and VCO2, and is a little easier to interpret than RER.</w:t>
      </w:r>
    </w:p>
  </w:comment>
  <w:comment w:id="140" w:author="Molly Carter" w:date="2019-08-21T13:52:00Z" w:initials="MC">
    <w:p w14:paraId="4889487F" w14:textId="77777777" w:rsidR="00B6593C" w:rsidRDefault="00B6593C">
      <w:pPr>
        <w:pStyle w:val="CommentText"/>
      </w:pPr>
      <w:r>
        <w:rPr>
          <w:rStyle w:val="CommentReference"/>
        </w:rPr>
        <w:annotationRef/>
      </w:r>
      <w:r>
        <w:t>Look at the TSC paper for this information</w:t>
      </w:r>
    </w:p>
    <w:p w14:paraId="5E3CB171" w14:textId="579349F6" w:rsidR="00B6593C" w:rsidRDefault="00B6593C">
      <w:pPr>
        <w:pStyle w:val="CommentText"/>
      </w:pPr>
    </w:p>
  </w:comment>
  <w:comment w:id="142" w:author="Molly Carter" w:date="2019-08-16T16:58:00Z" w:initials="MC">
    <w:p w14:paraId="5F110A3F" w14:textId="74265272" w:rsidR="00B6593C" w:rsidRDefault="00B6593C">
      <w:pPr>
        <w:pStyle w:val="CommentText"/>
      </w:pPr>
      <w:r>
        <w:rPr>
          <w:rStyle w:val="CommentReference"/>
        </w:rPr>
        <w:annotationRef/>
      </w:r>
      <w:r>
        <w:t>Will write out based on previously published works with the core.</w:t>
      </w:r>
    </w:p>
  </w:comment>
  <w:comment w:id="143" w:author="Molly Carter" w:date="2019-11-24T23:03:00Z" w:initials="MC">
    <w:p w14:paraId="77FBAC31" w14:textId="77777777" w:rsidR="00F628D5" w:rsidRDefault="00F628D5">
      <w:pPr>
        <w:pStyle w:val="CommentText"/>
      </w:pPr>
      <w:r>
        <w:rPr>
          <w:rStyle w:val="CommentReference"/>
        </w:rPr>
        <w:annotationRef/>
      </w:r>
      <w:r>
        <w:t>May simply drop, since we don’t see differences in food and in body comp. thoughts?</w:t>
      </w:r>
    </w:p>
    <w:p w14:paraId="2A3A486E" w14:textId="26A3E101" w:rsidR="00F628D5" w:rsidRDefault="00F628D5">
      <w:pPr>
        <w:pStyle w:val="CommentText"/>
      </w:pPr>
    </w:p>
  </w:comment>
  <w:comment w:id="145" w:author="Molly Carter" w:date="2019-11-05T13:43:00Z" w:initials="MC">
    <w:p w14:paraId="020F7601" w14:textId="28FC1FA0" w:rsidR="00B6593C" w:rsidRDefault="00B6593C">
      <w:pPr>
        <w:pStyle w:val="CommentText"/>
      </w:pPr>
      <w:r>
        <w:rPr>
          <w:rStyle w:val="CommentReference"/>
        </w:rPr>
        <w:annotationRef/>
      </w:r>
      <w:r>
        <w:t xml:space="preserve">These were the isotopes used in this study, I’m happy to dig deeper to find better ones if need be.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B9CC3D" w15:done="0"/>
  <w15:commentEx w15:paraId="1074ACD3" w15:paraIdParent="55B9CC3D" w15:done="0"/>
  <w15:commentEx w15:paraId="4B7284CC" w15:done="0"/>
  <w15:commentEx w15:paraId="3C4B4310" w15:done="0"/>
  <w15:commentEx w15:paraId="721DCDF4" w15:done="0"/>
  <w15:commentEx w15:paraId="73171A4F" w15:done="0"/>
  <w15:commentEx w15:paraId="703608A2" w15:done="0"/>
  <w15:commentEx w15:paraId="508C62B8" w15:done="0"/>
  <w15:commentEx w15:paraId="473B9003" w15:done="0"/>
  <w15:commentEx w15:paraId="51A2CC6F" w15:done="0"/>
  <w15:commentEx w15:paraId="5E3CB171" w15:done="0"/>
  <w15:commentEx w15:paraId="5F110A3F" w15:done="0"/>
  <w15:commentEx w15:paraId="2A3A486E" w15:paraIdParent="5F110A3F" w15:done="0"/>
  <w15:commentEx w15:paraId="020F76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B9CC3D" w16cid:durableId="2188C144"/>
  <w16cid:commentId w16cid:paraId="1074ACD3" w16cid:durableId="2188C1B9"/>
  <w16cid:commentId w16cid:paraId="4B7284CC" w16cid:durableId="2188C37D"/>
  <w16cid:commentId w16cid:paraId="3C4B4310" w16cid:durableId="2188C2E2"/>
  <w16cid:commentId w16cid:paraId="721DCDF4" w16cid:durableId="2188C2F3"/>
  <w16cid:commentId w16cid:paraId="73171A4F" w16cid:durableId="2188C32A"/>
  <w16cid:commentId w16cid:paraId="703608A2" w16cid:durableId="2188C4EF"/>
  <w16cid:commentId w16cid:paraId="508C62B8" w16cid:durableId="2188C560"/>
  <w16cid:commentId w16cid:paraId="473B9003" w16cid:durableId="21858758"/>
  <w16cid:commentId w16cid:paraId="51A2CC6F" w16cid:durableId="210789EA"/>
  <w16cid:commentId w16cid:paraId="5E3CB171" w16cid:durableId="2107CB0F"/>
  <w16cid:commentId w16cid:paraId="5F110A3F" w16cid:durableId="21015F3D"/>
  <w16cid:commentId w16cid:paraId="2A3A486E" w16cid:durableId="21858AB7"/>
  <w16cid:commentId w16cid:paraId="020F7601" w16cid:durableId="216BFA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6323B" w14:textId="77777777" w:rsidR="003548D9" w:rsidRDefault="003548D9" w:rsidP="00655367">
      <w:r>
        <w:separator/>
      </w:r>
    </w:p>
  </w:endnote>
  <w:endnote w:type="continuationSeparator" w:id="0">
    <w:p w14:paraId="7C2A6AEB" w14:textId="77777777" w:rsidR="003548D9" w:rsidRDefault="003548D9" w:rsidP="00655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FE135" w14:textId="77777777" w:rsidR="003548D9" w:rsidRDefault="003548D9" w:rsidP="00655367">
      <w:r>
        <w:separator/>
      </w:r>
    </w:p>
  </w:footnote>
  <w:footnote w:type="continuationSeparator" w:id="0">
    <w:p w14:paraId="353D7641" w14:textId="77777777" w:rsidR="003548D9" w:rsidRDefault="003548D9" w:rsidP="00655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32091"/>
    <w:multiLevelType w:val="hybridMultilevel"/>
    <w:tmpl w:val="945C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52CD7"/>
    <w:multiLevelType w:val="hybridMultilevel"/>
    <w:tmpl w:val="45DC7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E4051"/>
    <w:multiLevelType w:val="hybridMultilevel"/>
    <w:tmpl w:val="4A10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95"/>
    <w:rsid w:val="00006D04"/>
    <w:rsid w:val="00010B03"/>
    <w:rsid w:val="00016758"/>
    <w:rsid w:val="00016A9F"/>
    <w:rsid w:val="00031589"/>
    <w:rsid w:val="000417FD"/>
    <w:rsid w:val="000453AB"/>
    <w:rsid w:val="0004750C"/>
    <w:rsid w:val="00057976"/>
    <w:rsid w:val="00060FEF"/>
    <w:rsid w:val="00074954"/>
    <w:rsid w:val="000751BB"/>
    <w:rsid w:val="000864AE"/>
    <w:rsid w:val="00087423"/>
    <w:rsid w:val="000B008A"/>
    <w:rsid w:val="000B062D"/>
    <w:rsid w:val="000E1D7F"/>
    <w:rsid w:val="000F0FE1"/>
    <w:rsid w:val="00101BEE"/>
    <w:rsid w:val="0010288E"/>
    <w:rsid w:val="001041F5"/>
    <w:rsid w:val="0013437C"/>
    <w:rsid w:val="001403DB"/>
    <w:rsid w:val="00146803"/>
    <w:rsid w:val="00153939"/>
    <w:rsid w:val="00155E45"/>
    <w:rsid w:val="00186B53"/>
    <w:rsid w:val="0018772F"/>
    <w:rsid w:val="001916B7"/>
    <w:rsid w:val="001B306C"/>
    <w:rsid w:val="001D47FE"/>
    <w:rsid w:val="001E0AFA"/>
    <w:rsid w:val="001E0D8A"/>
    <w:rsid w:val="001E725D"/>
    <w:rsid w:val="001F0023"/>
    <w:rsid w:val="00200583"/>
    <w:rsid w:val="002069B3"/>
    <w:rsid w:val="00227796"/>
    <w:rsid w:val="002450CA"/>
    <w:rsid w:val="0026107A"/>
    <w:rsid w:val="002918F3"/>
    <w:rsid w:val="002A360D"/>
    <w:rsid w:val="002B25C7"/>
    <w:rsid w:val="002B4FA5"/>
    <w:rsid w:val="002C32E9"/>
    <w:rsid w:val="002C66B0"/>
    <w:rsid w:val="002C793C"/>
    <w:rsid w:val="002D7DCD"/>
    <w:rsid w:val="002E1770"/>
    <w:rsid w:val="002E1DE6"/>
    <w:rsid w:val="002F3F8D"/>
    <w:rsid w:val="00326B6D"/>
    <w:rsid w:val="00330625"/>
    <w:rsid w:val="003360C6"/>
    <w:rsid w:val="00346506"/>
    <w:rsid w:val="003548D9"/>
    <w:rsid w:val="003572D6"/>
    <w:rsid w:val="00366C4E"/>
    <w:rsid w:val="00377B9B"/>
    <w:rsid w:val="00382CE8"/>
    <w:rsid w:val="00384B6A"/>
    <w:rsid w:val="00385D95"/>
    <w:rsid w:val="003B26FD"/>
    <w:rsid w:val="003B581A"/>
    <w:rsid w:val="003B7873"/>
    <w:rsid w:val="003D6007"/>
    <w:rsid w:val="003D7E2F"/>
    <w:rsid w:val="003E43D9"/>
    <w:rsid w:val="003E46E3"/>
    <w:rsid w:val="00400B8B"/>
    <w:rsid w:val="00412002"/>
    <w:rsid w:val="00413F50"/>
    <w:rsid w:val="00414BFB"/>
    <w:rsid w:val="0042416C"/>
    <w:rsid w:val="004241AB"/>
    <w:rsid w:val="00443F82"/>
    <w:rsid w:val="00444E8B"/>
    <w:rsid w:val="004469CF"/>
    <w:rsid w:val="004638BC"/>
    <w:rsid w:val="00473B17"/>
    <w:rsid w:val="004A327E"/>
    <w:rsid w:val="004B030F"/>
    <w:rsid w:val="004B1FBD"/>
    <w:rsid w:val="004B370A"/>
    <w:rsid w:val="004C7236"/>
    <w:rsid w:val="004E1444"/>
    <w:rsid w:val="004E2C3A"/>
    <w:rsid w:val="004F1183"/>
    <w:rsid w:val="004F42FB"/>
    <w:rsid w:val="00512A0C"/>
    <w:rsid w:val="005141D7"/>
    <w:rsid w:val="0053627B"/>
    <w:rsid w:val="00547273"/>
    <w:rsid w:val="00552F4F"/>
    <w:rsid w:val="00561DFD"/>
    <w:rsid w:val="0057571A"/>
    <w:rsid w:val="00587EB0"/>
    <w:rsid w:val="005938F2"/>
    <w:rsid w:val="005A09DE"/>
    <w:rsid w:val="005A540C"/>
    <w:rsid w:val="005D0293"/>
    <w:rsid w:val="005E5394"/>
    <w:rsid w:val="005F3C68"/>
    <w:rsid w:val="005F78FD"/>
    <w:rsid w:val="00610884"/>
    <w:rsid w:val="00614A20"/>
    <w:rsid w:val="00655367"/>
    <w:rsid w:val="00657472"/>
    <w:rsid w:val="00665FF6"/>
    <w:rsid w:val="00681D4E"/>
    <w:rsid w:val="00694B30"/>
    <w:rsid w:val="006D1DC0"/>
    <w:rsid w:val="006E5903"/>
    <w:rsid w:val="006F7CD8"/>
    <w:rsid w:val="00713DF7"/>
    <w:rsid w:val="00714BDF"/>
    <w:rsid w:val="00725CF0"/>
    <w:rsid w:val="007279AC"/>
    <w:rsid w:val="00762971"/>
    <w:rsid w:val="007641FB"/>
    <w:rsid w:val="00783E8F"/>
    <w:rsid w:val="007A5566"/>
    <w:rsid w:val="007E58C2"/>
    <w:rsid w:val="007F29C4"/>
    <w:rsid w:val="0082283C"/>
    <w:rsid w:val="0082567D"/>
    <w:rsid w:val="00826EBC"/>
    <w:rsid w:val="00836E79"/>
    <w:rsid w:val="00845798"/>
    <w:rsid w:val="008470EC"/>
    <w:rsid w:val="00853604"/>
    <w:rsid w:val="0085676B"/>
    <w:rsid w:val="008A29BB"/>
    <w:rsid w:val="008C7E3D"/>
    <w:rsid w:val="008C7EDB"/>
    <w:rsid w:val="008D1B99"/>
    <w:rsid w:val="008E1AC9"/>
    <w:rsid w:val="008E7D88"/>
    <w:rsid w:val="00926E95"/>
    <w:rsid w:val="00931D42"/>
    <w:rsid w:val="00945A2E"/>
    <w:rsid w:val="0094720A"/>
    <w:rsid w:val="00955141"/>
    <w:rsid w:val="00976A3C"/>
    <w:rsid w:val="009837B7"/>
    <w:rsid w:val="00993E0B"/>
    <w:rsid w:val="009954FF"/>
    <w:rsid w:val="009B6663"/>
    <w:rsid w:val="009C66F1"/>
    <w:rsid w:val="009E0819"/>
    <w:rsid w:val="009E22A8"/>
    <w:rsid w:val="009E780C"/>
    <w:rsid w:val="009F4437"/>
    <w:rsid w:val="00A00607"/>
    <w:rsid w:val="00A06958"/>
    <w:rsid w:val="00A06EE7"/>
    <w:rsid w:val="00A13480"/>
    <w:rsid w:val="00A32A92"/>
    <w:rsid w:val="00A33C49"/>
    <w:rsid w:val="00A358A3"/>
    <w:rsid w:val="00A413DD"/>
    <w:rsid w:val="00A50362"/>
    <w:rsid w:val="00A57F80"/>
    <w:rsid w:val="00A83D7B"/>
    <w:rsid w:val="00A9493C"/>
    <w:rsid w:val="00AB3067"/>
    <w:rsid w:val="00AB5290"/>
    <w:rsid w:val="00AC0193"/>
    <w:rsid w:val="00AD048B"/>
    <w:rsid w:val="00AE7C3C"/>
    <w:rsid w:val="00B1412F"/>
    <w:rsid w:val="00B211F9"/>
    <w:rsid w:val="00B26E24"/>
    <w:rsid w:val="00B4252E"/>
    <w:rsid w:val="00B53AF7"/>
    <w:rsid w:val="00B54324"/>
    <w:rsid w:val="00B61E89"/>
    <w:rsid w:val="00B6593C"/>
    <w:rsid w:val="00B67A65"/>
    <w:rsid w:val="00B84507"/>
    <w:rsid w:val="00BB647C"/>
    <w:rsid w:val="00BF51D2"/>
    <w:rsid w:val="00C0263D"/>
    <w:rsid w:val="00C4112F"/>
    <w:rsid w:val="00C428FD"/>
    <w:rsid w:val="00C43ACC"/>
    <w:rsid w:val="00C50689"/>
    <w:rsid w:val="00C7633F"/>
    <w:rsid w:val="00C87264"/>
    <w:rsid w:val="00C87793"/>
    <w:rsid w:val="00C9633A"/>
    <w:rsid w:val="00CC0789"/>
    <w:rsid w:val="00CC2456"/>
    <w:rsid w:val="00CC30FF"/>
    <w:rsid w:val="00CF4CFE"/>
    <w:rsid w:val="00CF78BC"/>
    <w:rsid w:val="00D233E7"/>
    <w:rsid w:val="00D267D5"/>
    <w:rsid w:val="00D34749"/>
    <w:rsid w:val="00D357A3"/>
    <w:rsid w:val="00D47D37"/>
    <w:rsid w:val="00D53715"/>
    <w:rsid w:val="00D538F0"/>
    <w:rsid w:val="00D63BE6"/>
    <w:rsid w:val="00D64926"/>
    <w:rsid w:val="00D7456F"/>
    <w:rsid w:val="00D80880"/>
    <w:rsid w:val="00D817DF"/>
    <w:rsid w:val="00D82673"/>
    <w:rsid w:val="00D85F48"/>
    <w:rsid w:val="00D87C20"/>
    <w:rsid w:val="00D920DB"/>
    <w:rsid w:val="00D95E7B"/>
    <w:rsid w:val="00DA7459"/>
    <w:rsid w:val="00DF1B2B"/>
    <w:rsid w:val="00DF6206"/>
    <w:rsid w:val="00E313DC"/>
    <w:rsid w:val="00E55BB9"/>
    <w:rsid w:val="00E67A3C"/>
    <w:rsid w:val="00E7173B"/>
    <w:rsid w:val="00E7221B"/>
    <w:rsid w:val="00E77202"/>
    <w:rsid w:val="00E803D2"/>
    <w:rsid w:val="00E85858"/>
    <w:rsid w:val="00E86229"/>
    <w:rsid w:val="00E91E9A"/>
    <w:rsid w:val="00EB550A"/>
    <w:rsid w:val="00EC4173"/>
    <w:rsid w:val="00ED4FF5"/>
    <w:rsid w:val="00EF0FA8"/>
    <w:rsid w:val="00F14B24"/>
    <w:rsid w:val="00F21DE2"/>
    <w:rsid w:val="00F25AA5"/>
    <w:rsid w:val="00F320DE"/>
    <w:rsid w:val="00F46F28"/>
    <w:rsid w:val="00F5543F"/>
    <w:rsid w:val="00F628D5"/>
    <w:rsid w:val="00F67F60"/>
    <w:rsid w:val="00F70DE1"/>
    <w:rsid w:val="00F866FE"/>
    <w:rsid w:val="00F96DB1"/>
    <w:rsid w:val="00FC1A73"/>
    <w:rsid w:val="00FD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6129"/>
  <w15:chartTrackingRefBased/>
  <w15:docId w15:val="{87A836AB-AC18-B746-9F21-6D9BCF2C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A9F"/>
    <w:rPr>
      <w:rFonts w:ascii="Times New Roman" w:hAnsi="Times New Roman"/>
    </w:rPr>
  </w:style>
  <w:style w:type="paragraph" w:styleId="Heading1">
    <w:name w:val="heading 1"/>
    <w:basedOn w:val="Normal"/>
    <w:next w:val="Normal"/>
    <w:link w:val="Heading1Char"/>
    <w:uiPriority w:val="9"/>
    <w:qFormat/>
    <w:rsid w:val="00B67A65"/>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016A9F"/>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67A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E95"/>
    <w:rPr>
      <w:sz w:val="16"/>
      <w:szCs w:val="16"/>
    </w:rPr>
  </w:style>
  <w:style w:type="paragraph" w:styleId="CommentText">
    <w:name w:val="annotation text"/>
    <w:basedOn w:val="Normal"/>
    <w:link w:val="CommentTextChar"/>
    <w:uiPriority w:val="99"/>
    <w:semiHidden/>
    <w:unhideWhenUsed/>
    <w:rsid w:val="00926E95"/>
    <w:rPr>
      <w:sz w:val="20"/>
      <w:szCs w:val="20"/>
    </w:rPr>
  </w:style>
  <w:style w:type="character" w:customStyle="1" w:styleId="CommentTextChar">
    <w:name w:val="Comment Text Char"/>
    <w:basedOn w:val="DefaultParagraphFont"/>
    <w:link w:val="CommentText"/>
    <w:uiPriority w:val="99"/>
    <w:semiHidden/>
    <w:rsid w:val="00926E95"/>
    <w:rPr>
      <w:sz w:val="20"/>
      <w:szCs w:val="20"/>
    </w:rPr>
  </w:style>
  <w:style w:type="paragraph" w:styleId="BalloonText">
    <w:name w:val="Balloon Text"/>
    <w:basedOn w:val="Normal"/>
    <w:link w:val="BalloonTextChar"/>
    <w:uiPriority w:val="99"/>
    <w:semiHidden/>
    <w:unhideWhenUsed/>
    <w:rsid w:val="00926E95"/>
    <w:rPr>
      <w:rFonts w:cs="Times New Roman"/>
      <w:sz w:val="18"/>
      <w:szCs w:val="18"/>
    </w:rPr>
  </w:style>
  <w:style w:type="character" w:customStyle="1" w:styleId="BalloonTextChar">
    <w:name w:val="Balloon Text Char"/>
    <w:basedOn w:val="DefaultParagraphFont"/>
    <w:link w:val="BalloonText"/>
    <w:uiPriority w:val="99"/>
    <w:semiHidden/>
    <w:rsid w:val="00926E95"/>
    <w:rPr>
      <w:rFonts w:ascii="Times New Roman" w:hAnsi="Times New Roman" w:cs="Times New Roman"/>
      <w:sz w:val="18"/>
      <w:szCs w:val="18"/>
    </w:rPr>
  </w:style>
  <w:style w:type="paragraph" w:styleId="ListParagraph">
    <w:name w:val="List Paragraph"/>
    <w:basedOn w:val="Normal"/>
    <w:uiPriority w:val="34"/>
    <w:qFormat/>
    <w:rsid w:val="009B6663"/>
    <w:pPr>
      <w:ind w:left="720"/>
      <w:contextualSpacing/>
    </w:pPr>
  </w:style>
  <w:style w:type="character" w:customStyle="1" w:styleId="Heading1Char">
    <w:name w:val="Heading 1 Char"/>
    <w:basedOn w:val="DefaultParagraphFont"/>
    <w:link w:val="Heading1"/>
    <w:uiPriority w:val="9"/>
    <w:rsid w:val="00B67A65"/>
    <w:rPr>
      <w:rFonts w:ascii="Times New Roman" w:eastAsiaTheme="majorEastAsia" w:hAnsi="Times New Roman" w:cstheme="majorBidi"/>
      <w:sz w:val="28"/>
      <w:szCs w:val="32"/>
    </w:rPr>
  </w:style>
  <w:style w:type="character" w:styleId="SubtleEmphasis">
    <w:name w:val="Subtle Emphasis"/>
    <w:basedOn w:val="DefaultParagraphFont"/>
    <w:uiPriority w:val="19"/>
    <w:qFormat/>
    <w:rsid w:val="00016A9F"/>
    <w:rPr>
      <w:i/>
      <w:iCs/>
      <w:color w:val="404040" w:themeColor="text1" w:themeTint="BF"/>
    </w:rPr>
  </w:style>
  <w:style w:type="paragraph" w:customStyle="1" w:styleId="prelim">
    <w:name w:val="prelim"/>
    <w:basedOn w:val="Heading1"/>
    <w:qFormat/>
    <w:rsid w:val="00016A9F"/>
    <w:rPr>
      <w:b/>
    </w:rPr>
  </w:style>
  <w:style w:type="paragraph" w:styleId="TOC1">
    <w:name w:val="toc 1"/>
    <w:basedOn w:val="Normal"/>
    <w:next w:val="Normal"/>
    <w:autoRedefine/>
    <w:uiPriority w:val="39"/>
    <w:unhideWhenUsed/>
    <w:rsid w:val="00783E8F"/>
    <w:pPr>
      <w:tabs>
        <w:tab w:val="right" w:pos="9350"/>
      </w:tabs>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016A9F"/>
    <w:rPr>
      <w:rFonts w:asciiTheme="minorHAnsi" w:hAnsiTheme="minorHAnsi"/>
      <w:b/>
      <w:bCs/>
      <w:smallCaps/>
      <w:sz w:val="22"/>
      <w:szCs w:val="22"/>
    </w:rPr>
  </w:style>
  <w:style w:type="paragraph" w:styleId="TOC3">
    <w:name w:val="toc 3"/>
    <w:basedOn w:val="Normal"/>
    <w:next w:val="Normal"/>
    <w:autoRedefine/>
    <w:uiPriority w:val="39"/>
    <w:unhideWhenUsed/>
    <w:rsid w:val="00016A9F"/>
    <w:rPr>
      <w:rFonts w:asciiTheme="minorHAnsi" w:hAnsiTheme="minorHAnsi"/>
      <w:smallCaps/>
      <w:sz w:val="22"/>
      <w:szCs w:val="22"/>
    </w:rPr>
  </w:style>
  <w:style w:type="paragraph" w:styleId="TOC4">
    <w:name w:val="toc 4"/>
    <w:basedOn w:val="Normal"/>
    <w:next w:val="Normal"/>
    <w:autoRedefine/>
    <w:uiPriority w:val="39"/>
    <w:unhideWhenUsed/>
    <w:rsid w:val="00016A9F"/>
    <w:rPr>
      <w:rFonts w:asciiTheme="minorHAnsi" w:hAnsiTheme="minorHAnsi"/>
      <w:sz w:val="22"/>
      <w:szCs w:val="22"/>
    </w:rPr>
  </w:style>
  <w:style w:type="paragraph" w:styleId="TOC5">
    <w:name w:val="toc 5"/>
    <w:basedOn w:val="Normal"/>
    <w:next w:val="Normal"/>
    <w:autoRedefine/>
    <w:uiPriority w:val="39"/>
    <w:unhideWhenUsed/>
    <w:rsid w:val="00016A9F"/>
    <w:rPr>
      <w:rFonts w:asciiTheme="minorHAnsi" w:hAnsiTheme="minorHAnsi"/>
      <w:sz w:val="22"/>
      <w:szCs w:val="22"/>
    </w:rPr>
  </w:style>
  <w:style w:type="paragraph" w:styleId="TOC6">
    <w:name w:val="toc 6"/>
    <w:basedOn w:val="Normal"/>
    <w:next w:val="Normal"/>
    <w:autoRedefine/>
    <w:uiPriority w:val="39"/>
    <w:unhideWhenUsed/>
    <w:rsid w:val="00016A9F"/>
    <w:rPr>
      <w:rFonts w:asciiTheme="minorHAnsi" w:hAnsiTheme="minorHAnsi"/>
      <w:sz w:val="22"/>
      <w:szCs w:val="22"/>
    </w:rPr>
  </w:style>
  <w:style w:type="paragraph" w:styleId="TOC7">
    <w:name w:val="toc 7"/>
    <w:basedOn w:val="Normal"/>
    <w:next w:val="Normal"/>
    <w:autoRedefine/>
    <w:uiPriority w:val="39"/>
    <w:unhideWhenUsed/>
    <w:rsid w:val="00016A9F"/>
    <w:rPr>
      <w:rFonts w:asciiTheme="minorHAnsi" w:hAnsiTheme="minorHAnsi"/>
      <w:sz w:val="22"/>
      <w:szCs w:val="22"/>
    </w:rPr>
  </w:style>
  <w:style w:type="paragraph" w:styleId="TOC8">
    <w:name w:val="toc 8"/>
    <w:basedOn w:val="Normal"/>
    <w:next w:val="Normal"/>
    <w:autoRedefine/>
    <w:uiPriority w:val="39"/>
    <w:unhideWhenUsed/>
    <w:rsid w:val="00016A9F"/>
    <w:rPr>
      <w:rFonts w:asciiTheme="minorHAnsi" w:hAnsiTheme="minorHAnsi"/>
      <w:sz w:val="22"/>
      <w:szCs w:val="22"/>
    </w:rPr>
  </w:style>
  <w:style w:type="paragraph" w:styleId="TOC9">
    <w:name w:val="toc 9"/>
    <w:basedOn w:val="Normal"/>
    <w:next w:val="Normal"/>
    <w:autoRedefine/>
    <w:uiPriority w:val="39"/>
    <w:unhideWhenUsed/>
    <w:rsid w:val="00016A9F"/>
    <w:rPr>
      <w:rFonts w:asciiTheme="minorHAnsi" w:hAnsiTheme="minorHAnsi"/>
      <w:sz w:val="22"/>
      <w:szCs w:val="22"/>
    </w:rPr>
  </w:style>
  <w:style w:type="character" w:styleId="Hyperlink">
    <w:name w:val="Hyperlink"/>
    <w:basedOn w:val="DefaultParagraphFont"/>
    <w:uiPriority w:val="99"/>
    <w:unhideWhenUsed/>
    <w:rsid w:val="00016A9F"/>
    <w:rPr>
      <w:color w:val="0563C1" w:themeColor="hyperlink"/>
      <w:u w:val="single"/>
    </w:rPr>
  </w:style>
  <w:style w:type="character" w:customStyle="1" w:styleId="Heading2Char">
    <w:name w:val="Heading 2 Char"/>
    <w:basedOn w:val="DefaultParagraphFont"/>
    <w:link w:val="Heading2"/>
    <w:uiPriority w:val="9"/>
    <w:rsid w:val="00016A9F"/>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B67A65"/>
    <w:pPr>
      <w:spacing w:before="480" w:line="276" w:lineRule="auto"/>
      <w:outlineLvl w:val="9"/>
    </w:pPr>
    <w:rPr>
      <w:rFonts w:asciiTheme="majorHAnsi" w:hAnsiTheme="majorHAnsi"/>
      <w:bCs/>
      <w:color w:val="2F5496" w:themeColor="accent1" w:themeShade="BF"/>
      <w:szCs w:val="28"/>
    </w:rPr>
  </w:style>
  <w:style w:type="character" w:customStyle="1" w:styleId="Heading3Char">
    <w:name w:val="Heading 3 Char"/>
    <w:basedOn w:val="DefaultParagraphFont"/>
    <w:link w:val="Heading3"/>
    <w:uiPriority w:val="9"/>
    <w:rsid w:val="00B67A6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655367"/>
    <w:pPr>
      <w:tabs>
        <w:tab w:val="center" w:pos="4680"/>
        <w:tab w:val="right" w:pos="9360"/>
      </w:tabs>
    </w:pPr>
  </w:style>
  <w:style w:type="character" w:customStyle="1" w:styleId="HeaderChar">
    <w:name w:val="Header Char"/>
    <w:basedOn w:val="DefaultParagraphFont"/>
    <w:link w:val="Header"/>
    <w:uiPriority w:val="99"/>
    <w:rsid w:val="00655367"/>
    <w:rPr>
      <w:rFonts w:ascii="Times New Roman" w:hAnsi="Times New Roman"/>
    </w:rPr>
  </w:style>
  <w:style w:type="paragraph" w:styleId="Footer">
    <w:name w:val="footer"/>
    <w:basedOn w:val="Normal"/>
    <w:link w:val="FooterChar"/>
    <w:uiPriority w:val="99"/>
    <w:unhideWhenUsed/>
    <w:rsid w:val="00655367"/>
    <w:pPr>
      <w:tabs>
        <w:tab w:val="center" w:pos="4680"/>
        <w:tab w:val="right" w:pos="9360"/>
      </w:tabs>
    </w:pPr>
  </w:style>
  <w:style w:type="character" w:customStyle="1" w:styleId="FooterChar">
    <w:name w:val="Footer Char"/>
    <w:basedOn w:val="DefaultParagraphFont"/>
    <w:link w:val="Footer"/>
    <w:uiPriority w:val="99"/>
    <w:rsid w:val="0065536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E725D"/>
    <w:rPr>
      <w:b/>
      <w:bCs/>
    </w:rPr>
  </w:style>
  <w:style w:type="character" w:customStyle="1" w:styleId="CommentSubjectChar">
    <w:name w:val="Comment Subject Char"/>
    <w:basedOn w:val="CommentTextChar"/>
    <w:link w:val="CommentSubject"/>
    <w:uiPriority w:val="99"/>
    <w:semiHidden/>
    <w:rsid w:val="001E725D"/>
    <w:rPr>
      <w:rFonts w:ascii="Times New Roman" w:hAnsi="Times New Roman"/>
      <w:b/>
      <w:bCs/>
      <w:sz w:val="20"/>
      <w:szCs w:val="20"/>
    </w:rPr>
  </w:style>
  <w:style w:type="paragraph" w:styleId="Bibliography">
    <w:name w:val="Bibliography"/>
    <w:basedOn w:val="Normal"/>
    <w:next w:val="Normal"/>
    <w:uiPriority w:val="37"/>
    <w:unhideWhenUsed/>
    <w:rsid w:val="004638BC"/>
    <w:pPr>
      <w:spacing w:line="480" w:lineRule="auto"/>
      <w:ind w:left="720" w:hanging="720"/>
    </w:pPr>
  </w:style>
  <w:style w:type="paragraph" w:styleId="Revision">
    <w:name w:val="Revision"/>
    <w:hidden/>
    <w:uiPriority w:val="99"/>
    <w:semiHidden/>
    <w:rsid w:val="004B030F"/>
    <w:rPr>
      <w:rFonts w:ascii="Times New Roman" w:hAnsi="Times New Roman"/>
    </w:rPr>
  </w:style>
  <w:style w:type="paragraph" w:styleId="NormalWeb">
    <w:name w:val="Normal (Web)"/>
    <w:basedOn w:val="Normal"/>
    <w:uiPriority w:val="99"/>
    <w:semiHidden/>
    <w:unhideWhenUsed/>
    <w:rsid w:val="00826EBC"/>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80082">
      <w:bodyDiv w:val="1"/>
      <w:marLeft w:val="0"/>
      <w:marRight w:val="0"/>
      <w:marTop w:val="0"/>
      <w:marBottom w:val="0"/>
      <w:divBdr>
        <w:top w:val="none" w:sz="0" w:space="0" w:color="auto"/>
        <w:left w:val="none" w:sz="0" w:space="0" w:color="auto"/>
        <w:bottom w:val="none" w:sz="0" w:space="0" w:color="auto"/>
        <w:right w:val="none" w:sz="0" w:space="0" w:color="auto"/>
      </w:divBdr>
    </w:div>
    <w:div w:id="1594631240">
      <w:bodyDiv w:val="1"/>
      <w:marLeft w:val="0"/>
      <w:marRight w:val="0"/>
      <w:marTop w:val="0"/>
      <w:marBottom w:val="0"/>
      <w:divBdr>
        <w:top w:val="none" w:sz="0" w:space="0" w:color="auto"/>
        <w:left w:val="none" w:sz="0" w:space="0" w:color="auto"/>
        <w:bottom w:val="none" w:sz="0" w:space="0" w:color="auto"/>
        <w:right w:val="none" w:sz="0" w:space="0" w:color="auto"/>
      </w:divBdr>
    </w:div>
    <w:div w:id="1979648563">
      <w:bodyDiv w:val="1"/>
      <w:marLeft w:val="0"/>
      <w:marRight w:val="0"/>
      <w:marTop w:val="0"/>
      <w:marBottom w:val="0"/>
      <w:divBdr>
        <w:top w:val="none" w:sz="0" w:space="0" w:color="auto"/>
        <w:left w:val="none" w:sz="0" w:space="0" w:color="auto"/>
        <w:bottom w:val="none" w:sz="0" w:space="0" w:color="auto"/>
        <w:right w:val="none" w:sz="0" w:space="0" w:color="auto"/>
      </w:divBdr>
    </w:div>
    <w:div w:id="210287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875E8-F5F7-7244-8CA0-9A245FA71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19</Pages>
  <Words>42046</Words>
  <Characters>239667</Characters>
  <Application>Microsoft Office Word</Application>
  <DocSecurity>0</DocSecurity>
  <Lines>1997</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125</cp:revision>
  <dcterms:created xsi:type="dcterms:W3CDTF">2019-07-24T15:08:00Z</dcterms:created>
  <dcterms:modified xsi:type="dcterms:W3CDTF">2019-11-27T14:54:00Z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id="Jl8YHAX2"/&gt;&lt;style id="http://www.zotero.org/styles/apa" locale="en-US" hasBibliography="1" bibliographyStyleHasBeenSet="1"/&gt;&lt;prefs&gt;&lt;pref name="fieldType" value="Field"/&gt;&lt;/prefs&gt;&lt;/data&gt;</vt:lpwstr>
  </property>
  <property fmtid="{D5CDD505-2E9C-101B-9397-08002B2CF9AE}" pid="3" name="ZOTERO_PREF_2">
    <vt:lpwstr/>
  </property>
</Properties>
</file>