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0707371C" w:rsidR="002E1770" w:rsidRDefault="002E1770" w:rsidP="002E1770">
      <w:pPr>
        <w:pStyle w:val="Heading3"/>
      </w:pPr>
      <w:r>
        <w:t>Time-restricted feeding</w:t>
      </w:r>
    </w:p>
    <w:p w14:paraId="3B65BFAC" w14:textId="635F390C" w:rsidR="002E1770" w:rsidRDefault="004F1183" w:rsidP="002E1770">
      <w:pPr>
        <w:rPr>
          <w:rFonts w:cs="Times New Roman"/>
        </w:rPr>
      </w:pPr>
      <w:ins w:id="2" w:author="Dave Bridges" w:date="2019-11-27T09:28:00Z">
        <w:r>
          <w:rPr>
            <w:rFonts w:cs="Times New Roman"/>
            <w:noProof/>
          </w:rPr>
          <mc:AlternateContent>
            <mc:Choice Requires="wps">
              <w:drawing>
                <wp:anchor distT="0" distB="0" distL="114300" distR="114300" simplePos="0" relativeHeight="251660288" behindDoc="0" locked="0" layoutInCell="1" allowOverlap="1" wp14:anchorId="35DE9DC0" wp14:editId="16BF3861">
                  <wp:simplePos x="0" y="0"/>
                  <wp:positionH relativeFrom="column">
                    <wp:align>right</wp:align>
                  </wp:positionH>
                  <wp:positionV relativeFrom="paragraph">
                    <wp:posOffset>297158</wp:posOffset>
                  </wp:positionV>
                  <wp:extent cx="2029968" cy="2121408"/>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968" cy="2121408"/>
                          </a:xfrm>
                          <a:prstGeom prst="rect">
                            <a:avLst/>
                          </a:prstGeom>
                          <a:solidFill>
                            <a:schemeClr val="lt1"/>
                          </a:solidFill>
                          <a:ln w="6350">
                            <a:noFill/>
                          </a:ln>
                        </wps:spPr>
                        <wps:txbx>
                          <w:txbxContent>
                            <w:p w14:paraId="3E92F007" w14:textId="590B2119" w:rsidR="004F1183" w:rsidRDefault="004F1183">
                              <w:pPr>
                                <w:rPr>
                                  <w:ins w:id="3" w:author="Dave Bridges" w:date="2019-11-27T09:28:00Z"/>
                                </w:rPr>
                              </w:pPr>
                              <w:ins w:id="4"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2555085A" w:rsidR="004F1183" w:rsidRDefault="004F1183">
                              <w:ins w:id="5" w:author="Dave Bridges" w:date="2019-11-27T09:28:00Z">
                                <w:r>
                                  <w:t>Figure 1:</w:t>
                                </w:r>
                              </w:ins>
                              <w:ins w:id="6" w:author="Molly Carter" w:date="2019-12-13T12:00:00Z">
                                <w:r w:rsidR="00FD2AF9">
                                  <w:t xml:space="preserve"> Depicts popularity of “intermittent fasting” as a google search term from 2009-2019</w:t>
                                </w:r>
                              </w:ins>
                              <w:ins w:id="7" w:author="Molly Carter" w:date="2019-12-13T12:01:00Z">
                                <w:r w:rsidR="00FD2AF9">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108.65pt;margin-top:23.4pt;width:159.85pt;height:167.05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" fillcolor="white [3201]" stroked="f" strokeweight=".5pt">
                  <v:textbox>
                    <w:txbxContent>
                      <w:p w14:paraId="3E92F007" w14:textId="590B2119" w:rsidR="004F1183" w:rsidRDefault="004F1183">
                        <w:pPr>
                          <w:rPr>
                            <w:ins w:id="8" w:author="Dave Bridges" w:date="2019-11-27T09:28:00Z"/>
                          </w:rPr>
                        </w:pPr>
                        <w:ins w:id="9"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2555085A" w:rsidR="004F1183" w:rsidRDefault="004F1183">
                        <w:ins w:id="10" w:author="Dave Bridges" w:date="2019-11-27T09:28:00Z">
                          <w:r>
                            <w:t>Figure 1:</w:t>
                          </w:r>
                        </w:ins>
                        <w:ins w:id="11" w:author="Molly Carter" w:date="2019-12-13T12:00:00Z">
                          <w:r w:rsidR="00FD2AF9">
                            <w:t xml:space="preserve"> Depicts popularity of “intermittent fasting” as a google search term from 2009-2019</w:t>
                          </w:r>
                        </w:ins>
                        <w:ins w:id="12" w:author="Molly Carter" w:date="2019-12-13T12:01:00Z">
                          <w:r w:rsidR="00FD2AF9">
                            <w:t xml:space="preserve">. </w:t>
                          </w:r>
                        </w:ins>
                      </w:p>
                    </w:txbxContent>
                  </v:textbox>
                  <w10:wrap type="square" side="left"/>
                </v:shape>
              </w:pict>
            </mc:Fallback>
          </mc:AlternateContent>
        </w:r>
      </w:ins>
      <w:del w:id="13" w:author="Dave Bridges" w:date="2019-11-27T09:28:00Z">
        <w:r w:rsidDel="004F1183">
          <w:rPr>
            <w:rFonts w:cs="Times New Roman"/>
            <w:noProof/>
          </w:rPr>
          <w:drawing>
            <wp:anchor distT="0" distB="0" distL="114300" distR="114300" simplePos="0" relativeHeight="251658240" behindDoc="1" locked="0" layoutInCell="1" allowOverlap="1" wp14:anchorId="27AAC2A0" wp14:editId="54C926BF">
              <wp:simplePos x="0" y="0"/>
              <wp:positionH relativeFrom="column">
                <wp:posOffset>3841115</wp:posOffset>
              </wp:positionH>
              <wp:positionV relativeFrom="paragraph">
                <wp:posOffset>66040</wp:posOffset>
              </wp:positionV>
              <wp:extent cx="1864995" cy="1259205"/>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14:sizeRelH relativeFrom="page">
                <wp14:pctWidth>0</wp14:pctWidth>
              </wp14:sizeRelH>
              <wp14:sizeRelV relativeFrom="page">
                <wp14:pctHeight>0</wp14:pctHeight>
              </wp14:sizeRelV>
            </wp:anchor>
          </w:drawing>
        </w:r>
      </w:del>
      <w:r w:rsidR="00D87C20">
        <w:rPr>
          <w:rFonts w:cs="Times New Roman"/>
        </w:rPr>
        <w:t>Time-restricted feeding</w:t>
      </w:r>
      <w:ins w:id="14" w:author="Molly Carter" w:date="2019-12-12T17:59:00Z">
        <w:r w:rsidR="00EF245E">
          <w:rPr>
            <w:rFonts w:cs="Times New Roman"/>
          </w:rPr>
          <w:t xml:space="preserve">, </w:t>
        </w:r>
      </w:ins>
      <w:ins w:id="15" w:author="Molly Carter" w:date="2019-12-13T11:58:00Z">
        <w:r w:rsidR="00FD2AF9">
          <w:rPr>
            <w:rFonts w:cs="Times New Roman"/>
          </w:rPr>
          <w:t xml:space="preserve">meaning </w:t>
        </w:r>
      </w:ins>
      <w:ins w:id="16" w:author="Molly Carter" w:date="2019-12-13T12:01:00Z">
        <w:r w:rsidR="00FD4F3A">
          <w:rPr>
            <w:rFonts w:cs="Times New Roman"/>
          </w:rPr>
          <w:t>a designated and condensed period in which one consumes their daily calories (usually between 6-10 hours in le</w:t>
        </w:r>
      </w:ins>
      <w:ins w:id="17" w:author="Molly Carter" w:date="2019-12-13T12:06:00Z">
        <w:r w:rsidR="00500183">
          <w:rPr>
            <w:rFonts w:cs="Times New Roman"/>
          </w:rPr>
          <w:t>ng</w:t>
        </w:r>
      </w:ins>
      <w:ins w:id="18" w:author="Molly Carter" w:date="2019-12-13T12:01:00Z">
        <w:r w:rsidR="00FD4F3A">
          <w:rPr>
            <w:rFonts w:cs="Times New Roman"/>
          </w:rPr>
          <w:t>th)</w:t>
        </w:r>
      </w:ins>
      <w:ins w:id="19" w:author="Molly Carter" w:date="2019-12-13T12:02:00Z">
        <w:r w:rsidR="00FD4F3A">
          <w:rPr>
            <w:rFonts w:cs="Times New Roman"/>
          </w:rPr>
          <w:t xml:space="preserve">, </w:t>
        </w:r>
      </w:ins>
      <w:r w:rsidR="00D87C20">
        <w:rPr>
          <w:rFonts w:cs="Times New Roman"/>
        </w:rPr>
        <w:t>is a</w:t>
      </w:r>
      <w:ins w:id="20" w:author="Dave Bridges" w:date="2019-11-27T09:30:00Z">
        <w:r w:rsidR="002C32E9">
          <w:rPr>
            <w:rFonts w:cs="Times New Roman"/>
          </w:rPr>
          <w:t xml:space="preserve"> dietary</w:t>
        </w:r>
      </w:ins>
      <w:r w:rsidR="00D87C20">
        <w:rPr>
          <w:rFonts w:cs="Times New Roman"/>
        </w:rPr>
        <w:t xml:space="preserve"> </w:t>
      </w:r>
      <w:ins w:id="21" w:author="Molly Carter" w:date="2019-12-13T12:02:00Z">
        <w:r w:rsidR="00FD4F3A">
          <w:rPr>
            <w:rFonts w:cs="Times New Roman"/>
          </w:rPr>
          <w:t>strategy t</w:t>
        </w:r>
      </w:ins>
      <w:r w:rsidR="00D87C20">
        <w:rPr>
          <w:rFonts w:cs="Times New Roman"/>
        </w:rPr>
        <w:t>hat is gaining in</w:t>
      </w:r>
      <w:r w:rsidR="00C87264">
        <w:rPr>
          <w:rFonts w:cs="Times New Roman"/>
        </w:rPr>
        <w:t xml:space="preserve"> popular interest</w:t>
      </w:r>
      <w:ins w:id="22" w:author="Dave Bridges" w:date="2019-11-27T09:31:00Z">
        <w:r w:rsidR="002C32E9">
          <w:rPr>
            <w:rFonts w:cs="Times New Roman"/>
          </w:rPr>
          <w:t xml:space="preserve"> (Figure</w:t>
        </w:r>
      </w:ins>
      <w:r w:rsidR="00C87264">
        <w:rPr>
          <w:rFonts w:cs="Times New Roman"/>
        </w:rPr>
        <w:t xml:space="preserve"> 1</w:t>
      </w:r>
      <w:ins w:id="23" w:author="Dave Bridges" w:date="2019-11-27T09:31:00Z">
        <w:r w:rsidR="002C32E9">
          <w:rPr>
            <w:rFonts w:cs="Times New Roman"/>
          </w:rPr>
          <w:t>)</w:t>
        </w:r>
      </w:ins>
      <w:r w:rsidR="00D87C20">
        <w:rPr>
          <w:rFonts w:cs="Times New Roman"/>
        </w:rPr>
        <w:t xml:space="preserve">. </w:t>
      </w:r>
      <w:commentRangeStart w:id="24"/>
      <w:ins w:id="25" w:author="Molly Carter" w:date="2019-12-13T12:02:00Z">
        <w:r w:rsidR="00FD4F3A">
          <w:rPr>
            <w:rFonts w:cs="Times New Roman"/>
          </w:rPr>
          <w:t xml:space="preserve">This method is a modality to implement intermittent fasting, which is distinct from </w:t>
        </w:r>
      </w:ins>
      <w:ins w:id="26" w:author="Molly Carter" w:date="2019-12-13T12:06:00Z">
        <w:r w:rsidR="00500183">
          <w:rPr>
            <w:rFonts w:cs="Times New Roman"/>
          </w:rPr>
          <w:t xml:space="preserve">two other modalities, alternate day fasting (ADF) where an individual </w:t>
        </w:r>
        <w:commentRangeEnd w:id="24"/>
        <w:r w:rsidR="00500183">
          <w:rPr>
            <w:rStyle w:val="CommentReference"/>
          </w:rPr>
          <w:commentReference w:id="24"/>
        </w:r>
      </w:ins>
      <w:ins w:id="27" w:author="Molly Carter" w:date="2019-12-13T12:09:00Z">
        <w:r w:rsidR="00654D03">
          <w:rPr>
            <w:rFonts w:cs="Times New Roman"/>
          </w:rPr>
          <w:t xml:space="preserve">alternates full days of fasting and </w:t>
        </w:r>
      </w:ins>
      <w:r w:rsidR="00654D03" w:rsidRPr="001A2B94">
        <w:rPr>
          <w:rFonts w:cs="Times New Roman"/>
          <w:i/>
        </w:rPr>
        <w:t>ad libitum</w:t>
      </w:r>
      <w:r w:rsidR="00654D03">
        <w:rPr>
          <w:rFonts w:cs="Times New Roman"/>
        </w:rPr>
        <w:t xml:space="preserve"> feeding, </w:t>
      </w:r>
      <w:r w:rsidR="00654D03" w:rsidRPr="00654D03">
        <w:rPr>
          <w:rFonts w:cs="Times New Roman"/>
          <w:highlight w:val="yellow"/>
          <w:rPrChange w:id="28" w:author="Molly Carter" w:date="2019-12-13T12:10:00Z">
            <w:rPr>
              <w:rFonts w:cs="Times New Roman"/>
            </w:rPr>
          </w:rPrChange>
        </w:rPr>
        <w:t>WHATEVER THE 3</w:t>
      </w:r>
      <w:r w:rsidR="00654D03" w:rsidRPr="00654D03">
        <w:rPr>
          <w:rFonts w:cs="Times New Roman"/>
          <w:highlight w:val="yellow"/>
          <w:vertAlign w:val="superscript"/>
          <w:rPrChange w:id="29" w:author="Molly Carter" w:date="2019-12-13T12:10:00Z">
            <w:rPr>
              <w:rFonts w:cs="Times New Roman"/>
            </w:rPr>
          </w:rPrChange>
        </w:rPr>
        <w:t>RD</w:t>
      </w:r>
      <w:r w:rsidR="00654D03" w:rsidRPr="00654D03">
        <w:rPr>
          <w:rFonts w:cs="Times New Roman"/>
          <w:highlight w:val="yellow"/>
          <w:rPrChange w:id="30" w:author="Molly Carter" w:date="2019-12-13T12:10:00Z">
            <w:rPr>
              <w:rFonts w:cs="Times New Roman"/>
            </w:rPr>
          </w:rPrChange>
        </w:rPr>
        <w:t xml:space="preserve"> TYPE IS I CAN NEVER REMEMBER</w:t>
      </w:r>
      <w:ins w:id="31" w:author="Molly Carter" w:date="2019-12-13T12:09:00Z">
        <w:r w:rsidR="00654D03">
          <w:rPr>
            <w:rFonts w:cs="Times New Roman"/>
          </w:rPr>
          <w:t xml:space="preserve">. and </w:t>
        </w:r>
      </w:ins>
      <w:ins w:id="32" w:author="Dave Bridges" w:date="2019-11-27T09:31:00Z">
        <w:r w:rsidR="002C32E9">
          <w:rPr>
            <w:rFonts w:cs="Times New Roman"/>
          </w:rPr>
          <w:t>Studies in humans have demonstrated improvements in insulin</w:t>
        </w:r>
      </w:ins>
      <w:r w:rsidR="002E1770">
        <w:rPr>
          <w:rFonts w:cs="Times New Roman"/>
        </w:rPr>
        <w:t xml:space="preserve"> sensitivity</w:t>
      </w:r>
      <w:ins w:id="33" w:author="Dave Bridges" w:date="2019-11-27T09:32:00Z">
        <w:r w:rsidR="002C32E9">
          <w:rPr>
            <w:rFonts w:cs="Times New Roman"/>
          </w:rPr>
          <w:t>, hypertens</w:t>
        </w:r>
      </w:ins>
      <w:ins w:id="34" w:author="Molly Carter" w:date="2019-12-13T12:06:00Z">
        <w:r w:rsidR="00500183">
          <w:rPr>
            <w:rFonts w:cs="Times New Roman"/>
          </w:rPr>
          <w:t>io</w:t>
        </w:r>
      </w:ins>
      <w:ins w:id="35" w:author="Dave Bridges" w:date="2019-11-27T09:32:00Z">
        <w:r w:rsidR="002C32E9">
          <w:rPr>
            <w:rFonts w:cs="Times New Roman"/>
          </w:rPr>
          <w:t>n</w:t>
        </w:r>
      </w:ins>
      <w:r w:rsidR="002E1770">
        <w:rPr>
          <w:rFonts w:cs="Times New Roman"/>
        </w:rPr>
        <w:t xml:space="preserve">, as well as other molecular markers of health </w:t>
      </w:r>
      <w:r w:rsidR="002E1770">
        <w:rPr>
          <w:rFonts w:cs="Times New Roman"/>
        </w:rPr>
        <w:fldChar w:fldCharType="begin"/>
      </w:r>
      <w:r w:rsidR="002E1770">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w:t>
      </w:r>
      <w:ins w:id="36" w:author="Dave Bridges" w:date="2019-11-27T09:34:00Z">
        <w:r w:rsidR="000B062D">
          <w:rPr>
            <w:rFonts w:cs="Times New Roman"/>
          </w:rPr>
          <w:t xml:space="preserve">An overview </w:t>
        </w:r>
      </w:ins>
      <w:del w:id="37" w:author="Dave Bridges" w:date="2019-11-27T09:32:00Z">
        <w:r w:rsidR="002E1770" w:rsidDel="000B062D">
          <w:rPr>
            <w:rFonts w:cs="Times New Roman"/>
          </w:rPr>
          <w:delText>Furthermore, many rodent</w:delText>
        </w:r>
      </w:del>
      <w:ins w:id="38" w:author="Dave Bridges" w:date="2019-11-27T09:34:00Z">
        <w:r w:rsidR="000B062D">
          <w:rPr>
            <w:rFonts w:cs="Times New Roman"/>
          </w:rPr>
          <w:t>of r</w:t>
        </w:r>
      </w:ins>
      <w:ins w:id="39" w:author="Dave Bridges" w:date="2019-11-27T09:32:00Z">
        <w:r w:rsidR="000B062D">
          <w:rPr>
            <w:rFonts w:cs="Times New Roman"/>
          </w:rPr>
          <w:t>odent</w:t>
        </w:r>
      </w:ins>
      <w:r w:rsidR="002E1770">
        <w:rPr>
          <w:rFonts w:cs="Times New Roman"/>
        </w:rPr>
        <w:t xml:space="preserve"> models of TRF demonstrate metabolic improvements in insulin resistance without weight loss </w:t>
      </w:r>
      <w:r w:rsidR="002E1770">
        <w:rPr>
          <w:rFonts w:cs="Times New Roman"/>
        </w:rPr>
        <w:fldChar w:fldCharType="begin"/>
      </w:r>
      <w:r w:rsidR="002E1770">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sidRPr="009C127A">
        <w:rPr>
          <w:rFonts w:cs="Times New Roman"/>
          <w:noProof/>
          <w:highlight w:val="yellow"/>
          <w:rPrChange w:id="40" w:author="Molly Carter" w:date="2019-12-13T12:25:00Z">
            <w:rPr>
              <w:rFonts w:cs="Times New Roman"/>
              <w:noProof/>
            </w:rPr>
          </w:rPrChange>
        </w:rPr>
        <w:t>(</w:t>
      </w:r>
      <w:ins w:id="41" w:author="Dave Bridges" w:date="2019-11-27T09:34:00Z">
        <w:r w:rsidR="000B062D" w:rsidRPr="009C127A">
          <w:rPr>
            <w:rFonts w:cs="Times New Roman"/>
            <w:noProof/>
            <w:highlight w:val="yellow"/>
            <w:rPrChange w:id="42" w:author="Molly Carter" w:date="2019-12-13T12:25:00Z">
              <w:rPr>
                <w:rFonts w:cs="Times New Roman"/>
                <w:noProof/>
              </w:rPr>
            </w:rPrChange>
          </w:rPr>
          <w:t>Table XX,</w:t>
        </w:r>
        <w:r w:rsidR="000B062D">
          <w:rPr>
            <w:rFonts w:cs="Times New Roman"/>
            <w:noProof/>
          </w:rPr>
          <w:t xml:space="preserve"> </w:t>
        </w:r>
      </w:ins>
      <w:r w:rsidR="001916B7">
        <w:rPr>
          <w:rFonts w:cs="Times New Roman"/>
          <w:noProof/>
        </w:rPr>
        <w:t>Hatori et al., 2012; Liu et al., 2019; Sherman et al., 2012; Woodie et al., 2018)</w:t>
      </w:r>
      <w:r w:rsidR="002E1770">
        <w:rPr>
          <w:rFonts w:cs="Times New Roman"/>
        </w:rPr>
        <w:fldChar w:fldCharType="end"/>
      </w:r>
      <w:ins w:id="43" w:author="Dave Bridges" w:date="2019-11-27T09:34:00Z">
        <w:r w:rsidR="000B062D">
          <w:rPr>
            <w:rFonts w:cs="Times New Roman"/>
          </w:rPr>
          <w:t>.  This</w:t>
        </w:r>
      </w:ins>
      <w:del w:id="44" w:author="Dave Bridges" w:date="2019-11-27T09:33:00Z">
        <w:r w:rsidR="002E1770" w:rsidDel="000B062D">
          <w:rPr>
            <w:rFonts w:cs="Times New Roman"/>
          </w:rPr>
          <w:delText>,</w:delText>
        </w:r>
      </w:del>
      <w:r w:rsidR="002E1770">
        <w:rPr>
          <w:rFonts w:cs="Times New Roman"/>
        </w:rPr>
        <w:t xml:space="preserve"> </w:t>
      </w:r>
      <w:del w:id="45" w:author="Dave Bridges" w:date="2019-11-27T09:34:00Z">
        <w:r w:rsidR="002E1770" w:rsidDel="000B062D">
          <w:rPr>
            <w:rFonts w:cs="Times New Roman"/>
          </w:rPr>
          <w:delText xml:space="preserve">suggesting </w:delText>
        </w:r>
      </w:del>
      <w:ins w:id="46" w:author="Dave Bridges" w:date="2019-11-27T09:34:00Z">
        <w:r w:rsidR="000B062D">
          <w:rPr>
            <w:rFonts w:cs="Times New Roman"/>
          </w:rPr>
          <w:t xml:space="preserve">suggests </w:t>
        </w:r>
      </w:ins>
      <w:del w:id="47" w:author="Dave Bridges" w:date="2019-11-27T09:34:00Z">
        <w:r w:rsidR="002E1770" w:rsidDel="000B062D">
          <w:rPr>
            <w:rFonts w:cs="Times New Roman"/>
          </w:rPr>
          <w:delText xml:space="preserve">it </w:delText>
        </w:r>
      </w:del>
      <w:bookmarkStart w:id="48" w:name="_GoBack"/>
      <w:bookmarkEnd w:id="48"/>
      <w:ins w:id="49" w:author="Dave Bridges" w:date="2019-11-27T09:34:00Z">
        <w:r w:rsidR="000B062D">
          <w:rPr>
            <w:rFonts w:cs="Times New Roman"/>
          </w:rPr>
          <w:t xml:space="preserve">that time-restricted feeding </w:t>
        </w:r>
      </w:ins>
      <w:r w:rsidR="002E1770">
        <w:rPr>
          <w:rFonts w:cs="Times New Roman"/>
        </w:rPr>
        <w:t>may be a</w:t>
      </w:r>
      <w:del w:id="50" w:author="Dave Bridges" w:date="2019-11-27T09:33:00Z">
        <w:r w:rsidR="002E1770" w:rsidDel="000B062D">
          <w:rPr>
            <w:rFonts w:cs="Times New Roman"/>
          </w:rPr>
          <w:delText xml:space="preserve"> uniquely </w:delText>
        </w:r>
      </w:del>
      <w:ins w:id="51" w:author="Dave Bridges" w:date="2019-11-27T09:33:00Z">
        <w:r w:rsidR="000B062D">
          <w:rPr>
            <w:rFonts w:cs="Times New Roman"/>
          </w:rPr>
          <w:t xml:space="preserve">n </w:t>
        </w:r>
      </w:ins>
      <w:r w:rsidR="002E1770">
        <w:rPr>
          <w:rFonts w:cs="Times New Roman"/>
        </w:rPr>
        <w:t xml:space="preserve">appropriate strategy for use in insulin resistant pregnant women. </w:t>
      </w:r>
      <w:del w:id="52" w:author="Dave Bridges" w:date="2019-11-27T09:35:00Z">
        <w:r w:rsidR="002E1770" w:rsidDel="00412002">
          <w:rPr>
            <w:rFonts w:cs="Times New Roman"/>
          </w:rPr>
          <w:delText>Although many things affected during pregnancy are also affected by TRF, t</w:delText>
        </w:r>
      </w:del>
      <w:ins w:id="53" w:author="Dave Bridges" w:date="2019-11-27T09:35:00Z">
        <w:r w:rsidR="00412002">
          <w:rPr>
            <w:rFonts w:cs="Times New Roman"/>
          </w:rPr>
          <w:t>T</w:t>
        </w:r>
      </w:ins>
      <w:r w:rsidR="002E1770">
        <w:rPr>
          <w:rFonts w:cs="Times New Roman"/>
        </w:rPr>
        <w:t xml:space="preserve">o date, no study has evaluated time-restricted feeding of normal chow in mouse pregnancy. Only one study of time restricted feeding during gestation </w:t>
      </w:r>
      <w:del w:id="54" w:author="Dave Bridges" w:date="2019-11-27T09:35:00Z">
        <w:r w:rsidR="002E1770" w:rsidDel="00412002">
          <w:rPr>
            <w:rFonts w:cs="Times New Roman"/>
          </w:rPr>
          <w:delText>was completed</w:delText>
        </w:r>
      </w:del>
      <w:ins w:id="55" w:author="Dave Bridges" w:date="2019-11-27T09:35:00Z">
        <w:r w:rsidR="00412002">
          <w:rPr>
            <w:rFonts w:cs="Times New Roman"/>
          </w:rPr>
          <w:t>has been published</w:t>
        </w:r>
      </w:ins>
      <w:r w:rsidR="002E1770">
        <w:rPr>
          <w:rFonts w:cs="Times New Roman"/>
        </w:rPr>
        <w:t xml:space="preserve">,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2E1770">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xml:space="preserve">. This work demonstrated that HFD-TRF feeding led to </w:t>
      </w:r>
      <w:del w:id="56" w:author="Dave Bridges" w:date="2019-11-27T09:35:00Z">
        <w:r w:rsidR="002E1770" w:rsidDel="00412002">
          <w:rPr>
            <w:rFonts w:cs="Times New Roman"/>
          </w:rPr>
          <w:delText xml:space="preserve">a </w:delText>
        </w:r>
      </w:del>
      <w:r w:rsidR="002E1770">
        <w:rPr>
          <w:rFonts w:cs="Times New Roman"/>
        </w:rPr>
        <w:t xml:space="preserve">similar </w:t>
      </w:r>
      <w:del w:id="57" w:author="Dave Bridges" w:date="2019-11-27T09:35:00Z">
        <w:r w:rsidR="002E1770" w:rsidDel="00412002">
          <w:rPr>
            <w:rFonts w:cs="Times New Roman"/>
          </w:rPr>
          <w:delText>number of kcals</w:delText>
        </w:r>
      </w:del>
      <w:ins w:id="58" w:author="Dave Bridges" w:date="2019-11-27T09:35:00Z">
        <w:r w:rsidR="00412002">
          <w:rPr>
            <w:rFonts w:cs="Times New Roman"/>
          </w:rPr>
          <w:t>caloric intake</w:t>
        </w:r>
      </w:ins>
      <w:r w:rsidR="002E1770">
        <w:rPr>
          <w:rFonts w:cs="Times New Roman"/>
        </w:rPr>
        <w:t xml:space="preserve"> consumed by both HFD-TRF and HFD-AL</w:t>
      </w:r>
      <w:del w:id="59" w:author="Dave Bridges" w:date="2019-11-27T09:36:00Z">
        <w:r w:rsidR="002E1770" w:rsidDel="00412002">
          <w:rPr>
            <w:rFonts w:cs="Times New Roman"/>
          </w:rPr>
          <w:delText xml:space="preserve"> </w:delText>
        </w:r>
      </w:del>
      <w:ins w:id="60" w:author="Dave Bridges" w:date="2019-11-27T09:36:00Z">
        <w:r w:rsidR="00412002">
          <w:rPr>
            <w:rFonts w:cs="Times New Roman"/>
          </w:rPr>
          <w:t xml:space="preserve"> (</w:t>
        </w:r>
        <w:r w:rsidR="00412002" w:rsidRPr="00412002">
          <w:rPr>
            <w:rFonts w:cs="Times New Roman"/>
            <w:i/>
            <w:rPrChange w:id="61" w:author="Dave Bridges" w:date="2019-11-27T09:36:00Z">
              <w:rPr>
                <w:rFonts w:cs="Times New Roman"/>
              </w:rPr>
            </w:rPrChange>
          </w:rPr>
          <w:t>ad libitum</w:t>
        </w:r>
        <w:r w:rsidR="00412002">
          <w:rPr>
            <w:rFonts w:cs="Times New Roman"/>
          </w:rPr>
          <w:t xml:space="preserve">) </w:t>
        </w:r>
      </w:ins>
      <w:r w:rsidR="002E1770">
        <w:rPr>
          <w:rFonts w:cs="Times New Roman"/>
        </w:rPr>
        <w:t>counterparts</w:t>
      </w:r>
      <w:del w:id="62" w:author="Dave Bridges" w:date="2019-11-27T09:36:00Z">
        <w:r w:rsidR="002E1770" w:rsidDel="00412002">
          <w:rPr>
            <w:rFonts w:cs="Times New Roman"/>
          </w:rPr>
          <w:delText>. With</w:delText>
        </w:r>
      </w:del>
      <w:ins w:id="63" w:author="Dave Bridges" w:date="2019-11-27T09:36:00Z">
        <w:r w:rsidR="00412002">
          <w:rPr>
            <w:rFonts w:cs="Times New Roman"/>
          </w:rPr>
          <w:t>, with</w:t>
        </w:r>
      </w:ins>
      <w:r w:rsidR="002E1770">
        <w:rPr>
          <w:rFonts w:cs="Times New Roman"/>
        </w:rPr>
        <w:t xml:space="preserve"> similar</w:t>
      </w:r>
      <w:del w:id="64" w:author="Dave Bridges" w:date="2019-11-27T09:29:00Z">
        <w:r w:rsidR="002E1770" w:rsidDel="004F1183">
          <w:rPr>
            <w:rFonts w:cs="Times New Roman"/>
          </w:rPr>
          <w:delText xml:space="preserve"> </w:delText>
        </w:r>
      </w:del>
      <w:r w:rsidR="002E1770">
        <w:rPr>
          <w:rFonts w:cs="Times New Roman"/>
        </w:rPr>
        <w:t xml:space="preserve"> pre-pregnancy body weight gain between these groups. </w:t>
      </w:r>
      <w:del w:id="65" w:author="Dave Bridges" w:date="2019-11-27T09:36:00Z">
        <w:r w:rsidR="002E1770" w:rsidDel="00412002">
          <w:rPr>
            <w:rFonts w:cs="Times New Roman"/>
          </w:rPr>
          <w:delText>They failed to look at compartmentalization of the body weight before and during</w:delText>
        </w:r>
      </w:del>
      <w:ins w:id="66" w:author="Dave Bridges" w:date="2019-11-27T09:36:00Z">
        <w:r w:rsidR="00412002">
          <w:rPr>
            <w:rFonts w:cs="Times New Roman"/>
          </w:rPr>
          <w:t>This study did not evaluate body composition</w:t>
        </w:r>
      </w:ins>
      <w:del w:id="67" w:author="Dave Bridges" w:date="2019-11-27T09:36:00Z">
        <w:r w:rsidR="002E1770" w:rsidDel="00412002">
          <w:rPr>
            <w:rFonts w:cs="Times New Roman"/>
          </w:rPr>
          <w:delText xml:space="preserve"> pregnancy</w:delText>
        </w:r>
      </w:del>
      <w:r w:rsidR="002E1770">
        <w:rPr>
          <w:rFonts w:cs="Times New Roman"/>
        </w:rPr>
        <w:t>, and did not asses maternal insulin sensitivity or glycemi</w:t>
      </w:r>
      <w:ins w:id="68" w:author="Dave Bridges" w:date="2019-11-27T09:36:00Z">
        <w:r w:rsidR="00412002">
          <w:rPr>
            <w:rFonts w:cs="Times New Roman"/>
          </w:rPr>
          <w:t>c control</w:t>
        </w:r>
      </w:ins>
      <w:del w:id="69" w:author="Dave Bridges" w:date="2019-11-27T09:36:00Z">
        <w:r w:rsidR="002E1770" w:rsidDel="00412002">
          <w:rPr>
            <w:rFonts w:cs="Times New Roman"/>
          </w:rPr>
          <w:delText>a</w:delText>
        </w:r>
      </w:del>
      <w:r w:rsidR="002E1770">
        <w:rPr>
          <w:rFonts w:cs="Times New Roman"/>
        </w:rPr>
        <w:t>. For this reason, I propose to study the effect of TRF in mice before and during pregnancy.</w:t>
      </w:r>
    </w:p>
    <w:p w14:paraId="20DFFB42" w14:textId="77777777" w:rsidR="002E1770" w:rsidRPr="004B030F" w:rsidRDefault="002E1770" w:rsidP="004B030F">
      <w:pPr>
        <w:rPr>
          <w:ins w:id="70" w:author="Molly Carter" w:date="2019-08-21T09:12:00Z"/>
        </w:rPr>
      </w:pPr>
    </w:p>
    <w:p w14:paraId="2576A777" w14:textId="4DF9AA94" w:rsidR="00C43ACC" w:rsidRDefault="00C43ACC" w:rsidP="00C43ACC">
      <w:pPr>
        <w:pStyle w:val="Heading3"/>
      </w:pPr>
      <w:commentRangeStart w:id="71"/>
      <w:r>
        <w:t>Pregnancy is a crit</w:t>
      </w:r>
      <w:r w:rsidR="00101BEE">
        <w:t>i</w:t>
      </w:r>
      <w:r>
        <w:t xml:space="preserve">cal time for </w:t>
      </w:r>
      <w:r w:rsidR="00101BEE">
        <w:t xml:space="preserve">maternal </w:t>
      </w:r>
      <w:r>
        <w:t>health and physiological adaptation</w:t>
      </w:r>
      <w:commentRangeEnd w:id="71"/>
      <w:r w:rsidR="0010288E">
        <w:rPr>
          <w:rStyle w:val="CommentReference"/>
          <w:rFonts w:ascii="Times New Roman" w:eastAsiaTheme="minorHAnsi" w:hAnsi="Times New Roman" w:cstheme="minorBidi"/>
          <w:color w:val="auto"/>
        </w:rPr>
        <w:commentReference w:id="71"/>
      </w:r>
    </w:p>
    <w:p w14:paraId="5D606E0D" w14:textId="0D88C104" w:rsidR="00444E8B" w:rsidRDefault="00E77202" w:rsidP="00330625">
      <w:pPr>
        <w:rPr>
          <w:rFonts w:cs="Times New Roman"/>
        </w:rPr>
      </w:pPr>
      <w:del w:id="72" w:author="Dave Bridges" w:date="2019-11-27T09:38:00Z">
        <w:r w:rsidDel="005F78FD">
          <w:rPr>
            <w:rFonts w:cs="Times New Roman"/>
          </w:rPr>
          <w:delText>Nutrient composition</w:delText>
        </w:r>
      </w:del>
      <w:ins w:id="73" w:author="Dave Bridges" w:date="2019-11-27T09:38:00Z">
        <w:r w:rsidR="005F78FD">
          <w:rPr>
            <w:rFonts w:cs="Times New Roman"/>
          </w:rPr>
          <w:t>Nutrition</w:t>
        </w:r>
      </w:ins>
      <w:r>
        <w:rPr>
          <w:rFonts w:cs="Times New Roman"/>
        </w:rPr>
        <w:t xml:space="preserve"> and nutrient restriction have been well studied in </w:t>
      </w:r>
      <w:del w:id="74" w:author="Dave Bridges" w:date="2019-11-27T09:38:00Z">
        <w:r w:rsidDel="005F78FD">
          <w:rPr>
            <w:rFonts w:cs="Times New Roman"/>
          </w:rPr>
          <w:delText xml:space="preserve">the physiological state of </w:delText>
        </w:r>
      </w:del>
      <w:r>
        <w:rPr>
          <w:rFonts w:cs="Times New Roman"/>
        </w:rPr>
        <w:t>pregnancy</w:t>
      </w:r>
      <w:r w:rsidR="004241AB">
        <w:rPr>
          <w:rFonts w:cs="Times New Roman"/>
        </w:rPr>
        <w:t xml:space="preserve">. </w:t>
      </w:r>
      <w:del w:id="75" w:author="Dave Bridges" w:date="2019-11-27T09:38:00Z">
        <w:r w:rsidDel="005F78FD">
          <w:rPr>
            <w:rFonts w:cs="Times New Roman"/>
          </w:rPr>
          <w:delText>There is sufficient evidence to support that d</w:delText>
        </w:r>
      </w:del>
      <w:ins w:id="76" w:author="Dave Bridges" w:date="2019-11-27T09:38:00Z">
        <w:r w:rsidR="005F78FD">
          <w:rPr>
            <w:rFonts w:cs="Times New Roman"/>
          </w:rPr>
          <w:t>D</w:t>
        </w:r>
      </w:ins>
      <w:r>
        <w:rPr>
          <w:rFonts w:cs="Times New Roman"/>
        </w:rPr>
        <w:t xml:space="preserve">iet </w:t>
      </w:r>
      <w:r w:rsidR="006E5903">
        <w:rPr>
          <w:rFonts w:cs="Times New Roman"/>
        </w:rPr>
        <w:t>can modulate</w:t>
      </w:r>
      <w:r>
        <w:rPr>
          <w:rFonts w:cs="Times New Roman"/>
        </w:rPr>
        <w:t xml:space="preserve">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Donnelly, 2019</w:t>
      </w:r>
      <w:r>
        <w:rPr>
          <w:rFonts w:cs="Times New Roman"/>
        </w:rPr>
        <w:t xml:space="preserve">). </w:t>
      </w:r>
      <w:del w:id="77" w:author="Dave Bridges" w:date="2019-11-27T09:39:00Z">
        <w:r w:rsidR="00AC0193" w:rsidDel="005F78FD">
          <w:rPr>
            <w:rFonts w:cs="Times New Roman"/>
          </w:rPr>
          <w:delText xml:space="preserve">There have been studies that investigate maternal food restriction in both human and animal models. </w:delText>
        </w:r>
      </w:del>
      <w:r w:rsidR="00AC0193">
        <w:rPr>
          <w:rFonts w:cs="Times New Roman"/>
        </w:rPr>
        <w:t>One such study</w:t>
      </w:r>
      <w:ins w:id="78" w:author="Dave Bridges" w:date="2019-11-27T09:39:00Z">
        <w:r w:rsidR="005F78FD">
          <w:rPr>
            <w:rFonts w:cs="Times New Roman"/>
          </w:rPr>
          <w:t xml:space="preserve"> of maternal food restriction</w:t>
        </w:r>
      </w:ins>
      <w:r w:rsidR="00AC0193">
        <w:rPr>
          <w:rFonts w:cs="Times New Roman"/>
        </w:rPr>
        <w:t xml:space="preserve"> that is largely credited with the burgeoning of the </w:t>
      </w:r>
      <w:commentRangeStart w:id="79"/>
      <w:proofErr w:type="spellStart"/>
      <w:r w:rsidR="00AC0193">
        <w:rPr>
          <w:rFonts w:cs="Times New Roman"/>
        </w:rPr>
        <w:t>DOHaD</w:t>
      </w:r>
      <w:proofErr w:type="spellEnd"/>
      <w:r w:rsidR="00AC0193">
        <w:rPr>
          <w:rFonts w:cs="Times New Roman"/>
        </w:rPr>
        <w:t xml:space="preserve"> </w:t>
      </w:r>
      <w:commentRangeEnd w:id="79"/>
      <w:r w:rsidR="005F78FD">
        <w:rPr>
          <w:rStyle w:val="CommentReference"/>
        </w:rPr>
        <w:commentReference w:id="79"/>
      </w:r>
      <w:r w:rsidR="00AC0193">
        <w:rPr>
          <w:rFonts w:cs="Times New Roman"/>
        </w:rPr>
        <w:t xml:space="preserve">field is that of </w:t>
      </w:r>
      <w:r w:rsidR="004241AB">
        <w:rPr>
          <w:rFonts w:cs="Times New Roman"/>
        </w:rPr>
        <w:t>the Dutch Hunger Winter</w:t>
      </w:r>
      <w:r w:rsidR="00AC0193">
        <w:rPr>
          <w:rFonts w:cs="Times New Roman"/>
        </w:rPr>
        <w:t xml:space="preserve"> wherein the effects of severe nutrient restriction during pregnancy </w:t>
      </w:r>
      <w:r w:rsidR="004241AB">
        <w:rPr>
          <w:rFonts w:cs="Times New Roman"/>
        </w:rPr>
        <w:t xml:space="preserve">during extreme rationing in WWII had a </w:t>
      </w:r>
      <w:commentRangeStart w:id="80"/>
      <w:r w:rsidR="004241AB">
        <w:rPr>
          <w:rFonts w:cs="Times New Roman"/>
        </w:rPr>
        <w:t xml:space="preserve">profound effect </w:t>
      </w:r>
      <w:r w:rsidR="00AC0193">
        <w:rPr>
          <w:rFonts w:cs="Times New Roman"/>
        </w:rPr>
        <w:t xml:space="preserve">on offspring insulin signaling </w:t>
      </w:r>
      <w:commentRangeEnd w:id="80"/>
      <w:r w:rsidR="005F78FD">
        <w:rPr>
          <w:rStyle w:val="CommentReference"/>
        </w:rPr>
        <w:commentReference w:id="80"/>
      </w:r>
      <w:r w:rsidR="00AC0193">
        <w:rPr>
          <w:rFonts w:cs="Times New Roman"/>
        </w:rPr>
        <w:t>later in life</w:t>
      </w:r>
      <w:r w:rsidR="004241AB">
        <w:rPr>
          <w:rFonts w:cs="Times New Roman"/>
        </w:rPr>
        <w:t xml:space="preserve"> </w:t>
      </w:r>
      <w:r w:rsidR="004241AB">
        <w:rPr>
          <w:rFonts w:cs="Times New Roman"/>
        </w:rPr>
        <w:fldChar w:fldCharType="begin"/>
      </w:r>
      <w:r w:rsidR="004241A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2010)","noteIndex":0},"citationItems":[{"id":181,"uris":["http://zotero.org/users/5073745/items/ES6TTHU8"],"uri":["http://zotero.org/users/5073745/items/ES6TTHU8"],"itemData":{"id":181,"type":"article-journal","title":"Persistent epigenetic differences associated with prenatal exposure to famine in humans","container-title":"Proceedings of the National Academy of Sciences of the United States of America","page":"17046-17049","volume":"105","issue":"44","source":"PubMed","abstract":"Extensive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life.","DOI":"10.1073/pnas.0806560105","ISSN":"1091-6490","note":"PMID: 18955703\nPMCID: PMC2579375","journalAbbreviation":"Proc. Natl. Acad. Sci. U.S.A.","language":"eng","author":[{"family":"Heijmans","given":"Bastiaan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w:t>
      </w:r>
      <w:del w:id="81" w:author="Dave Bridges" w:date="2019-11-27T09:40:00Z">
        <w:r w:rsidR="00AC0193" w:rsidDel="0010288E">
          <w:rPr>
            <w:rFonts w:cs="Times New Roman"/>
          </w:rPr>
          <w:delText xml:space="preserve">One </w:delText>
        </w:r>
      </w:del>
      <w:ins w:id="82" w:author="Dave Bridges" w:date="2019-11-27T09:40:00Z">
        <w:r w:rsidR="0010288E">
          <w:rPr>
            <w:rFonts w:cs="Times New Roman"/>
          </w:rPr>
          <w:t xml:space="preserve">Another example </w:t>
        </w:r>
      </w:ins>
      <w:del w:id="83" w:author="Dave Bridges" w:date="2019-11-27T09:40:00Z">
        <w:r w:rsidR="00AC0193" w:rsidDel="0010288E">
          <w:rPr>
            <w:rFonts w:cs="Times New Roman"/>
          </w:rPr>
          <w:delText>of the most well-studied would</w:delText>
        </w:r>
      </w:del>
      <w:ins w:id="84" w:author="Dave Bridges" w:date="2019-11-27T09:40:00Z">
        <w:r w:rsidR="0010288E">
          <w:rPr>
            <w:rFonts w:cs="Times New Roman"/>
          </w:rPr>
          <w:t>is</w:t>
        </w:r>
      </w:ins>
      <w:r w:rsidR="00AC0193">
        <w:rPr>
          <w:rFonts w:cs="Times New Roman"/>
        </w:rPr>
        <w:t xml:space="preserve"> </w:t>
      </w:r>
      <w:commentRangeStart w:id="85"/>
      <w:del w:id="86" w:author="Dave Bridges" w:date="2019-11-27T09:40:00Z">
        <w:r w:rsidR="00AC0193" w:rsidDel="0010288E">
          <w:rPr>
            <w:rFonts w:cs="Times New Roman"/>
          </w:rPr>
          <w:delText xml:space="preserve">be that of </w:delText>
        </w:r>
      </w:del>
      <w:r w:rsidR="00AC0193">
        <w:rPr>
          <w:rFonts w:cs="Times New Roman"/>
        </w:rPr>
        <w:t>Ramadan fasting</w:t>
      </w:r>
      <w:commentRangeEnd w:id="85"/>
      <w:r w:rsidR="0010288E">
        <w:rPr>
          <w:rStyle w:val="CommentReference"/>
        </w:rPr>
        <w:commentReference w:id="85"/>
      </w:r>
      <w:r w:rsidR="00AC0193">
        <w:rPr>
          <w:rFonts w:cs="Times New Roman"/>
        </w:rPr>
        <w:t xml:space="preserve">. </w:t>
      </w:r>
      <w:del w:id="87" w:author="Dave Bridges" w:date="2019-11-27T09:41:00Z">
        <w:r w:rsidR="00C87264" w:rsidDel="0010288E">
          <w:rPr>
            <w:rFonts w:cs="Times New Roman"/>
          </w:rPr>
          <w:delText>It has been demonstrated by multiple studies that conception</w:delText>
        </w:r>
      </w:del>
      <w:ins w:id="88" w:author="Dave Bridges" w:date="2019-11-27T09:41:00Z">
        <w:r w:rsidR="0010288E">
          <w:rPr>
            <w:rFonts w:cs="Times New Roman"/>
          </w:rPr>
          <w:t>Conception</w:t>
        </w:r>
      </w:ins>
      <w:r w:rsidR="00C87264">
        <w:rPr>
          <w:rFonts w:cs="Times New Roman"/>
        </w:rPr>
        <w:t xml:space="preserve"> and gestation during </w:t>
      </w:r>
      <w:del w:id="89" w:author="Dave Bridges" w:date="2019-11-27T09:41:00Z">
        <w:r w:rsidR="00C87264" w:rsidDel="0010288E">
          <w:rPr>
            <w:rFonts w:cs="Times New Roman"/>
          </w:rPr>
          <w:delText xml:space="preserve">the </w:delText>
        </w:r>
      </w:del>
      <w:r w:rsidR="00C87264">
        <w:rPr>
          <w:rFonts w:cs="Times New Roman"/>
        </w:rPr>
        <w:t xml:space="preserve">Ramadan fasting </w:t>
      </w:r>
      <w:ins w:id="90" w:author="Dave Bridges" w:date="2019-11-27T09:41:00Z">
        <w:r w:rsidR="0010288E">
          <w:rPr>
            <w:rFonts w:cs="Times New Roman"/>
          </w:rPr>
          <w:t xml:space="preserve">has been shown to </w:t>
        </w:r>
      </w:ins>
      <w:del w:id="91" w:author="Dave Bridges" w:date="2019-11-27T09:41:00Z">
        <w:r w:rsidR="00C87264" w:rsidDel="0010288E">
          <w:rPr>
            <w:rFonts w:cs="Times New Roman"/>
          </w:rPr>
          <w:delText>can increase</w:delText>
        </w:r>
      </w:del>
      <w:ins w:id="92" w:author="Dave Bridges" w:date="2019-11-27T09:40:00Z">
        <w:r w:rsidR="0010288E">
          <w:rPr>
            <w:rFonts w:cs="Times New Roman"/>
          </w:rPr>
          <w:t>the</w:t>
        </w:r>
      </w:ins>
      <w:r w:rsidR="00C87264">
        <w:rPr>
          <w:rFonts w:cs="Times New Roman"/>
        </w:rPr>
        <w:t xml:space="preserve"> prevalence of low birth weight babies</w:t>
      </w:r>
      <w:ins w:id="93" w:author="Dave Bridges" w:date="2019-11-27T09:41:00Z">
        <w:r w:rsidR="0010288E">
          <w:rPr>
            <w:rFonts w:cs="Times New Roman"/>
          </w:rPr>
          <w:t xml:space="preserve"> in some </w:t>
        </w:r>
      </w:ins>
      <w:r w:rsidR="00C87264">
        <w:rPr>
          <w:rFonts w:cs="Times New Roman"/>
        </w:rPr>
        <w:fldChar w:fldCharType="begin"/>
      </w:r>
      <w:r w:rsidR="00C87264">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2010)","noteIndex":0},"citationItems":[{"id":187,"uris":["http://zotero.org/users/5073745/items/2C5K4E6H"],"uri":["http://zotero.org/users/5073745/items/2C5K4E6H"],"itemData":{"id":187,"type":"article-journal","title":"Islamic Festivals and Low Birthweight Infants","container-title":"Journal of the Royal Society of Health","page":"106-107","volume":"110","issue":"3","source":"SAGE Journals","abstract":"DURING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months.","DOI":"10.1177/146642409011000313","ISSN":"0264-0325","journalAbbreviation":"Journal of the Royal Society of Health","language":"en","author":[{"family":"Opaneye","given":"A.A."},{"family":"Villegas","given":"D.D."},{"family":"Abdel Azeim","given":"Ali"}],"issued":{"date-parts":[["1990",6,1]]}}},{"id":127,"uris":["http://zotero.org/users/5073745/items/CCGPVXWJ"],"uri":["http://zotero.org/users/5073745/items/CCGPVXWJ"],"itemData":{"id":127,"type":"article-journal","title":"The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ins w:id="94" w:author="Dave Bridges" w:date="2019-11-27T09:42:00Z">
        <w:r w:rsidR="0010288E">
          <w:rPr>
            <w:rFonts w:cs="Times New Roman"/>
          </w:rPr>
          <w:t xml:space="preserve"> but not all </w:t>
        </w:r>
      </w:ins>
      <w:del w:id="95" w:author="Dave Bridges" w:date="2019-11-27T09:42:00Z">
        <w:r w:rsidR="00C87264" w:rsidDel="0010288E">
          <w:rPr>
            <w:rFonts w:cs="Times New Roman"/>
          </w:rPr>
          <w:delText xml:space="preserve">. This is not a universal finding, as participation in Ramadan fasting in other studies exhibited no effect on birth weight </w:delText>
        </w:r>
      </w:del>
      <w:r w:rsidR="00C87264">
        <w:rPr>
          <w:rFonts w:cs="Times New Roman"/>
        </w:rPr>
        <w:fldChar w:fldCharType="begin"/>
      </w:r>
      <w:r w:rsidR="00C87264">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K."},{"family":"Roalfe","given":"Andrea"}],"issued":{"date-parts":[["2017"]]}}},{"id":189,"uris":["http://zotero.org/users/5073745/items/5BSNJ3ST"],"uri":["http://zotero.org/users/5073745/items/5BSNJ3ST"],"itemData":{"id":189,"type":"article-journal","title":"Impact of maternal fasting during Ramadan on fetal Doppler parameters, maternal lipid levels and neonatal outcomes","container-title":"The Journal of Maternal-Fetal &amp; Neonatal Medicine","page":"975-977","volume":"25","issue":"7","source":"Taylor and Francis+NEJM","abstract":"Objective: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parameters.","DOI":"10.3109/14767058.2011.602142","ISSN":"1476-7058","author":[{"family":"Hızlı","given":"Deniz"},{"family":"Yılmaz","given":"Saynur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ins w:id="96" w:author="Dave Bridges" w:date="2019-11-27T09:42:00Z">
        <w:r w:rsidR="0010288E">
          <w:rPr>
            <w:rFonts w:cs="Times New Roman"/>
          </w:rPr>
          <w:t xml:space="preserve"> reports</w:t>
        </w:r>
      </w:ins>
      <w:r w:rsidR="00C87264">
        <w:rPr>
          <w:rFonts w:cs="Times New Roman"/>
        </w:rPr>
        <w:t xml:space="preserve">. </w:t>
      </w:r>
      <w:del w:id="97" w:author="Dave Bridges" w:date="2019-11-27T09:42:00Z">
        <w:r w:rsidR="00AC0193" w:rsidDel="0010288E">
          <w:rPr>
            <w:rFonts w:cs="Times New Roman"/>
          </w:rPr>
          <w:delText>However, as Ramadan fasting is not only time restriction of feeding, but also chrono</w:delText>
        </w:r>
        <w:r w:rsidR="004241AB" w:rsidDel="0010288E">
          <w:rPr>
            <w:rFonts w:cs="Times New Roman"/>
          </w:rPr>
          <w:delText>-</w:delText>
        </w:r>
        <w:r w:rsidR="00AC0193" w:rsidDel="0010288E">
          <w:rPr>
            <w:rFonts w:cs="Times New Roman"/>
          </w:rPr>
          <w:delText>disruption in sleep/wake patterns, I propose that time-restricted feeding is a different mode</w:delText>
        </w:r>
        <w:r w:rsidR="00C87264" w:rsidDel="0010288E">
          <w:rPr>
            <w:rFonts w:cs="Times New Roman"/>
          </w:rPr>
          <w:delText xml:space="preserve"> </w:delText>
        </w:r>
        <w:r w:rsidR="00AC0193" w:rsidDel="0010288E">
          <w:rPr>
            <w:rFonts w:cs="Times New Roman"/>
          </w:rPr>
          <w:delText xml:space="preserve">of restrictive feeding practice, and therefore would have distinct effects from Ramadan fasting.  </w:delText>
        </w:r>
      </w:del>
    </w:p>
    <w:p w14:paraId="66892A15" w14:textId="77777777" w:rsidR="002C66B0" w:rsidRDefault="002C66B0" w:rsidP="00330625">
      <w:pPr>
        <w:rPr>
          <w:rFonts w:cs="Times New Roman"/>
        </w:rPr>
      </w:pPr>
    </w:p>
    <w:p w14:paraId="42C27E7F" w14:textId="5456D611" w:rsidR="00C43ACC"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moveToRangeStart w:id="98" w:author="Dave Bridges" w:date="2019-11-27T09:43:00Z" w:name="move25740219"/>
      <w:moveTo w:id="99" w:author="Dave Bridges" w:date="2019-11-27T09:43:00Z">
        <w:r w:rsidR="0010288E">
          <w:rPr>
            <w:rFonts w:cs="Times New Roman"/>
          </w:rPr>
          <w:t xml:space="preserve">The </w:t>
        </w:r>
        <w:r w:rsidR="0010288E">
          <w:rPr>
            <w:rFonts w:cs="Times New Roman"/>
          </w:rPr>
          <w:lastRenderedPageBreak/>
          <w:t xml:space="preserve">physiological adaptations to pregnancy are thought to maximize nutrient availability for the fetus. </w:t>
        </w:r>
      </w:moveTo>
      <w:moveToRangeEnd w:id="98"/>
      <w:r>
        <w:rPr>
          <w:rFonts w:cs="Times New Roman"/>
        </w:rPr>
        <w:t xml:space="preserve">This  suggests there is a </w:t>
      </w:r>
      <w:del w:id="100" w:author="Dave Bridges" w:date="2019-11-27T09:43:00Z">
        <w:r w:rsidDel="0010288E">
          <w:rPr>
            <w:rFonts w:cs="Times New Roman"/>
          </w:rPr>
          <w:delText>molecular driver</w:delText>
        </w:r>
      </w:del>
      <w:ins w:id="101" w:author="Dave Bridges" w:date="2019-11-27T09:43:00Z">
        <w:r w:rsidR="0010288E">
          <w:rPr>
            <w:rFonts w:cs="Times New Roman"/>
          </w:rPr>
          <w:t>physiological mechanism</w:t>
        </w:r>
      </w:ins>
      <w:r>
        <w:rPr>
          <w:rFonts w:cs="Times New Roman"/>
        </w:rPr>
        <w:t xml:space="preserve"> to reassign</w:t>
      </w:r>
      <w:r w:rsidR="00A06EE7">
        <w:rPr>
          <w:rFonts w:cs="Times New Roman"/>
        </w:rPr>
        <w:t xml:space="preserve"> </w:t>
      </w:r>
      <w:r>
        <w:rPr>
          <w:rFonts w:cs="Times New Roman"/>
        </w:rPr>
        <w:t xml:space="preserve">the desired </w:t>
      </w:r>
      <w:ins w:id="102" w:author="Dave Bridges" w:date="2019-11-27T09:43:00Z">
        <w:r w:rsidR="0010288E">
          <w:rPr>
            <w:rFonts w:cs="Times New Roman"/>
          </w:rPr>
          <w:t xml:space="preserve">glycemic </w:t>
        </w:r>
      </w:ins>
      <w:r>
        <w:rPr>
          <w:rFonts w:cs="Times New Roman"/>
        </w:rPr>
        <w:t xml:space="preserve">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moveFromRangeStart w:id="103" w:author="Dave Bridges" w:date="2019-11-27T09:43:00Z" w:name="move25740219"/>
      <w:moveFrom w:id="104" w:author="Dave Bridges" w:date="2019-11-27T09:43:00Z">
        <w:r w:rsidR="002A360D" w:rsidDel="0010288E">
          <w:rPr>
            <w:rFonts w:cs="Times New Roman"/>
          </w:rPr>
          <w:t xml:space="preserve">The physiological adaptations to pregnancy are thought to maximize nutrient availability for the fetus. </w:t>
        </w:r>
      </w:moveFrom>
      <w:moveFromRangeEnd w:id="103"/>
    </w:p>
    <w:p w14:paraId="1E69FA8F" w14:textId="1E697524" w:rsidR="002C66B0" w:rsidRDefault="002C793C" w:rsidP="00330625">
      <w:pPr>
        <w:rPr>
          <w:rFonts w:cs="Times New Roman"/>
        </w:rPr>
      </w:pPr>
      <w:del w:id="105" w:author="Dave Bridges" w:date="2019-11-27T09:44:00Z">
        <w:r w:rsidDel="00B84507">
          <w:rPr>
            <w:rFonts w:cs="Times New Roman"/>
            <w:noProof/>
          </w:rPr>
          <w:drawing>
            <wp:anchor distT="0" distB="0" distL="114300" distR="114300" simplePos="0" relativeHeight="251659264" behindDoc="1" locked="0" layoutInCell="1" allowOverlap="1" wp14:anchorId="07C4E6F3" wp14:editId="4EBFB979">
              <wp:simplePos x="0" y="0"/>
              <wp:positionH relativeFrom="column">
                <wp:posOffset>4517101</wp:posOffset>
              </wp:positionH>
              <wp:positionV relativeFrom="paragraph">
                <wp:posOffset>214</wp:posOffset>
              </wp:positionV>
              <wp:extent cx="2214880" cy="1533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2.pdf"/>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21488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3607668F" w14:textId="1091AC05" w:rsidR="00C43ACC" w:rsidRDefault="00C43ACC" w:rsidP="00C43ACC">
      <w:pPr>
        <w:pStyle w:val="Heading3"/>
      </w:pPr>
      <w:r>
        <w:t>Insulin Resistance</w:t>
      </w:r>
      <w:r w:rsidR="00E85858">
        <w:t xml:space="preserve"> </w:t>
      </w:r>
    </w:p>
    <w:p w14:paraId="40E47575" w14:textId="0F36FB4E" w:rsidR="00C43ACC" w:rsidRDefault="00B84507" w:rsidP="00330625">
      <w:pPr>
        <w:rPr>
          <w:rFonts w:cs="Times New Roman"/>
        </w:rPr>
      </w:pPr>
      <w:ins w:id="106" w:author="Dave Bridges" w:date="2019-11-27T09:43:00Z">
        <w:r>
          <w:rPr>
            <w:rFonts w:cs="Times New Roman"/>
            <w:noProof/>
          </w:rPr>
          <mc:AlternateContent>
            <mc:Choice Requires="wps">
              <w:drawing>
                <wp:anchor distT="0" distB="0" distL="114300" distR="114300" simplePos="0" relativeHeight="251662336" behindDoc="0" locked="0" layoutInCell="1" allowOverlap="1" wp14:anchorId="13F78E3C" wp14:editId="5FBBCB6E">
                  <wp:simplePos x="0" y="0"/>
                  <wp:positionH relativeFrom="column">
                    <wp:posOffset>3743960</wp:posOffset>
                  </wp:positionH>
                  <wp:positionV relativeFrom="paragraph">
                    <wp:posOffset>55880</wp:posOffset>
                  </wp:positionV>
                  <wp:extent cx="2029460" cy="2120900"/>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3B1233A6" w14:textId="5532D5B6" w:rsidR="00B84507" w:rsidRDefault="00B84507" w:rsidP="00B84507">
                              <w:pPr>
                                <w:rPr>
                                  <w:ins w:id="107" w:author="Dave Bridges" w:date="2019-11-27T09:28:00Z"/>
                                </w:rPr>
                              </w:pPr>
                              <w:ins w:id="108" w:author="Dave Bridges" w:date="2019-11-27T09:43:00Z">
                                <w:r>
                                  <w:rPr>
                                    <w:noProof/>
                                  </w:rPr>
                                  <w:drawing>
                                    <wp:inline distT="0" distB="0" distL="0" distR="0" wp14:anchorId="1D702459" wp14:editId="2D3B40D4">
                                      <wp:extent cx="1840230" cy="1273810"/>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1840230" cy="1273810"/>
                                              </a:xfrm>
                                              <a:prstGeom prst="rect">
                                                <a:avLst/>
                                              </a:prstGeom>
                                              <a:ln>
                                                <a:noFill/>
                                              </a:ln>
                                              <a:extLst>
                                                <a:ext uri="{53640926-AAD7-44D8-BBD7-CCE9431645EC}">
                                                  <a14:shadowObscured xmlns:a14="http://schemas.microsoft.com/office/drawing/2010/main"/>
                                                </a:ext>
                                              </a:extLst>
                                            </pic:spPr>
                                          </pic:pic>
                                        </a:graphicData>
                                      </a:graphic>
                                    </wp:inline>
                                  </w:drawing>
                                </w:r>
                              </w:ins>
                            </w:p>
                            <w:p w14:paraId="44544916" w14:textId="4823BF29" w:rsidR="00B84507" w:rsidRDefault="00B84507" w:rsidP="00B84507">
                              <w:ins w:id="109" w:author="Dave Bridges" w:date="2019-11-27T09:28:00Z">
                                <w:r>
                                  <w:t xml:space="preserve">Figure </w:t>
                                </w:r>
                              </w:ins>
                              <w:ins w:id="110" w:author="Dave Bridges" w:date="2019-11-27T09:44:00Z">
                                <w:r>
                                  <w:t>2</w:t>
                                </w:r>
                              </w:ins>
                              <w:ins w:id="111" w:author="Dave Bridges" w:date="2019-11-27T09:28:00Z">
                                <w:r>
                                  <w:t>: XXXX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E3C" id="Text Box 5" o:spid="_x0000_s1027" type="#_x0000_t202" style="position:absolute;margin-left:294.8pt;margin-top:4.4pt;width:159.8pt;height:1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" fillcolor="white [3201]" stroked="f" strokeweight=".5pt">
                  <v:textbox>
                    <w:txbxContent>
                      <w:p w14:paraId="3B1233A6" w14:textId="5532D5B6" w:rsidR="00B84507" w:rsidRDefault="00B84507" w:rsidP="00B84507">
                        <w:pPr>
                          <w:rPr>
                            <w:ins w:id="94" w:author="Dave Bridges" w:date="2019-11-27T09:28:00Z"/>
                          </w:rPr>
                        </w:pPr>
                        <w:ins w:id="95" w:author="Dave Bridges" w:date="2019-11-27T09:43:00Z">
                          <w:r>
                            <w:rPr>
                              <w:noProof/>
                            </w:rPr>
                            <w:drawing>
                              <wp:inline distT="0" distB="0" distL="0" distR="0" wp14:anchorId="1D702459" wp14:editId="2D3B40D4">
                                <wp:extent cx="1840230" cy="1273810"/>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1840230" cy="1273810"/>
                                        </a:xfrm>
                                        <a:prstGeom prst="rect">
                                          <a:avLst/>
                                        </a:prstGeom>
                                        <a:ln>
                                          <a:noFill/>
                                        </a:ln>
                                        <a:extLst>
                                          <a:ext uri="{53640926-AAD7-44D8-BBD7-CCE9431645EC}">
                                            <a14:shadowObscured xmlns:a14="http://schemas.microsoft.com/office/drawing/2010/main"/>
                                          </a:ext>
                                        </a:extLst>
                                      </pic:spPr>
                                    </pic:pic>
                                  </a:graphicData>
                                </a:graphic>
                              </wp:inline>
                            </w:drawing>
                          </w:r>
                        </w:ins>
                      </w:p>
                      <w:p w14:paraId="44544916" w14:textId="4823BF29" w:rsidR="00B84507" w:rsidRDefault="00B84507" w:rsidP="00B84507">
                        <w:ins w:id="96" w:author="Dave Bridges" w:date="2019-11-27T09:28:00Z">
                          <w:r>
                            <w:t xml:space="preserve">Figure </w:t>
                          </w:r>
                        </w:ins>
                        <w:ins w:id="97" w:author="Dave Bridges" w:date="2019-11-27T09:44:00Z">
                          <w:r>
                            <w:t>2</w:t>
                          </w:r>
                        </w:ins>
                        <w:ins w:id="98" w:author="Dave Bridges" w:date="2019-11-27T09:28:00Z">
                          <w:r>
                            <w:t>: XXXX</w:t>
                          </w:r>
                        </w:ins>
                      </w:p>
                    </w:txbxContent>
                  </v:textbox>
                  <w10:wrap type="square" side="left"/>
                </v:shape>
              </w:pict>
            </mc:Fallback>
          </mc:AlternateContent>
        </w:r>
      </w:ins>
      <w:r w:rsidR="002A360D">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ins w:id="112" w:author="Dave Bridges" w:date="2019-11-27T09:59:00Z">
        <w:r w:rsidR="00EA2AB9">
          <w:rPr>
            <w:rFonts w:cs="Times New Roman"/>
          </w:rPr>
          <w:t>I have shown that pregnant</w:t>
        </w:r>
      </w:ins>
      <w:ins w:id="113" w:author="Dave Bridges" w:date="2019-11-27T10:00:00Z">
        <w:r w:rsidR="00EA2AB9">
          <w:rPr>
            <w:rFonts w:cs="Times New Roman"/>
          </w:rPr>
          <w:t xml:space="preserve"> mice have insulin resistance but not hyperglycemia</w:t>
        </w:r>
        <w:r w:rsidR="00223C1D">
          <w:rPr>
            <w:rFonts w:cs="Times New Roman"/>
          </w:rPr>
          <w:t xml:space="preserve"> as evaluated by an insulin tolerance test (</w:t>
        </w:r>
        <w:commentRangeStart w:id="114"/>
        <w:r w:rsidR="00223C1D">
          <w:rPr>
            <w:rFonts w:cs="Times New Roman"/>
          </w:rPr>
          <w:t>Figure 2</w:t>
        </w:r>
        <w:commentRangeEnd w:id="114"/>
        <w:r w:rsidR="00223C1D">
          <w:rPr>
            <w:rStyle w:val="CommentReference"/>
          </w:rPr>
          <w:commentReference w:id="114"/>
        </w:r>
        <w:r w:rsidR="00223C1D">
          <w:rPr>
            <w:rFonts w:cs="Times New Roman"/>
          </w:rPr>
          <w:t>)</w:t>
        </w:r>
      </w:ins>
      <w:ins w:id="115" w:author="Dave Bridges" w:date="2019-11-27T10:01:00Z">
        <w:r w:rsidR="00544A0A">
          <w:rPr>
            <w:rFonts w:cs="Times New Roman"/>
          </w:rPr>
          <w:t xml:space="preserve"> demonstrating that mice are a tractable system to evaluate pregnancy-associated insulin resistance.  This is consistent with </w:t>
        </w:r>
        <w:commentRangeStart w:id="116"/>
        <w:r w:rsidR="00544A0A">
          <w:rPr>
            <w:rFonts w:cs="Times New Roman"/>
          </w:rPr>
          <w:t xml:space="preserve">previous </w:t>
        </w:r>
        <w:commentRangeEnd w:id="116"/>
        <w:r w:rsidR="00544A0A">
          <w:rPr>
            <w:rStyle w:val="CommentReference"/>
          </w:rPr>
          <w:commentReference w:id="116"/>
        </w:r>
        <w:r w:rsidR="00544A0A">
          <w:rPr>
            <w:rFonts w:cs="Times New Roman"/>
          </w:rPr>
          <w:t>work on pregnant rodents.</w:t>
        </w:r>
      </w:ins>
    </w:p>
    <w:p w14:paraId="31383455" w14:textId="77777777" w:rsidR="002C66B0" w:rsidRDefault="002C66B0" w:rsidP="00330625">
      <w:pPr>
        <w:rPr>
          <w:rFonts w:cs="Times New Roman"/>
        </w:rPr>
      </w:pPr>
    </w:p>
    <w:p w14:paraId="60D5141D" w14:textId="60DF80A0" w:rsidR="00C43ACC" w:rsidRDefault="00D80880" w:rsidP="00C43ACC">
      <w:pPr>
        <w:pStyle w:val="Heading3"/>
      </w:pPr>
      <w:commentRangeStart w:id="117"/>
      <w:r>
        <w:t>Gestational w</w:t>
      </w:r>
      <w:r w:rsidR="00C43ACC">
        <w:t>eight gain</w:t>
      </w:r>
      <w:r>
        <w:t xml:space="preserve"> and </w:t>
      </w:r>
      <w:ins w:id="118" w:author="Dave Bridges" w:date="2019-11-27T09:47:00Z">
        <w:r w:rsidR="00D357A3">
          <w:t>f</w:t>
        </w:r>
      </w:ins>
      <w:del w:id="119" w:author="Dave Bridges" w:date="2019-11-27T09:47:00Z">
        <w:r w:rsidR="00C43ACC" w:rsidDel="00D357A3">
          <w:delText>F</w:delText>
        </w:r>
      </w:del>
      <w:r w:rsidR="00C43ACC">
        <w:t>ood intake</w:t>
      </w:r>
      <w:commentRangeEnd w:id="117"/>
      <w:r w:rsidR="00D357A3">
        <w:rPr>
          <w:rStyle w:val="CommentReference"/>
          <w:rFonts w:ascii="Times New Roman" w:eastAsiaTheme="minorHAnsi" w:hAnsi="Times New Roman" w:cstheme="minorBidi"/>
          <w:color w:val="auto"/>
        </w:rPr>
        <w:commentReference w:id="117"/>
      </w:r>
    </w:p>
    <w:p w14:paraId="5DBE1F94" w14:textId="70AB21A1"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w:t>
      </w:r>
      <w:del w:id="120" w:author="Dave Bridges" w:date="2019-11-27T09:47:00Z">
        <w:r w:rsidDel="00D357A3">
          <w:rPr>
            <w:rFonts w:cs="Times New Roman"/>
          </w:rPr>
          <w:delText xml:space="preserve">IOM </w:delText>
        </w:r>
      </w:del>
      <w:ins w:id="121" w:author="Dave Bridges" w:date="2019-11-27T09:47:00Z">
        <w:r w:rsidR="00D357A3">
          <w:rPr>
            <w:rFonts w:cs="Times New Roman"/>
          </w:rPr>
          <w:t xml:space="preserve">Institute of Medicine </w:t>
        </w:r>
      </w:ins>
      <w:r>
        <w:rPr>
          <w:rFonts w:cs="Times New Roman"/>
        </w:rPr>
        <w:t xml:space="preserve">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 xml:space="preserve">uring gestation appears to be highly prevalent, </w:t>
      </w:r>
      <w:del w:id="122" w:author="Dave Bridges" w:date="2019-11-27T09:48:00Z">
        <w:r w:rsidR="00074954" w:rsidDel="00D357A3">
          <w:rPr>
            <w:rFonts w:cs="Times New Roman"/>
          </w:rPr>
          <w:delText>with rates from</w:delText>
        </w:r>
      </w:del>
      <w:ins w:id="123" w:author="Dave Bridges" w:date="2019-11-27T09:48:00Z">
        <w:r w:rsidR="00D357A3">
          <w:rPr>
            <w:rFonts w:cs="Times New Roman"/>
          </w:rPr>
          <w:t>approximately</w:t>
        </w:r>
      </w:ins>
      <w:r w:rsidR="00074954">
        <w:rPr>
          <w:rFonts w:cs="Times New Roman"/>
        </w:rPr>
        <w:t xml:space="preserve">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w:t>
      </w:r>
      <w:ins w:id="124" w:author="Dave Bridges" w:date="2019-11-27T09:48:00Z">
        <w:r w:rsidR="00D357A3">
          <w:rPr>
            <w:rFonts w:cs="Times New Roman"/>
          </w:rPr>
          <w:t xml:space="preserve"> also</w:t>
        </w:r>
      </w:ins>
      <w:r w:rsidR="00D34749">
        <w:rPr>
          <w:rFonts w:cs="Times New Roman"/>
        </w:rPr>
        <w:t xml:space="preserve">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4EA21378" w:rsidR="006D1DC0" w:rsidRDefault="00EB550A" w:rsidP="00A33C49">
      <w:pPr>
        <w:rPr>
          <w:ins w:id="125" w:author="Dave Bridges" w:date="2019-11-27T09:50:00Z"/>
        </w:rPr>
      </w:pPr>
      <w:del w:id="126" w:author="Dave Bridges" w:date="2019-11-27T09:49:00Z">
        <w:r w:rsidDel="00D357A3">
          <w:delText>Although we often read energy taken in and perceive it to mean that all of that energy is utilized or absorbed at similar levels in all people, it is likely not true</w:delText>
        </w:r>
      </w:del>
      <w:ins w:id="127" w:author="Dave Bridges" w:date="2019-11-27T09:49:00Z">
        <w:r w:rsidR="00D357A3">
          <w:t>Energy intake is both ingestion of food, as well as the efficiency by which energy is absorbed</w:t>
        </w:r>
      </w:ins>
      <w:r>
        <w:t xml:space="preserve">. </w:t>
      </w:r>
      <w:r w:rsidR="00FC1A73">
        <w:t>Digestive efficiency many change as a function of genotype</w:t>
      </w:r>
      <w:del w:id="128" w:author="Dave Bridges" w:date="2019-11-27T09:49:00Z">
        <w:r w:rsidR="00FC1A73" w:rsidDel="00D357A3">
          <w:delText xml:space="preserve"> (clock KO’s, </w:delText>
        </w:r>
        <w:r w:rsidR="00FC1A73" w:rsidDel="00D357A3">
          <w:fldChar w:fldCharType="begin"/>
        </w:r>
        <w:r w:rsidR="00FC1A73" w:rsidDel="00D357A3">
          <w:del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delInstrText>
        </w:r>
        <w:r w:rsidR="00FC1A73" w:rsidDel="00D357A3">
          <w:fldChar w:fldCharType="separate"/>
        </w:r>
        <w:r w:rsidR="00FC1A73" w:rsidDel="00D357A3">
          <w:rPr>
            <w:noProof/>
          </w:rPr>
          <w:delText>(Pan &amp; Hussain, 2009)</w:delText>
        </w:r>
        <w:r w:rsidR="00FC1A73" w:rsidDel="00D357A3">
          <w:fldChar w:fldCharType="end"/>
        </w:r>
      </w:del>
      <w:r w:rsidR="00155E45">
        <w:t>, physiological state, or diet</w:t>
      </w:r>
      <w:del w:id="129" w:author="Dave Bridges" w:date="2019-11-27T09:50:00Z">
        <w:r w:rsidR="00FC1A73" w:rsidDel="00D357A3">
          <w:delText>)</w:delText>
        </w:r>
      </w:del>
      <w:r w:rsidR="00155E45">
        <w:t xml:space="preserve">. </w:t>
      </w:r>
      <w:del w:id="130" w:author="Dave Bridges" w:date="2019-11-27T09:50:00Z">
        <w:r w:rsidR="00155E45" w:rsidDel="00D357A3">
          <w:delText xml:space="preserve">Furthermore, it has been demonstrated that </w:delText>
        </w:r>
      </w:del>
      <w:ins w:id="131" w:author="Dave Bridges" w:date="2019-11-27T09:50:00Z">
        <w:r w:rsidR="00D357A3">
          <w:t>P</w:t>
        </w:r>
      </w:ins>
      <w:del w:id="132" w:author="Dave Bridges" w:date="2019-11-27T09:50:00Z">
        <w:r w:rsidR="00155E45" w:rsidDel="00D357A3">
          <w:delText>p</w:delText>
        </w:r>
      </w:del>
      <w:r w:rsidR="00155E45">
        <w:t>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commentRangeStart w:id="133"/>
      <w:r w:rsidR="00DF1B2B">
        <w:fldChar w:fldCharType="begin"/>
      </w:r>
      <w:r w:rsidR="00DF1B2B">
        <w:instrText xml:space="preserve"> ADDIN ZOTERO_ITEM CSL_CITATION {"citationID":"7oyoWSIC","properties":{"formattedCitation":"(Sherman et al., 2012)","plainCitation":"(Sherman et al., 2012)","noteIndex":0},"citationItems":[{"id":12,"uris":["http://zotero.org/users/5073745/items/P497KC7N"],"uri":["http://zotero.org/users/5073745/items/P497KC7N"],"itemData":{"id":12,"type":"article-journal","title":"Timed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DF1B2B">
        <w:rPr>
          <w:noProof/>
        </w:rPr>
        <w:t>(Sherman et al., 2012)</w:t>
      </w:r>
      <w:r w:rsidR="00DF1B2B">
        <w:fldChar w:fldCharType="end"/>
      </w:r>
      <w:commentRangeEnd w:id="133"/>
      <w:r w:rsidR="004C7236">
        <w:rPr>
          <w:rStyle w:val="CommentReference"/>
        </w:rPr>
        <w:commentReference w:id="133"/>
      </w:r>
      <w:r w:rsidR="00DF1B2B">
        <w:t xml:space="preserve">. </w:t>
      </w:r>
    </w:p>
    <w:p w14:paraId="3AD1CD2E" w14:textId="1DB93322" w:rsidR="0082283C" w:rsidRDefault="0082283C" w:rsidP="00A33C49">
      <w:pPr>
        <w:rPr>
          <w:ins w:id="134" w:author="Dave Bridges" w:date="2019-11-27T09:50:00Z"/>
        </w:rPr>
      </w:pPr>
    </w:p>
    <w:p w14:paraId="64EB5586" w14:textId="1068884F" w:rsidR="0082283C" w:rsidRDefault="0082283C" w:rsidP="00A33C49">
      <w:ins w:id="135" w:author="Dave Bridges" w:date="2019-11-27T09:50:00Z">
        <w:r>
          <w:t>Based on the importance of gestational health</w:t>
        </w:r>
      </w:ins>
      <w:ins w:id="136" w:author="Dave Bridges" w:date="2019-11-27T09:51:00Z">
        <w:r>
          <w:t xml:space="preserve"> on the mother</w:t>
        </w:r>
      </w:ins>
      <w:ins w:id="137" w:author="Dave Bridges" w:date="2019-11-27T09:52:00Z">
        <w:r>
          <w:t xml:space="preserve"> and child</w:t>
        </w:r>
      </w:ins>
      <w:ins w:id="138" w:author="Dave Bridges" w:date="2019-11-27T09:51:00Z">
        <w:r>
          <w:t>, and the effectiveness and popularity</w:t>
        </w:r>
      </w:ins>
      <w:ins w:id="139" w:author="Dave Bridges" w:date="2019-11-27T09:52:00Z">
        <w:r>
          <w:t xml:space="preserve"> and effectiveness</w:t>
        </w:r>
      </w:ins>
      <w:ins w:id="140" w:author="Dave Bridges" w:date="2019-11-27T09:51:00Z">
        <w:r>
          <w:t xml:space="preserve"> of time-restricted </w:t>
        </w:r>
      </w:ins>
      <w:ins w:id="141" w:author="Dave Bridges" w:date="2019-11-27T09:52:00Z">
        <w:r>
          <w:t xml:space="preserve">feeding, it is tempting to speculate that this could be a potential intervention during pregnancy.  There are a substantial gaps in our knowledge of </w:t>
        </w:r>
      </w:ins>
      <w:ins w:id="142" w:author="Dave Bridges" w:date="2019-11-27T09:53:00Z">
        <w:r>
          <w:t>the physiology of TRF during pregnancy, and the mechanisms connecting it to maternal glycemia.</w:t>
        </w:r>
      </w:ins>
      <w:ins w:id="143" w:author="Dave Bridges" w:date="2019-11-27T09:52:00Z">
        <w:r>
          <w:t xml:space="preserve"> </w:t>
        </w:r>
      </w:ins>
      <w:commentRangeStart w:id="144"/>
      <w:ins w:id="145" w:author="Dave Bridges" w:date="2019-11-27T09:53:00Z">
        <w:r>
          <w:t xml:space="preserve">This </w:t>
        </w:r>
      </w:ins>
      <w:ins w:id="146" w:author="Dave Bridges" w:date="2019-11-27T09:55:00Z">
        <w:r w:rsidR="0070023E">
          <w:t>chapter</w:t>
        </w:r>
      </w:ins>
      <w:ins w:id="147" w:author="Dave Bridges" w:date="2019-11-27T09:53:00Z">
        <w:r>
          <w:t xml:space="preserve"> will use a rodent model of eTRF to </w:t>
        </w:r>
      </w:ins>
      <w:ins w:id="148" w:author="Dave Bridges" w:date="2019-11-27T09:54:00Z">
        <w:r>
          <w:t>determine effects on</w:t>
        </w:r>
      </w:ins>
      <w:ins w:id="149" w:author="Dave Bridges" w:date="2019-11-27T09:53:00Z">
        <w:r>
          <w:t xml:space="preserve"> maternal ferti</w:t>
        </w:r>
      </w:ins>
      <w:ins w:id="150" w:author="Dave Bridges" w:date="2019-11-27T09:54:00Z">
        <w:r>
          <w:t xml:space="preserve">lity, </w:t>
        </w:r>
      </w:ins>
      <w:ins w:id="151" w:author="Dave Bridges" w:date="2019-11-27T09:53:00Z">
        <w:r>
          <w:t>food intake, body composition,</w:t>
        </w:r>
      </w:ins>
      <w:ins w:id="152" w:author="Dave Bridges" w:date="2019-11-27T09:54:00Z">
        <w:r>
          <w:t xml:space="preserve"> and glycemia</w:t>
        </w:r>
      </w:ins>
      <w:commentRangeEnd w:id="144"/>
      <w:ins w:id="153" w:author="Dave Bridges" w:date="2019-11-27T09:55:00Z">
        <w:r w:rsidR="0070023E">
          <w:rPr>
            <w:rStyle w:val="CommentReference"/>
          </w:rPr>
          <w:commentReference w:id="144"/>
        </w:r>
      </w:ins>
    </w:p>
    <w:p w14:paraId="0BBC5B5B" w14:textId="77777777" w:rsidR="00A33C49" w:rsidRDefault="00A33C49" w:rsidP="00A33C49"/>
    <w:p w14:paraId="6B37A3E6" w14:textId="5F0AE7A1" w:rsidR="006D1DC0" w:rsidRDefault="006D1DC0" w:rsidP="00D95E7B">
      <w:pPr>
        <w:pStyle w:val="Heading2"/>
      </w:pPr>
      <w:r>
        <w:t xml:space="preserve">Aim 1.1 </w:t>
      </w:r>
      <w:r w:rsidR="004241AB">
        <w:t xml:space="preserve"> Assess the effects of eTRF on female f</w:t>
      </w:r>
      <w:r>
        <w:t xml:space="preserve">ertility </w:t>
      </w:r>
    </w:p>
    <w:p w14:paraId="6C79B80B" w14:textId="1174417F" w:rsidR="0004750C" w:rsidRDefault="00826EBC" w:rsidP="001B306C">
      <w:pPr>
        <w:ind w:firstLine="720"/>
        <w:rPr>
          <w:rFonts w:eastAsia="Times New Roman" w:cs="Times New Roman"/>
          <w:color w:val="000000"/>
        </w:rPr>
      </w:pPr>
      <w:commentRangeStart w:id="154"/>
      <w:commentRangeStart w:id="155"/>
      <w:r w:rsidRPr="00826EBC">
        <w:rPr>
          <w:rFonts w:eastAsia="Times New Roman" w:cs="Times New Roman"/>
          <w:color w:val="000000"/>
        </w:rPr>
        <w:t>Fertility represents yet another biological function that demonstrates circadian rhythm</w:t>
      </w:r>
      <w:ins w:id="156" w:author="Dave Bridges" w:date="2019-11-27T09:55:00Z">
        <w:r w:rsidR="00BD46A4">
          <w:rPr>
            <w:rFonts w:eastAsia="Times New Roman" w:cs="Times New Roman"/>
            <w:color w:val="000000"/>
          </w:rPr>
          <w:t xml:space="preserve"> </w:t>
        </w:r>
      </w:ins>
      <w:r>
        <w:rPr>
          <w:rFonts w:eastAsia="Times New Roman" w:cs="Times New Roman"/>
          <w:color w:val="000000"/>
        </w:rPr>
        <w:fldChar w:fldCharType="begin"/>
      </w:r>
      <w:r w:rsidR="001E0AFA">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2016)","noteIndex":0},"citationItems":[{"id":176,"uris":["http://zotero.org/users/5073745/items/D4T7S7WP"],"uri":["http://zotero.org/users/5073745/items/D4T7S7WP"],"itemData":{"id":176,"type":"article-journal","title":"Regulation of reproduction by the circadian rhythms","container-title":"Sheng Li Xue Bao: [Acta Physiologica Sinica]","page":"799-808","volume":"68","issue":"6","source":"PubMed","abstract":"Mammals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process.","ISSN":"0371-0874","note":"PMID: 28004075","journalAbbreviation":"Sheng Li Xue Bao","language":"eng","author":[{"family":"Zhang","given":"Wen-Xiang"},{"family":"Chen","given":"Si-Yu"},{"family":"Liu","given":"Chang"}],"issued":{"date-parts":[["2016",12,25]]}}}],"schema":"https://github.com/citation-style-language/schema/raw/master/csl-citation.json"}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sidR="001E0AFA">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2016)","noteIndex":0},"citationItems":[{"id":173,"uris":["http://zotero.org/users/5073745/items/IL5258J8"],"uri":["http://zotero.org/users/5073745/items/IL5258J8"],"itemData":{"id":173,"type":"article-journal","title":"Conditional Deletion of Bmal1 in Ovarian Theca Cells Disrupts Ovulation in Female Mice","container-title":"Endocrinology","page":"913-927","volume":"157","issue":"2","source":"academic-oup-com.proxy.lib.umich.edu","abstract":"Abstract.  Rhythmic events in female reproductive physiology, including ovulation, are tightly controlled by the circadian timing system. The molecular clock, a","DOI":"10.1210/en.2015-1645","ISSN":"0013-7227","journalAbbreviation":"Endocrinology","language":"en","author":[{"family":"Mereness","given":"Amanda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commentRangeStart w:id="157"/>
      <w:r w:rsidRPr="00826EBC">
        <w:rPr>
          <w:rFonts w:eastAsia="Times New Roman" w:cs="Times New Roman"/>
          <w:color w:val="000000"/>
        </w:rPr>
        <w:t xml:space="preserve">modulate </w:t>
      </w:r>
      <w:commentRangeEnd w:id="157"/>
      <w:r w:rsidR="00A456E6">
        <w:rPr>
          <w:rStyle w:val="CommentReference"/>
        </w:rPr>
        <w:commentReference w:id="157"/>
      </w:r>
      <w:r w:rsidRPr="00826EBC">
        <w:rPr>
          <w:rFonts w:eastAsia="Times New Roman" w:cs="Times New Roman"/>
          <w:color w:val="000000"/>
        </w:rPr>
        <w:t>fertility and fecundity</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sidRPr="00826EBC">
        <w:rPr>
          <w:rFonts w:eastAsia="Times New Roman" w:cs="Times New Roman"/>
          <w:color w:val="000000"/>
        </w:rPr>
        <w:t xml:space="preserve"> Using a light-feeding paradigm, this group demonstrated reduced copulatory plug appearance, reduced embryo implantations, and fewer litters carried compared to dark-fed counterparts</w:t>
      </w:r>
      <w:ins w:id="158" w:author="Dave Bridges" w:date="2019-11-27T09:55:00Z">
        <w:r w:rsidR="00BD46A4">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{"citationID":"YOsseYUZ","properties":{"formattedCitation":"(Swamy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w:t>
      </w:r>
      <w:r w:rsidRPr="00826EBC">
        <w:rPr>
          <w:rFonts w:eastAsia="Times New Roman" w:cs="Times New Roman"/>
          <w:color w:val="000000"/>
        </w:rPr>
        <w:t>Interestingly enough, this was seen without a change in the pattern and regularity of estrous cycling, and furthermore without an increase in post-implantation loss in chrono-disrupted dams (Swamy 2018). The evidence in humans is less clear. A recent meta-analysis of the effects of shift work on infertility demonstrated that the association between shift work and infertility is highly confounded by things like unhealthy lifestyle in shift workers, higher prevalence of risky health behaviors like smoking in shift workers, and the likelihood that women who are working are less likely to have children, creating sampling bias</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{"citationID":"EN5tavWH","properties":{"formattedCitation":"(Fernandez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xml:space="preserve">. Furthermore, defining the exposure of shift work makes studies in humans difficult to compare. In general, </w:t>
      </w:r>
      <w:proofErr w:type="spellStart"/>
      <w:r w:rsidRPr="00826EBC">
        <w:rPr>
          <w:rFonts w:eastAsia="Times New Roman" w:cs="Times New Roman"/>
          <w:color w:val="000000"/>
        </w:rPr>
        <w:t>Fernadez</w:t>
      </w:r>
      <w:proofErr w:type="spellEnd"/>
      <w:r w:rsidRPr="00826EBC">
        <w:rPr>
          <w:rFonts w:eastAsia="Times New Roman" w:cs="Times New Roman"/>
          <w:color w:val="000000"/>
        </w:rPr>
        <w:t xml:space="preserve"> and colleagues suggest that in humans, night shift work is likely to increase complaints of menstrual irregularity, whereas the quality of evidence for shift work and infertility appears to be so inconsistent, there cannot be a statement of risk or of no harm</w:t>
      </w:r>
      <w:r>
        <w:rPr>
          <w:rFonts w:eastAsia="Times New Roman" w:cs="Times New Roman"/>
          <w:color w:val="000000"/>
        </w:rPr>
        <w:fldChar w:fldCharType="begin"/>
      </w:r>
      <w:r>
        <w:rPr>
          <w:rFonts w:eastAsia="Times New Roman" w:cs="Times New Roman"/>
          <w:color w:val="000000"/>
        </w:rPr>
        <w:instrText xml:space="preserve"> ADDIN ZOTERO_ITEM CSL_CITATION {"citationID":"3GUkLvBO","properties":{"formattedCitation":"(Fernandez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w:t>
      </w:r>
    </w:p>
    <w:p w14:paraId="10707B24" w14:textId="0EB78E97" w:rsidR="00820FC6" w:rsidRDefault="0004750C" w:rsidP="0004750C">
      <w:pPr>
        <w:ind w:firstLine="720"/>
        <w:rPr>
          <w:ins w:id="159" w:author="Dave Bridges" w:date="2019-11-27T09:58:00Z"/>
          <w:rFonts w:eastAsia="Times New Roman" w:cs="Times New Roman"/>
          <w:color w:val="000000"/>
        </w:rPr>
      </w:pPr>
      <w:r>
        <w:rPr>
          <w:rFonts w:eastAsia="Times New Roman" w:cs="Times New Roman"/>
          <w:color w:val="000000"/>
        </w:rPr>
        <w:t xml:space="preserve">The majority of the work done in the circadian biology of fertility has been examined using a chrono-disruption exposure </w:t>
      </w:r>
      <w:r>
        <w:rPr>
          <w:rFonts w:eastAsia="Times New Roman" w:cs="Times New Roman"/>
          <w:color w:val="000000"/>
        </w:rPr>
        <w:fldChar w:fldCharType="begin"/>
      </w:r>
      <w:r>
        <w:rPr>
          <w:rFonts w:eastAsia="Times New Roman" w:cs="Times New Roman"/>
          <w:color w:val="000000"/>
        </w:rPr>
        <w:instrText xml:space="preserve"> ADDIN ZOTERO_ITEM CSL_CITATION {"citationID":"bXlJg6Bb","properties":{"formattedCitation":"(Salazar et al., 2018; Swamy et al., 2018)","plainCitation":"(Salazar et al., 2018; Swamy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(Salazar et al., 2018; Swamy et al., 2018)</w:t>
      </w:r>
      <w:r>
        <w:rPr>
          <w:rFonts w:eastAsia="Times New Roman" w:cs="Times New Roman"/>
          <w:color w:val="000000"/>
        </w:rPr>
        <w:fldChar w:fldCharType="end"/>
      </w:r>
      <w:r>
        <w:rPr>
          <w:rFonts w:eastAsia="Times New Roman" w:cs="Times New Roman"/>
          <w:color w:val="000000"/>
        </w:rPr>
        <w:t>. While timed feeding cues have demonstrated the ability to entrain peripheral organs and metabolism</w:t>
      </w:r>
      <w:ins w:id="160" w:author="Dave Bridges" w:date="2019-11-27T10:03:00Z">
        <w:r w:rsidR="00717393">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{"citationID":"4VazguEk","properties":{"formattedCitation":"(Hatori et al., 2012; Pan &amp; Hussain, 2009; Sherman et al., 2012; Swamy et al., 2018)","plainCitation":"(Hatori et al., 2012; Pan &amp; Hussain, 2009; Sherman et al., 2012; Swamy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(Hatori et al., 2012; Pan &amp; Hussain, 2009; Sherman et al., 2012; Swamy et al., 2018)</w:t>
      </w:r>
      <w:r>
        <w:rPr>
          <w:rFonts w:eastAsia="Times New Roman" w:cs="Times New Roman"/>
          <w:color w:val="000000"/>
        </w:rPr>
        <w:fldChar w:fldCharType="end"/>
      </w:r>
      <w:r>
        <w:rPr>
          <w:rFonts w:eastAsia="Times New Roman" w:cs="Times New Roman"/>
          <w:color w:val="000000"/>
        </w:rPr>
        <w:t>, the effects of timed feeding on fertility have not been examined except in models of chrono-disruption</w:t>
      </w:r>
      <w:commentRangeEnd w:id="154"/>
      <w:r w:rsidR="00BD46A4">
        <w:rPr>
          <w:rStyle w:val="CommentReference"/>
        </w:rPr>
        <w:commentReference w:id="154"/>
      </w:r>
      <w:commentRangeEnd w:id="155"/>
      <w:r w:rsidR="00820FC6">
        <w:rPr>
          <w:rStyle w:val="CommentReference"/>
        </w:rPr>
        <w:commentReference w:id="155"/>
      </w:r>
      <w:r>
        <w:rPr>
          <w:rFonts w:eastAsia="Times New Roman" w:cs="Times New Roman"/>
          <w:color w:val="000000"/>
        </w:rPr>
        <w:t xml:space="preserve">. </w:t>
      </w:r>
    </w:p>
    <w:p w14:paraId="65AAE872" w14:textId="77777777" w:rsidR="00717393" w:rsidRDefault="00717393" w:rsidP="00820FC6">
      <w:pPr>
        <w:ind w:firstLine="720"/>
        <w:rPr>
          <w:ins w:id="161" w:author="Dave Bridges" w:date="2019-11-27T10:05:00Z"/>
          <w:rFonts w:eastAsia="Times New Roman" w:cs="Times New Roman"/>
          <w:color w:val="000000"/>
        </w:rPr>
      </w:pPr>
    </w:p>
    <w:p w14:paraId="113D416D" w14:textId="3EAEBEAC" w:rsidR="00031589" w:rsidRDefault="00717393" w:rsidP="00820FC6">
      <w:pPr>
        <w:ind w:firstLine="720"/>
      </w:pPr>
      <w:ins w:id="162" w:author="Dave Bridges" w:date="2019-11-27T10:05:00Z">
        <w:r>
          <w:rPr>
            <w:rFonts w:eastAsia="Times New Roman" w:cs="Times New Roman"/>
            <w:color w:val="000000"/>
          </w:rPr>
          <w:t>While</w:t>
        </w:r>
      </w:ins>
      <w:ins w:id="163" w:author="Dave Bridges" w:date="2019-11-27T09:58:00Z">
        <w:r w:rsidR="00820FC6">
          <w:rPr>
            <w:rFonts w:eastAsia="Times New Roman" w:cs="Times New Roman"/>
            <w:color w:val="000000"/>
          </w:rPr>
          <w:t xml:space="preserve"> this is not the main focus of my dissertation, our study will evaluate whether eTRF prior to pregnancy affects likelihood of conception.</w:t>
        </w:r>
      </w:ins>
      <w:del w:id="164" w:author="Dave Bridges" w:date="2019-11-27T09:59:00Z">
        <w:r w:rsidR="0004750C" w:rsidDel="00820FC6">
          <w:rPr>
            <w:rFonts w:eastAsia="Times New Roman" w:cs="Times New Roman"/>
            <w:color w:val="000000"/>
          </w:rPr>
          <w:delText>Therefore I propose to</w:delText>
        </w:r>
        <w:r w:rsidR="00031589" w:rsidDel="00820FC6">
          <w:delText xml:space="preserve"> assess the effects of eTRF on maternal fertility</w:delText>
        </w:r>
        <w:r w:rsidR="0004750C" w:rsidDel="00820FC6">
          <w:delText>, as a healthful model of metabolic clock entrainment</w:delText>
        </w:r>
        <w:r w:rsidR="00031589" w:rsidDel="00820FC6">
          <w:delText>.</w:delText>
        </w:r>
      </w:del>
      <w:r w:rsidR="00031589">
        <w:t xml:space="preserve"> </w:t>
      </w:r>
      <w:ins w:id="165" w:author="Dave Bridges" w:date="2019-11-27T10:05:00Z">
        <w:r>
          <w:t xml:space="preserve">Previous reports </w:t>
        </w:r>
      </w:ins>
      <w:commentRangeStart w:id="166"/>
      <w:r w:rsidR="00031589">
        <w:t>This</w:t>
      </w:r>
      <w:commentRangeEnd w:id="166"/>
      <w:r>
        <w:rPr>
          <w:rStyle w:val="CommentReference"/>
        </w:rPr>
        <w:commentReference w:id="166"/>
      </w:r>
      <w:r w:rsidR="00031589">
        <w:t xml:space="preserve"> will first be done by </w:t>
      </w:r>
      <w:r w:rsidR="0004750C">
        <w:t>daily staging of the estrous</w:t>
      </w:r>
      <w:r w:rsidR="00031589">
        <w:t xml:space="preserve"> cycle</w:t>
      </w:r>
      <w:r w:rsidR="0004750C">
        <w:t xml:space="preserve"> </w:t>
      </w:r>
      <w:r w:rsidR="0004750C">
        <w:fldChar w:fldCharType="begin"/>
      </w:r>
      <w:r w:rsidR="0004750C">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2009)","noteIndex":0},"citationItems":[{"id":178,"uris":["http://zotero.org/users/5073745/items/BRASLVKZ"],"uri":["http://zotero.org/users/5073745/items/BRASLVKZ"],"itemData":{"id":178,"type":"article-journal","title":"Assessing reproductive status/stages in mice","container-title":"Current Protocols in Neuroscience","page":"Appendix 4I","volume":"Appendix 4","source":"PubMed","abstract":"The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mice.","DOI":"10.1002/0471142301.nsa04is48","ISSN":"1934-8576","note":"PMID: 19575469\nPMCID: PMC2755182","journalAbbreviation":"Curr Protoc Neurosci","language":"eng","author":[{"family":"Caligioni","given":"Claudia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 xml:space="preserve">both before and during the initial exposure to </w:t>
      </w:r>
      <w:commentRangeStart w:id="167"/>
      <w:r w:rsidR="00031589">
        <w:t>eTRF</w:t>
      </w:r>
      <w:commentRangeEnd w:id="167"/>
      <w:r w:rsidR="00820FC6">
        <w:rPr>
          <w:rStyle w:val="CommentReference"/>
        </w:rPr>
        <w:commentReference w:id="167"/>
      </w:r>
      <w:r w:rsidR="0004750C">
        <w:t xml:space="preserve">. Because timed feeding has previously demonstrated the ability to entrain peripheral tissues, including the female reproductive system, I expect that feeding during the shortened period of the dark cycle will not result in irregular or prolonged estrous cycles.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w:t>
      </w:r>
      <w:r w:rsidR="004241AB">
        <w:lastRenderedPageBreak/>
        <w:t xml:space="preserve">ammonium oxide to reveal implantation sites as described by Swamy and colleagues </w:t>
      </w:r>
      <w:r w:rsidR="004241AB">
        <w:fldChar w:fldCharType="begin"/>
      </w:r>
      <w:r w:rsidR="004241A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I expect that fertility will not be compromised by eTRF treatment.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68"/>
      <w:r w:rsidRPr="00414BFB">
        <w:rPr>
          <w:b/>
          <w:sz w:val="28"/>
          <w:szCs w:val="28"/>
        </w:rPr>
        <w:t>insulin resistance of pregnanc</w:t>
      </w:r>
      <w:r w:rsidR="00C9633A">
        <w:rPr>
          <w:b/>
          <w:sz w:val="28"/>
          <w:szCs w:val="28"/>
        </w:rPr>
        <w:t>y</w:t>
      </w:r>
      <w:commentRangeEnd w:id="168"/>
      <w:r w:rsidR="00CC2456">
        <w:rPr>
          <w:rStyle w:val="CommentReference"/>
        </w:rPr>
        <w:commentReference w:id="168"/>
      </w:r>
    </w:p>
    <w:p w14:paraId="222F0920" w14:textId="34FBB653" w:rsidR="00A33C49" w:rsidRDefault="00A33C49" w:rsidP="00414BFB">
      <w:pPr>
        <w:rPr>
          <w:ins w:id="169" w:author="Dave Bridges" w:date="2019-11-27T09:56:00Z"/>
        </w:rPr>
      </w:pPr>
      <w:r>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2014)","noteIndex":0},"citationItems":[{"id":184,"uris":["http://zotero.org/users/5073745/items/ZDTFX5KY"],"uri":["http://zotero.org/users/5073745/items/ZDTFX5KY"],"itemData":{"id":184,"type":"article-journal","title":"Normal Pregnancy- A State of Insulin Resistance","container-title":"Journal of Clinical and Diagnostic Research : JCDR","page":"CC01-CC03","volume":"8","issue":"11","source":"PubMed Central","abstract":"Background: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complications.","DOI":"10.7860/JCDR/2014/10068.5081","ISSN":"2249-782X","note":"PMID: 25584208\nPMCID: PMC4290225","journalAbbreviation":"J Clin Diagn Res","author":[{"family":"Sonagra","given":"Amit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del w:id="170" w:author="Dave Bridges" w:date="2019-11-27T09:56:00Z">
        <w:r w:rsidR="008A29BB" w:rsidDel="00BD46A4">
          <w:delText>However, insulin resistance I</w:delText>
        </w:r>
      </w:del>
    </w:p>
    <w:p w14:paraId="378E6AD7" w14:textId="77777777" w:rsidR="00BD46A4" w:rsidRDefault="00BD46A4" w:rsidP="00414BFB"/>
    <w:p w14:paraId="19476A37" w14:textId="1D3E3A72" w:rsidR="008A29BB" w:rsidRPr="00A33C49" w:rsidRDefault="008A29BB" w:rsidP="00414BFB">
      <w:r>
        <w:t xml:space="preserve">To compare the effects of eTRF to that of normal pregnancy, an experiment comparing insulin sensitivity in unpregnant females, pregnant AL females, and eTRF females will be conducted. </w:t>
      </w:r>
      <w:r w:rsidR="00CC2456">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D01C682"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3C59261D"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10DF288A" w:rsidR="00414BFB" w:rsidRDefault="00414BFB" w:rsidP="00414BFB">
      <w:pPr>
        <w:rPr>
          <w:rFonts w:cs="Times New Roman"/>
        </w:rPr>
      </w:pPr>
      <w:r>
        <w:rPr>
          <w:rFonts w:cs="Times New Roman"/>
        </w:rPr>
        <w:lastRenderedPageBreak/>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0AEB254"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71"/>
      <w:r>
        <w:rPr>
          <w:rFonts w:cs="Times New Roman"/>
        </w:rPr>
        <w:t xml:space="preserve">RER </w:t>
      </w:r>
      <w:commentRangeEnd w:id="171"/>
      <w:r>
        <w:rPr>
          <w:rStyle w:val="CommentReference"/>
        </w:rPr>
        <w:commentReference w:id="171"/>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eTRF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25D27833"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0F0FE1">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2000)","noteIndex":0},"citationItems":[{"id":152,"uris":["http://zotero.org/users/5073745/items/GILEK3JH"],"uri":["http://zotero.org/users/5073745/items/GILEK3JH"],"itemData":{"id":152,"type":"article-journal","title":"Iron homeostasis during pregnancy","container-title":"The American Journal of Clinical Nutrition","page":"1567S-1574S","volume":"106","issue":"Suppl 6","source":"PubMed Central","abstract":"During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homeostasis.","DOI":"10.3945/ajcn.117.155812","ISSN":"0002-9165","note":"PMID: 29070542\nPMCID: PMC5701706","journalAbbreviation":"Am J Clin Nutr","author":[{"family":"Fisher","given":"Allison L"},{"family":"Nemeth","given":"Elizabeta"}],"issued":{"date-parts":[["2017",12]]}}},{"id":155,"uris":["http://zotero.org/users/5073745/items/8PF4H68M"],"uri":["http://zotero.org/users/5073745/items/8PF4H68M"],"itemData":{"id":155,"type":"chapter","title":"Calcium and Phosphate Metabolism and Related Disorders During Pregnancy and Lactation","container-title":"Endotext","publisher":"MDText.com, Inc.","publisher-place":"South Dartmouth (MA)","source":"PubMed","event-place":"South Dartmouth (MA)","abstract":"Pregnancy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fracture.","URL":"http://www.ncbi.nlm.nih.gov/books/NBK279173/","call-number":"NBK279173","note":"PMID: 25905396","language":"eng","author":[{"family":"Kovacs","given":"Christopher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P."}],"issued":{"date-parts":[["2000"]]},"accessed":{"date-parts":[["2019",11,5]]}}}],"schema":"https://github.com/citation-style-language/schema/raw/master/csl-citation.json"}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C7633F">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2015)","noteIndex":0},"citationItems":[{"id":149,"uris":["http://zotero.org/users/5073745/items/VQXZRVV8"],"uri":["http://zotero.org/users/5073745/items/VQXZRVV8"],"itemData":{"id":149,"type":"article-journal","title":"Histomorphometric changes of small intestine in pregnant rat","container-title":"Veterinary Research Forum","page":"69-73","volume":"6","issue":"1","source":"PubMed Central","abstract":"Food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hyperphagia.","ISSN":"2008-8140","note":"PMID: 25992254\nPMCID: PMC4405688","journalAbbreviation":"Vet Res Forum","author":[{"family":"Sabet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w:t>
      </w:r>
      <w:r>
        <w:lastRenderedPageBreak/>
        <w:t xml:space="preserve">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Determining how eTRF affects i</w:t>
      </w:r>
      <w:r>
        <w:t>nsulin sensitivity and glycemia</w:t>
      </w:r>
      <w:r w:rsidR="001041F5">
        <w:t xml:space="preserve"> in pregnant mice</w:t>
      </w:r>
    </w:p>
    <w:p w14:paraId="6E002C10" w14:textId="165A07AF"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8A29BB">
        <w:rPr>
          <w:rFonts w:cs="Times New Roman"/>
        </w:rPr>
        <w:instrText xml:space="preserve"> ADDIN ZOTERO_ITEM CSL_CITATION {"citationID":"SSt7RU0F","properties":{"formattedCitation":"(Hatori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8A29BB">
        <w:rPr>
          <w:rFonts w:cs="Times New Roman"/>
          <w:noProof/>
        </w:rPr>
        <w:t>(Hatori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8A29B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2018)","noteIndex":0},"citationItems":[{"id":134,"uris":["http://zotero.org/users/5073745/items/JQGFN28M"],"uri":["http://zotero.org/users/5073745/items/JQGFN28M"],"itemData":{"id":134,"type":"article-journal","title":"Effects of 8-hour time restricted feeding on body weight and metabolic disease risk factors in obese adults: A pilot study","container-title":"Nutrition and Healthy Aging","page":"345-353","volume":"4","issue":"4","source":"PubMed Central","abstract":"BACKGROUND:\nTime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pressure.","DOI":"10.3233/NHA-170036","ISSN":"2451-9480","note":"PMID: 29951594\nPMCID: PMC6004924","title-short":"Effects of 8-hour time restricted feeding on body weight and metabolic disease risk factors in obese adults","journalAbbreviation":"Nutr Healthy Aging","author":[{"family":"Gabel","given":"Kelsey"},{"family":"Hoddy","given":"Kristin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8A29B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For this reason, I hypothesize that</w:t>
      </w:r>
      <w:r w:rsidR="008A29BB" w:rsidRPr="00D817DF">
        <w:rPr>
          <w:rFonts w:cs="Times New Roman"/>
        </w:rPr>
        <w:t xml:space="preserve"> the use of eTRF in pregnancy will result in greater</w:t>
      </w:r>
      <w:r w:rsidR="004638BC" w:rsidRPr="00D817DF">
        <w:rPr>
          <w:rFonts w:cs="Times New Roman"/>
        </w:rPr>
        <w:t xml:space="preserve"> insulin sensitivity </w:t>
      </w:r>
      <w:r w:rsidR="008A29BB" w:rsidRPr="00D817DF">
        <w:rPr>
          <w:rFonts w:cs="Times New Roman"/>
        </w:rPr>
        <w:t xml:space="preserve">compared to pregnant AL fed animals </w:t>
      </w:r>
      <w:r w:rsidR="004638BC" w:rsidRPr="00D817DF">
        <w:rPr>
          <w:rFonts w:cs="Times New Roman"/>
        </w:rPr>
        <w:t xml:space="preserve">will be improved and that </w:t>
      </w:r>
      <w:r w:rsidR="008A29BB" w:rsidRPr="00D817DF">
        <w:rPr>
          <w:rFonts w:cs="Times New Roman"/>
        </w:rPr>
        <w:t>fasting blood glucose</w:t>
      </w:r>
      <w:r w:rsidR="004638BC" w:rsidRPr="00D817DF">
        <w:rPr>
          <w:rFonts w:cs="Times New Roman"/>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46FC7BBC" w:rsidR="0053627B" w:rsidRDefault="00C0263D" w:rsidP="00B6593C">
      <w:pPr>
        <w:ind w:firstLine="720"/>
        <w:rPr>
          <w:rFonts w:cs="Times New Roman"/>
        </w:rPr>
      </w:pPr>
      <w:r w:rsidRPr="009E0819">
        <w:rPr>
          <w:rFonts w:cs="Times New Roman"/>
        </w:rPr>
        <w:t>After observation of the effects that eTRF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eTRF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fail to explain the effects of eTRF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r w:rsidR="00A33C49" w:rsidRPr="00074954">
        <w:rPr>
          <w:rFonts w:cs="Times New Roman"/>
        </w:rPr>
        <w:t xml:space="preserve">eTRF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F86FF71"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2015)","noteIndex":0},"citationItems":[{"id":198,"uris":["http://zotero.org/users/5073745/items/EDUS96TH"],"uri":["http://zotero.org/users/5073745/items/EDUS96TH"],"itemData":{"id":198,"type":"article-journal","title":"The Treatment of Cushing's Disease","container-title":"Endocrine Reviews","page":"385-486","volume":"36","issue":"4","source":"PubMed Central","abstract":"Cushing's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CD.","DOI":"10.1210/er.2013-1048","ISSN":"0163-769X","note":"PMID: 26067718\nPMCID: PMC4523083","journalAbbreviation":"Endocr Rev","author":[{"family":"Pivonello","given":"Rosario"},{"family":"De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2015)","noteIndex":0},"citationItems":[{"id":195,"uris":["http://zotero.org/users/5073745/items/T4WBPF7G"],"uri":["http://zotero.org/users/5073745/items/T4WBPF7G"],"itemData":{"id":195,"type":"article-journal","title":"Glucocorticoid Excess Increases Hepatic 11β-HSD-1 Activity in Humans: Implications in Steroid-Induced Diabetes","container-title":"The Journal of Clinical Endocrinology and Metabolism","page":"4155-4162","volume":"100","issue":"11","source":"PubMed Central","abstract":"Context:\nAnimal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determined.","DOI":"10.1210/jc.2015-2673","ISSN":"0021-972X","note":"PMID: 26308294\nPMCID: PMC4702452","title-short":"Glucocorticoid Excess Increases Hepatic 11β-HSD-1 Activity in Humans","journalAbbreviation":"J Clin Endocrinol Metab","author":[{"family":"Dube","given":"Simmi"},{"family":"Slama","given":"Michael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3627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2017)","noteIndex":0},"citationItems":[{"id":143,"uris":["http://zotero.org/users/5073745/items/HA4KF47J"],"uri":["http://zotero.org/users/5073745/items/HA4KF47J"],"itemData":{"id":143,"type":"article-journal","title":"PLASMA CORTICOSTERONE LEVELS DURING PREGNANCY IN THE MOUSE: THE RELATIVE CONTRIBUTIONS OF THE ADRENAL GLANDS AND FOETO-PLACENTAL UNITS","container-title":"Journal of Endocrinology","page":"473-483","volume":"60","issue":"3","source":"joe.bioscientifica.com","DOI":"10.1677/joe.0.0600473","ISSN":"0022-0795, 1479-6805","title-short":"PLASMA CORTICOSTERONE LEVELS DURING PREGNANCY IN THE MOUSE","language":"en_US","author":[{"family":"Barlow","given":"Susan M."},{"family":"Morrison","given":"P. J."},{"family":"Sullivan","given":"F. M."}],"issued":{"date-parts":[["1974",3,1]]}}},{"id":146,"uris":["http://zotero.org/users/5073745/items/YJX79HKP"],"uri":["http://zotero.org/users/5073745/items/YJX79HKP"],"itemData":{"id":146,"type":"article-journal","title":"Corticosterone response to gestational stress and postpartum memory function in mice","container-title":"PloS One","page":"e0180306","volume":"12","issue":"7","source":"PubMed","abstract":"Maternal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offspring.","DOI":"10.1371/journal.pone.0180306","ISSN":"1932-6203","note":"PMID: 28692696\nPMCID: PMC5503237","journalAbbreviation":"PLoS ONE","language":"eng","author":[{"family":"Jafari","given":"Zahra"},{"family":"Mehla","given":"Jogender"},{"family":"Afrashteh","given":"Navvab"},{"family":"Kolb","given":"Bryan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3627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w:t>
      </w:r>
      <w:r w:rsidR="000751BB">
        <w:rPr>
          <w:rFonts w:cs="Times New Roman"/>
        </w:rPr>
        <w:lastRenderedPageBreak/>
        <w:t>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3CE5F373"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A33C49">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title":"GDF15 Provides an Endocrine Signal of Nutritional Stress in Mice and Humans","container-title":"Cell Metabolism","page":"707-718.e8","volume":"29","issue":"3","source":"ScienceDirect","abstract":"Summary\nGDF15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stress.","DOI":"10.1016/j.cmet.2018.12.016","ISSN":"1550-4131","journalAbbreviation":"Cell Metabolism","author":[{"family":"Patel","given":"Satish"},{"family":"Alvarez-Guaita","given":"Anna"},{"family":"Melvin","given":"Audrey"},{"family":"Rimmington","given":"Debra"},{"family":"Dattilo","given":"Alessia"},{"family":"Miedzybrodzka","given":"Emily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A33C49">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both of which are seen in eTRF</w:t>
      </w:r>
      <w:r w:rsidR="00F628D5">
        <w:rPr>
          <w:rFonts w:cs="Times New Roman"/>
        </w:rPr>
        <w:t xml:space="preserve"> </w:t>
      </w:r>
      <w:r>
        <w:rPr>
          <w:rFonts w:cs="Times New Roman"/>
        </w:rPr>
        <w:fldChar w:fldCharType="begin"/>
      </w:r>
      <w:r w:rsidR="001E0AFA">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2018)","noteIndex":0},"citationItems":[{"id":201,"uris":["http://zotero.org/users/5073745/items/MRT4HRAU"],"uri":["http://zotero.org/users/5073745/items/MRT4HRAU"],"itemData":{"id":201,"type":"article-journal","title":"Intermittent fasting dissociates beneficial effects of dietary restriction on glucose metabolism and neuronal resistance to injury from calorie intake","container-title":"Proceedings of the National Academy of Sciences of the United States of America","page":"6216-6220","volume":"100","issue":"10","source":"PubMed","abstract":"Dietary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intake.","DOI":"10.1073/pnas.1035720100","ISSN":"0027-8424","note":"PMID: 12724520\nPMCID: PMC156352","journalAbbreviation":"Proc. Natl. Acad. Sci. U.S.A.","language":"eng","author":[{"family":"Anson","given":"R.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M."}],"issued":{"date-parts":[["2019",6]]}}},{"id":204,"uris":["http://zotero.org/users/5073745/items/L2PGIGPL"],"uri":["http://zotero.org/users/5073745/items/L2PGIGPL"],"itemData":{"id":204,"type":"article-journal","title":"Fasting exacerbates hepatic growth differentiation factor 15 to promote fatty acid β-oxidation and ketogenesis via activating XBP1 signaling in liver","container-title":"Redox Biology","page":"87-96","volume":"16","source":"PubMed","abstract":"Liver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stress.","DOI":"10.1016/j.redox.2018.01.013","ISSN":"2213-2317","note":"PMID: 29482168\nPMCID: PMC5952356","journalAbbreviation":"Redox Biol","language":"eng","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A33C49">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A33C49">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A33C49">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013FAB49" w:rsidR="004B030F" w:rsidRDefault="004B030F" w:rsidP="00F628D5">
      <w:pPr>
        <w:ind w:firstLine="720"/>
        <w:rPr>
          <w:rStyle w:val="SubtleEmphasis"/>
          <w:i w:val="0"/>
        </w:rPr>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To test the role of insulin in the effects of eTRF, serum insulin will be measured in both eTRF and AL dams and compared. I hypothesize</w:t>
      </w:r>
      <w:r w:rsidR="0042416C">
        <w:t xml:space="preserve"> that insulin secretion will be reduced in eTRF dams, and therefore insulin sensitivity will be increased. The tissues specific-mechanisms of insulin signaling can also be investigated. </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172" w:name="_Toc16185296"/>
      <w:r>
        <w:br/>
      </w:r>
      <w:r w:rsidR="00926E95" w:rsidRPr="00F96DB1">
        <w:t>Methods:</w:t>
      </w:r>
      <w:bookmarkEnd w:id="172"/>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73" w:name="_Toc16185297"/>
      <w:r w:rsidRPr="00F96DB1">
        <w:t>Animals:</w:t>
      </w:r>
      <w:bookmarkEnd w:id="173"/>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74" w:name="_Toc16185298"/>
      <w:r w:rsidRPr="00F96DB1">
        <w:lastRenderedPageBreak/>
        <w:t>Mating:</w:t>
      </w:r>
      <w:bookmarkEnd w:id="174"/>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75" w:name="_Toc16185299"/>
      <w:r w:rsidRPr="00F96DB1">
        <w:t>Body Composition:</w:t>
      </w:r>
      <w:bookmarkEnd w:id="175"/>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176" w:name="_Toc16185300"/>
      <w:r w:rsidRPr="00F96DB1">
        <w:t>Insulin Sensitivity:</w:t>
      </w:r>
      <w:bookmarkEnd w:id="176"/>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177"/>
      <w:proofErr w:type="spellStart"/>
      <w:r w:rsidRPr="004469CF">
        <w:rPr>
          <w:rFonts w:cs="Times New Roman"/>
          <w:i/>
        </w:rPr>
        <w:t>Hyperinsulinemic</w:t>
      </w:r>
      <w:proofErr w:type="spellEnd"/>
      <w:r w:rsidRPr="004469CF">
        <w:rPr>
          <w:rFonts w:cs="Times New Roman"/>
          <w:i/>
        </w:rPr>
        <w:t>-euglycemic clamp:</w:t>
      </w:r>
      <w:commentRangeEnd w:id="177"/>
      <w:r w:rsidR="00BF51D2">
        <w:rPr>
          <w:rStyle w:val="CommentReference"/>
        </w:rPr>
        <w:commentReference w:id="177"/>
      </w:r>
    </w:p>
    <w:p w14:paraId="787C6F91" w14:textId="5CE7FBAC"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5CC5238A"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DF1B2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w:t>
      </w:r>
      <w:r w:rsidR="00B211F9">
        <w:lastRenderedPageBreak/>
        <w:t xml:space="preserve">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178" w:name="_Toc16185301"/>
    </w:p>
    <w:p w14:paraId="4CA93DEF" w14:textId="31655D08" w:rsidR="00926E95" w:rsidRPr="00F96DB1" w:rsidRDefault="00926E95" w:rsidP="00B67A65">
      <w:pPr>
        <w:pStyle w:val="Heading3"/>
      </w:pPr>
      <w:r w:rsidRPr="00F96DB1">
        <w:t>Energy Expenditure:</w:t>
      </w:r>
      <w:bookmarkEnd w:id="178"/>
    </w:p>
    <w:p w14:paraId="13B9E7E6" w14:textId="373B5191" w:rsidR="00926E95" w:rsidRPr="00F96DB1" w:rsidRDefault="002D7DCD" w:rsidP="00926E95">
      <w:pPr>
        <w:rPr>
          <w:rFonts w:cs="Times New Roman"/>
        </w:rPr>
      </w:pPr>
      <w:commentRangeStart w:id="179"/>
      <w:commentRangeStart w:id="180"/>
      <w:r>
        <w:rPr>
          <w:rFonts w:cs="Times New Roman"/>
        </w:rPr>
        <w:t>CLAMS</w:t>
      </w:r>
      <w:commentRangeEnd w:id="179"/>
      <w:r w:rsidR="00C50689">
        <w:rPr>
          <w:rStyle w:val="CommentReference"/>
        </w:rPr>
        <w:commentReference w:id="179"/>
      </w:r>
      <w:commentRangeEnd w:id="180"/>
      <w:r w:rsidR="00F628D5">
        <w:rPr>
          <w:rStyle w:val="CommentReference"/>
        </w:rPr>
        <w:commentReference w:id="180"/>
      </w:r>
    </w:p>
    <w:p w14:paraId="5E020F83" w14:textId="77777777" w:rsidR="00926E95" w:rsidRPr="00F96DB1" w:rsidRDefault="00926E95" w:rsidP="00B67A65">
      <w:pPr>
        <w:pStyle w:val="Heading3"/>
      </w:pPr>
      <w:bookmarkStart w:id="181" w:name="_Toc16185302"/>
      <w:r w:rsidRPr="00F96DB1">
        <w:t>Digestive Physiology:</w:t>
      </w:r>
      <w:bookmarkEnd w:id="181"/>
    </w:p>
    <w:p w14:paraId="28CFB8DE" w14:textId="5A4C2886" w:rsidR="00976A3C" w:rsidRDefault="0057571A" w:rsidP="00926E95">
      <w:pPr>
        <w:rPr>
          <w:rFonts w:cs="Times New Roman"/>
          <w:i/>
        </w:rPr>
      </w:pPr>
      <w:r>
        <w:rPr>
          <w:rFonts w:cs="Times New Roman"/>
          <w:i/>
        </w:rPr>
        <w:t>Energy Absorption</w:t>
      </w:r>
    </w:p>
    <w:p w14:paraId="33EE8174" w14:textId="7A48B85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182"/>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182"/>
      <w:r w:rsidR="00C428FD">
        <w:rPr>
          <w:rStyle w:val="CommentReference"/>
        </w:rPr>
        <w:commentReference w:id="182"/>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02D3183E"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w:t>
      </w:r>
      <w:r w:rsidR="00F21DE2">
        <w:rPr>
          <w:rStyle w:val="SubtleEmphasis"/>
          <w:i w:val="0"/>
          <w:color w:val="000000" w:themeColor="text1"/>
        </w:rPr>
        <w:t>l</w:t>
      </w:r>
      <w:r>
        <w:rPr>
          <w:rStyle w:val="SubtleEmphasis"/>
          <w:i w:val="0"/>
          <w:color w:val="000000" w:themeColor="text1"/>
        </w:rPr>
        <w:t>lates</w:t>
      </w:r>
      <w:proofErr w:type="spell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69E3EF2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2013)","noteIndex":0},"citationItems":[{"id":207,"uris":["http://zotero.org/users/5073745/items/F6QYTZG8"],"uri":["http://zotero.org/users/5073745/items/F6QYTZG8"],"itemData":{"id":207,"type":"article-journal","title":"Influence of Strain and Parity on the Risk of Litter Loss in Laboratory Mice","container-title":"Reproduction in Domestic Animals","page":"292-296","volume":"48","issue":"2","source":"Wiley Online Library","abstract":"Contents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overlooked.","DOI":"10.1111/j.1439-0531.2012.02147.x","ISSN":"1439-0531","language":"en","author":[{"family":"Weber","given":"E.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lastRenderedPageBreak/>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07413025" w14:textId="77777777" w:rsidR="00A83D7B" w:rsidRPr="00A83D7B" w:rsidRDefault="00A83D7B" w:rsidP="00A83D7B">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Pr="00A83D7B">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100</w:t>
      </w:r>
      <w:r w:rsidRPr="00A83D7B">
        <w:rPr>
          <w:rFonts w:cs="Times New Roman"/>
          <w:color w:val="808080"/>
        </w:rPr>
        <w:t>(10), 6216–6220. https://doi.org/10.1073/pnas.1035720100</w:t>
      </w:r>
    </w:p>
    <w:p w14:paraId="6AE0B369" w14:textId="77777777" w:rsidR="00A83D7B" w:rsidRPr="00A83D7B" w:rsidRDefault="00A83D7B" w:rsidP="00A83D7B">
      <w:pPr>
        <w:pStyle w:val="Bibliography"/>
        <w:rPr>
          <w:rFonts w:cs="Times New Roman"/>
          <w:color w:val="808080"/>
        </w:rPr>
      </w:pPr>
      <w:r w:rsidRPr="00A83D7B">
        <w:rPr>
          <w:rFonts w:cs="Times New Roman"/>
          <w:color w:val="808080"/>
        </w:rPr>
        <w:t xml:space="preserve">Barlow, S. M., Morrison, P. J., &amp; Sullivan, F. M. (1974). PLASMA CORTICOSTERONE LEVELS DURING PREGNANCY IN THE MOUSE: THE RELATIVE CONTRIBUTIONS OF THE ADRENAL GLANDS AND FOETO-PLACENTAL UNITS. </w:t>
      </w:r>
      <w:r w:rsidRPr="00A83D7B">
        <w:rPr>
          <w:rFonts w:cs="Times New Roman"/>
          <w:i/>
          <w:iCs/>
          <w:color w:val="808080"/>
        </w:rPr>
        <w:t>Journal of Endocrinology</w:t>
      </w:r>
      <w:r w:rsidRPr="00A83D7B">
        <w:rPr>
          <w:rFonts w:cs="Times New Roman"/>
          <w:color w:val="808080"/>
        </w:rPr>
        <w:t xml:space="preserve">, </w:t>
      </w:r>
      <w:r w:rsidRPr="00A83D7B">
        <w:rPr>
          <w:rFonts w:cs="Times New Roman"/>
          <w:i/>
          <w:iCs/>
          <w:color w:val="808080"/>
        </w:rPr>
        <w:t>60</w:t>
      </w:r>
      <w:r w:rsidRPr="00A83D7B">
        <w:rPr>
          <w:rFonts w:cs="Times New Roman"/>
          <w:color w:val="808080"/>
        </w:rPr>
        <w:t>(3), 473–483. https://doi.org/10.1677/joe.0.0600473</w:t>
      </w:r>
    </w:p>
    <w:p w14:paraId="494FB748" w14:textId="77777777" w:rsidR="00A83D7B" w:rsidRPr="00A83D7B" w:rsidRDefault="00A83D7B" w:rsidP="00A83D7B">
      <w:pPr>
        <w:pStyle w:val="Bibliography"/>
        <w:rPr>
          <w:rFonts w:cs="Times New Roman"/>
          <w:color w:val="808080"/>
        </w:rPr>
      </w:pPr>
      <w:r w:rsidRPr="00A83D7B">
        <w:rPr>
          <w:rFonts w:cs="Times New Roman"/>
          <w:color w:val="808080"/>
        </w:rPr>
        <w:t xml:space="preserve">Bellamy, L., Casas, J.-P., Hingorani, A. D., &amp; Williams, D. (2009). Type 2 diabetes mellitus after gestational diabetes: A systematic review and meta-analysis. </w:t>
      </w:r>
      <w:r w:rsidRPr="00A83D7B">
        <w:rPr>
          <w:rFonts w:cs="Times New Roman"/>
          <w:i/>
          <w:iCs/>
          <w:color w:val="808080"/>
        </w:rPr>
        <w:t>The Lancet</w:t>
      </w:r>
      <w:r w:rsidRPr="00A83D7B">
        <w:rPr>
          <w:rFonts w:cs="Times New Roman"/>
          <w:color w:val="808080"/>
        </w:rPr>
        <w:t xml:space="preserve">, </w:t>
      </w:r>
      <w:r w:rsidRPr="00A83D7B">
        <w:rPr>
          <w:rFonts w:cs="Times New Roman"/>
          <w:i/>
          <w:iCs/>
          <w:color w:val="808080"/>
        </w:rPr>
        <w:t>373</w:t>
      </w:r>
      <w:r w:rsidRPr="00A83D7B">
        <w:rPr>
          <w:rFonts w:cs="Times New Roman"/>
          <w:color w:val="808080"/>
        </w:rPr>
        <w:t>(9677), 1773–1779. https://doi.org/10.1016/S0140-6736(09)60731-5</w:t>
      </w:r>
    </w:p>
    <w:p w14:paraId="123733FA" w14:textId="77777777" w:rsidR="00A83D7B" w:rsidRPr="00A83D7B" w:rsidRDefault="00A83D7B" w:rsidP="00A83D7B">
      <w:pPr>
        <w:pStyle w:val="Bibliography"/>
        <w:rPr>
          <w:rFonts w:cs="Times New Roman"/>
          <w:color w:val="808080"/>
        </w:rPr>
      </w:pPr>
      <w:r w:rsidRPr="00A83D7B">
        <w:rPr>
          <w:rFonts w:cs="Times New Roman"/>
          <w:color w:val="808080"/>
        </w:rPr>
        <w:t xml:space="preserve">Caligioni, C. S. (2009). Assessing reproductive status/stages in mice. </w:t>
      </w:r>
      <w:r w:rsidRPr="00A83D7B">
        <w:rPr>
          <w:rFonts w:cs="Times New Roman"/>
          <w:i/>
          <w:iCs/>
          <w:color w:val="808080"/>
        </w:rPr>
        <w:t>Current Protocols in Neuroscience</w:t>
      </w:r>
      <w:r w:rsidRPr="00A83D7B">
        <w:rPr>
          <w:rFonts w:cs="Times New Roman"/>
          <w:color w:val="808080"/>
        </w:rPr>
        <w:t xml:space="preserve">, </w:t>
      </w:r>
      <w:r w:rsidRPr="00A83D7B">
        <w:rPr>
          <w:rFonts w:cs="Times New Roman"/>
          <w:i/>
          <w:iCs/>
          <w:color w:val="808080"/>
        </w:rPr>
        <w:t>Appendix 4</w:t>
      </w:r>
      <w:r w:rsidRPr="00A83D7B">
        <w:rPr>
          <w:rFonts w:cs="Times New Roman"/>
          <w:color w:val="808080"/>
        </w:rPr>
        <w:t>, Appendix 4I. https://doi.org/10.1002/0471142301.nsa04is48</w:t>
      </w:r>
    </w:p>
    <w:p w14:paraId="6AD1CA18" w14:textId="77777777" w:rsidR="00A83D7B" w:rsidRPr="00A83D7B" w:rsidRDefault="00A83D7B" w:rsidP="00A83D7B">
      <w:pPr>
        <w:pStyle w:val="Bibliography"/>
        <w:rPr>
          <w:rFonts w:cs="Times New Roman"/>
          <w:color w:val="808080"/>
        </w:rPr>
      </w:pPr>
      <w:r w:rsidRPr="00A83D7B">
        <w:rPr>
          <w:rFonts w:cs="Times New Roman"/>
          <w:color w:val="808080"/>
        </w:rPr>
        <w:t xml:space="preserve">Cho, N. H., Shaw, J. E., Karuranga, S., Huang, Y., da Rocha Fernandes, J. D., Ohlrogge, A. W., &amp; Malanda, B. (2018). IDF Diabetes Atlas: Global estimates of diabetes prevalence for 2017 and projections for 2045. </w:t>
      </w:r>
      <w:r w:rsidRPr="00A83D7B">
        <w:rPr>
          <w:rFonts w:cs="Times New Roman"/>
          <w:i/>
          <w:iCs/>
          <w:color w:val="808080"/>
        </w:rPr>
        <w:t>Diabetes Research and Clinical Practice</w:t>
      </w:r>
      <w:r w:rsidRPr="00A83D7B">
        <w:rPr>
          <w:rFonts w:cs="Times New Roman"/>
          <w:color w:val="808080"/>
        </w:rPr>
        <w:t xml:space="preserve">, </w:t>
      </w:r>
      <w:r w:rsidRPr="00A83D7B">
        <w:rPr>
          <w:rFonts w:cs="Times New Roman"/>
          <w:i/>
          <w:iCs/>
          <w:color w:val="808080"/>
        </w:rPr>
        <w:t>138</w:t>
      </w:r>
      <w:r w:rsidRPr="00A83D7B">
        <w:rPr>
          <w:rFonts w:cs="Times New Roman"/>
          <w:color w:val="808080"/>
        </w:rPr>
        <w:t>, 271–281. https://doi.org/10.1016/j.diabres.2018.02.023</w:t>
      </w:r>
    </w:p>
    <w:p w14:paraId="0D42F77A" w14:textId="77777777" w:rsidR="00A83D7B" w:rsidRPr="00A83D7B" w:rsidRDefault="00A83D7B" w:rsidP="00A83D7B">
      <w:pPr>
        <w:pStyle w:val="Bibliography"/>
        <w:rPr>
          <w:rFonts w:cs="Times New Roman"/>
          <w:color w:val="808080"/>
        </w:rPr>
      </w:pPr>
      <w:r w:rsidRPr="00A83D7B">
        <w:rPr>
          <w:rFonts w:cs="Times New Roman"/>
          <w:color w:val="808080"/>
        </w:rPr>
        <w:t xml:space="preserve">Daley, A., Pallan, M., Clifford, S., Jolly, K., Bryant, M., Adab, P., … Roalfe, A. (2017). Are babies conceived during Ramadan born smaller and sooner than babies conceived at other times of the year? A Born in Bradford Cohort Study. </w:t>
      </w:r>
      <w:r w:rsidRPr="00A83D7B">
        <w:rPr>
          <w:rFonts w:cs="Times New Roman"/>
          <w:i/>
          <w:iCs/>
          <w:color w:val="808080"/>
        </w:rPr>
        <w:t>Journal of Epidemiology and Community Health</w:t>
      </w:r>
      <w:r w:rsidRPr="00A83D7B">
        <w:rPr>
          <w:rFonts w:cs="Times New Roman"/>
          <w:color w:val="808080"/>
        </w:rPr>
        <w:t xml:space="preserve">, </w:t>
      </w:r>
      <w:r w:rsidRPr="00A83D7B">
        <w:rPr>
          <w:rFonts w:cs="Times New Roman"/>
          <w:i/>
          <w:iCs/>
          <w:color w:val="808080"/>
        </w:rPr>
        <w:t>71</w:t>
      </w:r>
      <w:r w:rsidRPr="00A83D7B">
        <w:rPr>
          <w:rFonts w:cs="Times New Roman"/>
          <w:color w:val="808080"/>
        </w:rPr>
        <w:t>(7), 722–728. https://doi.org/10.1136/jech-2016-208800</w:t>
      </w:r>
    </w:p>
    <w:p w14:paraId="5D1CC76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Dube, S., Slama, M. Q., Basu, A., Rizza, R. A., &amp; Basu, R. (2015). Glucocorticoid Excess Increases Hepatic 11β-HSD-1 Activity in Humans: Implications in Steroid-Induced Diabetes. </w:t>
      </w:r>
      <w:r w:rsidRPr="00A83D7B">
        <w:rPr>
          <w:rFonts w:cs="Times New Roman"/>
          <w:i/>
          <w:iCs/>
          <w:color w:val="808080"/>
        </w:rPr>
        <w:t>The Journal of Clinical Endocrinology and Metabolism</w:t>
      </w:r>
      <w:r w:rsidRPr="00A83D7B">
        <w:rPr>
          <w:rFonts w:cs="Times New Roman"/>
          <w:color w:val="808080"/>
        </w:rPr>
        <w:t xml:space="preserve">, </w:t>
      </w:r>
      <w:r w:rsidRPr="00A83D7B">
        <w:rPr>
          <w:rFonts w:cs="Times New Roman"/>
          <w:i/>
          <w:iCs/>
          <w:color w:val="808080"/>
        </w:rPr>
        <w:t>100</w:t>
      </w:r>
      <w:r w:rsidRPr="00A83D7B">
        <w:rPr>
          <w:rFonts w:cs="Times New Roman"/>
          <w:color w:val="808080"/>
        </w:rPr>
        <w:t>(11), 4155–4162. https://doi.org/10.1210/jc.2015-2673</w:t>
      </w:r>
    </w:p>
    <w:p w14:paraId="341BA512" w14:textId="77777777" w:rsidR="00A83D7B" w:rsidRPr="00A83D7B" w:rsidRDefault="00A83D7B" w:rsidP="00A83D7B">
      <w:pPr>
        <w:pStyle w:val="Bibliography"/>
        <w:rPr>
          <w:rFonts w:cs="Times New Roman"/>
          <w:color w:val="808080"/>
        </w:rPr>
      </w:pPr>
      <w:r w:rsidRPr="00A83D7B">
        <w:rPr>
          <w:rFonts w:cs="Times New Roman"/>
          <w:color w:val="808080"/>
        </w:rPr>
        <w:t xml:space="preserve">Fernandez, R. C., Marino, J. L., Varcoe, T. J., Davis, S., Moran, L. J., Rumbold, A. R., … Moore, V. M. (2016). Fixed or Rotating Night Shift Work Undertaken by Women: Implications for Fertility and Miscarriage. </w:t>
      </w:r>
      <w:r w:rsidRPr="00A83D7B">
        <w:rPr>
          <w:rFonts w:cs="Times New Roman"/>
          <w:i/>
          <w:iCs/>
          <w:color w:val="808080"/>
        </w:rPr>
        <w:t>Seminars in Reproductive Medicine</w:t>
      </w:r>
      <w:r w:rsidRPr="00A83D7B">
        <w:rPr>
          <w:rFonts w:cs="Times New Roman"/>
          <w:color w:val="808080"/>
        </w:rPr>
        <w:t xml:space="preserve">, </w:t>
      </w:r>
      <w:r w:rsidRPr="00A83D7B">
        <w:rPr>
          <w:rFonts w:cs="Times New Roman"/>
          <w:i/>
          <w:iCs/>
          <w:color w:val="808080"/>
        </w:rPr>
        <w:t>34</w:t>
      </w:r>
      <w:r w:rsidRPr="00A83D7B">
        <w:rPr>
          <w:rFonts w:cs="Times New Roman"/>
          <w:color w:val="808080"/>
        </w:rPr>
        <w:t>(2), 74–82. https://doi.org/10.1055/s-0036-1571354</w:t>
      </w:r>
    </w:p>
    <w:p w14:paraId="239882C6" w14:textId="77777777" w:rsidR="00A83D7B" w:rsidRPr="00A83D7B" w:rsidRDefault="00A83D7B" w:rsidP="00A83D7B">
      <w:pPr>
        <w:pStyle w:val="Bibliography"/>
        <w:rPr>
          <w:rFonts w:cs="Times New Roman"/>
          <w:color w:val="808080"/>
        </w:rPr>
      </w:pPr>
      <w:r w:rsidRPr="00A83D7B">
        <w:rPr>
          <w:rFonts w:cs="Times New Roman"/>
          <w:color w:val="808080"/>
        </w:rPr>
        <w:t xml:space="preserve">Fisher, A. L., &amp; Nemeth, E. (2017). Iron homeostasis during pregnancy.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106</w:t>
      </w:r>
      <w:r w:rsidRPr="00A83D7B">
        <w:rPr>
          <w:rFonts w:cs="Times New Roman"/>
          <w:color w:val="808080"/>
        </w:rPr>
        <w:t>(Suppl 6), 1567S-1574S. https://doi.org/10.3945/ajcn.117.155812</w:t>
      </w:r>
    </w:p>
    <w:p w14:paraId="2CDDBA9A" w14:textId="77777777" w:rsidR="00A83D7B" w:rsidRPr="00A83D7B" w:rsidRDefault="00A83D7B" w:rsidP="00A83D7B">
      <w:pPr>
        <w:pStyle w:val="Bibliography"/>
        <w:rPr>
          <w:rFonts w:cs="Times New Roman"/>
          <w:color w:val="808080"/>
        </w:rPr>
      </w:pPr>
      <w:r w:rsidRPr="00A83D7B">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A83D7B">
        <w:rPr>
          <w:rFonts w:cs="Times New Roman"/>
          <w:i/>
          <w:iCs/>
          <w:color w:val="808080"/>
        </w:rPr>
        <w:t>Nutrition and Healthy Aging</w:t>
      </w:r>
      <w:r w:rsidRPr="00A83D7B">
        <w:rPr>
          <w:rFonts w:cs="Times New Roman"/>
          <w:color w:val="808080"/>
        </w:rPr>
        <w:t xml:space="preserve">, </w:t>
      </w:r>
      <w:r w:rsidRPr="00A83D7B">
        <w:rPr>
          <w:rFonts w:cs="Times New Roman"/>
          <w:i/>
          <w:iCs/>
          <w:color w:val="808080"/>
        </w:rPr>
        <w:t>4</w:t>
      </w:r>
      <w:r w:rsidRPr="00A83D7B">
        <w:rPr>
          <w:rFonts w:cs="Times New Roman"/>
          <w:color w:val="808080"/>
        </w:rPr>
        <w:t>(4), 345–353. https://doi.org/10.3233/NHA-170036</w:t>
      </w:r>
    </w:p>
    <w:p w14:paraId="514C6329" w14:textId="77777777" w:rsidR="00A83D7B" w:rsidRPr="00A83D7B" w:rsidRDefault="00A83D7B" w:rsidP="00A83D7B">
      <w:pPr>
        <w:pStyle w:val="Bibliography"/>
        <w:rPr>
          <w:rFonts w:cs="Times New Roman"/>
          <w:color w:val="808080"/>
        </w:rPr>
      </w:pPr>
      <w:r w:rsidRPr="00A83D7B">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A83D7B">
        <w:rPr>
          <w:rFonts w:cs="Times New Roman"/>
          <w:i/>
          <w:iCs/>
          <w:color w:val="808080"/>
        </w:rPr>
        <w:t>JAMA</w:t>
      </w:r>
      <w:r w:rsidRPr="00A83D7B">
        <w:rPr>
          <w:rFonts w:cs="Times New Roman"/>
          <w:color w:val="808080"/>
        </w:rPr>
        <w:t xml:space="preserve">, </w:t>
      </w:r>
      <w:r w:rsidRPr="00A83D7B">
        <w:rPr>
          <w:rFonts w:cs="Times New Roman"/>
          <w:i/>
          <w:iCs/>
          <w:color w:val="808080"/>
        </w:rPr>
        <w:t>317</w:t>
      </w:r>
      <w:r w:rsidRPr="00A83D7B">
        <w:rPr>
          <w:rFonts w:cs="Times New Roman"/>
          <w:color w:val="808080"/>
        </w:rPr>
        <w:t>(21), 2207–2225. https://doi.org/10.1001/jama.2017.3635</w:t>
      </w:r>
    </w:p>
    <w:p w14:paraId="7A850517" w14:textId="77777777" w:rsidR="00A83D7B" w:rsidRPr="00A83D7B" w:rsidRDefault="00A83D7B" w:rsidP="00A83D7B">
      <w:pPr>
        <w:pStyle w:val="Bibliography"/>
        <w:rPr>
          <w:rFonts w:cs="Times New Roman"/>
          <w:color w:val="808080"/>
        </w:rPr>
      </w:pPr>
      <w:r w:rsidRPr="00A83D7B">
        <w:rPr>
          <w:rFonts w:cs="Times New Roman"/>
          <w:color w:val="808080"/>
        </w:rPr>
        <w:t xml:space="preserve">Halberg, N., Henriksen, M., Söderhamn, N., Stallknecht, B., Ploug, T., Schjerling, P., &amp; Dela, F. (2005). Effect of intermittent fasting and refeeding on insulin action in healthy men. </w:t>
      </w:r>
      <w:r w:rsidRPr="00A83D7B">
        <w:rPr>
          <w:rFonts w:cs="Times New Roman"/>
          <w:i/>
          <w:iCs/>
          <w:color w:val="808080"/>
        </w:rPr>
        <w:t>Journal of Applied Physiology</w:t>
      </w:r>
      <w:r w:rsidRPr="00A83D7B">
        <w:rPr>
          <w:rFonts w:cs="Times New Roman"/>
          <w:color w:val="808080"/>
        </w:rPr>
        <w:t xml:space="preserve">, </w:t>
      </w:r>
      <w:r w:rsidRPr="00A83D7B">
        <w:rPr>
          <w:rFonts w:cs="Times New Roman"/>
          <w:i/>
          <w:iCs/>
          <w:color w:val="808080"/>
        </w:rPr>
        <w:t>99</w:t>
      </w:r>
      <w:r w:rsidRPr="00A83D7B">
        <w:rPr>
          <w:rFonts w:cs="Times New Roman"/>
          <w:color w:val="808080"/>
        </w:rPr>
        <w:t>(6), 2128–2136. https://doi.org/10.1152/japplphysiol.00683.2005</w:t>
      </w:r>
    </w:p>
    <w:p w14:paraId="5C214475"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Hatori, M., Vollmers, C., Zarrinpar, A., DiTacchio, L., Bushong, E. A., Gill, S., … Panda, S. (2012). Time-Restricted Feeding without Reducing Caloric Intake Prevents Metabolic Diseases in Mice Fed a High-Fat Diet.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15</w:t>
      </w:r>
      <w:r w:rsidRPr="00A83D7B">
        <w:rPr>
          <w:rFonts w:cs="Times New Roman"/>
          <w:color w:val="808080"/>
        </w:rPr>
        <w:t>(6), 848–860. https://doi.org/10.1016/j.cmet.2012.04.019</w:t>
      </w:r>
    </w:p>
    <w:p w14:paraId="034C1526" w14:textId="77777777" w:rsidR="00A83D7B" w:rsidRPr="00A83D7B" w:rsidRDefault="00A83D7B" w:rsidP="00A83D7B">
      <w:pPr>
        <w:pStyle w:val="Bibliography"/>
        <w:rPr>
          <w:rFonts w:cs="Times New Roman"/>
          <w:color w:val="808080"/>
        </w:rPr>
      </w:pPr>
      <w:r w:rsidRPr="00A83D7B">
        <w:rPr>
          <w:rFonts w:cs="Times New Roman"/>
          <w:color w:val="808080"/>
        </w:rPr>
        <w:t xml:space="preserve">Heijmans, B. T., Tobi, E. W., Stein, A. D., Putter, H., Blauw, G. J., Susser, E. S., … Lumey, L. H. (2008). Persistent epigenetic differences associated with prenatal exposure to famine in humans.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105</w:t>
      </w:r>
      <w:r w:rsidRPr="00A83D7B">
        <w:rPr>
          <w:rFonts w:cs="Times New Roman"/>
          <w:color w:val="808080"/>
        </w:rPr>
        <w:t>(44), 17046–17049. https://doi.org/10.1073/pnas.0806560105</w:t>
      </w:r>
    </w:p>
    <w:p w14:paraId="18D401B6" w14:textId="77777777" w:rsidR="00A83D7B" w:rsidRPr="00A83D7B" w:rsidRDefault="00A83D7B" w:rsidP="00A83D7B">
      <w:pPr>
        <w:pStyle w:val="Bibliography"/>
        <w:rPr>
          <w:rFonts w:cs="Times New Roman"/>
          <w:color w:val="808080"/>
        </w:rPr>
      </w:pPr>
      <w:r w:rsidRPr="00A83D7B">
        <w:rPr>
          <w:rFonts w:cs="Times New Roman"/>
          <w:color w:val="808080"/>
        </w:rPr>
        <w:t xml:space="preserve">Heyne, G. W., Plisch, E. H., Melberg, C. G., Sandgren, E. P., Peter, J. A., &amp; Lipinski, R. J. (2015). A Simple and Reliable Method for Early Pregnancy Detection in Inbred Mice. </w:t>
      </w:r>
      <w:r w:rsidRPr="00A83D7B">
        <w:rPr>
          <w:rFonts w:cs="Times New Roman"/>
          <w:i/>
          <w:iCs/>
          <w:color w:val="808080"/>
        </w:rPr>
        <w:t>Journal of the American Association for Laboratory Animal Science : JAALAS</w:t>
      </w:r>
      <w:r w:rsidRPr="00A83D7B">
        <w:rPr>
          <w:rFonts w:cs="Times New Roman"/>
          <w:color w:val="808080"/>
        </w:rPr>
        <w:t xml:space="preserve">, </w:t>
      </w:r>
      <w:r w:rsidRPr="00A83D7B">
        <w:rPr>
          <w:rFonts w:cs="Times New Roman"/>
          <w:i/>
          <w:iCs/>
          <w:color w:val="808080"/>
        </w:rPr>
        <w:t>54</w:t>
      </w:r>
      <w:r w:rsidRPr="00A83D7B">
        <w:rPr>
          <w:rFonts w:cs="Times New Roman"/>
          <w:color w:val="808080"/>
        </w:rPr>
        <w:t>(4), 368–371.</w:t>
      </w:r>
    </w:p>
    <w:p w14:paraId="185271B9" w14:textId="77777777" w:rsidR="00A83D7B" w:rsidRPr="00A83D7B" w:rsidRDefault="00A83D7B" w:rsidP="00A83D7B">
      <w:pPr>
        <w:pStyle w:val="Bibliography"/>
        <w:rPr>
          <w:rFonts w:cs="Times New Roman"/>
          <w:color w:val="808080"/>
        </w:rPr>
      </w:pPr>
      <w:r w:rsidRPr="00A83D7B">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A83D7B">
        <w:rPr>
          <w:rFonts w:cs="Times New Roman"/>
          <w:i/>
          <w:iCs/>
          <w:color w:val="808080"/>
        </w:rPr>
        <w:t>The Journal of Maternal-Fetal &amp; Neonatal Medicine</w:t>
      </w:r>
      <w:r w:rsidRPr="00A83D7B">
        <w:rPr>
          <w:rFonts w:cs="Times New Roman"/>
          <w:color w:val="808080"/>
        </w:rPr>
        <w:t xml:space="preserve">, </w:t>
      </w:r>
      <w:r w:rsidRPr="00A83D7B">
        <w:rPr>
          <w:rFonts w:cs="Times New Roman"/>
          <w:i/>
          <w:iCs/>
          <w:color w:val="808080"/>
        </w:rPr>
        <w:t>25</w:t>
      </w:r>
      <w:r w:rsidRPr="00A83D7B">
        <w:rPr>
          <w:rFonts w:cs="Times New Roman"/>
          <w:color w:val="808080"/>
        </w:rPr>
        <w:t>(7), 975–977. https://doi.org/10.3109/14767058.2011.602142</w:t>
      </w:r>
    </w:p>
    <w:p w14:paraId="2DE17F14" w14:textId="77777777" w:rsidR="00A83D7B" w:rsidRPr="00A83D7B" w:rsidRDefault="00A83D7B" w:rsidP="00A83D7B">
      <w:pPr>
        <w:pStyle w:val="Bibliography"/>
        <w:rPr>
          <w:rFonts w:cs="Times New Roman"/>
          <w:color w:val="808080"/>
        </w:rPr>
      </w:pPr>
      <w:r w:rsidRPr="00A83D7B">
        <w:rPr>
          <w:rFonts w:cs="Times New Roman"/>
          <w:color w:val="808080"/>
        </w:rPr>
        <w:t xml:space="preserve">Hsu, J.-Y., Crawley, S., Chen, M., Ayupova, D. A., Lindhout, D. A., Higbee, J., … Allan, B. B. (2017). Non-homeostatic body weight regulation through a brainstem-restricted receptor for GDF15. </w:t>
      </w:r>
      <w:r w:rsidRPr="00A83D7B">
        <w:rPr>
          <w:rFonts w:cs="Times New Roman"/>
          <w:i/>
          <w:iCs/>
          <w:color w:val="808080"/>
        </w:rPr>
        <w:t>Nature</w:t>
      </w:r>
      <w:r w:rsidRPr="00A83D7B">
        <w:rPr>
          <w:rFonts w:cs="Times New Roman"/>
          <w:color w:val="808080"/>
        </w:rPr>
        <w:t xml:space="preserve">, </w:t>
      </w:r>
      <w:r w:rsidRPr="00A83D7B">
        <w:rPr>
          <w:rFonts w:cs="Times New Roman"/>
          <w:i/>
          <w:iCs/>
          <w:color w:val="808080"/>
        </w:rPr>
        <w:t>550</w:t>
      </w:r>
      <w:r w:rsidRPr="00A83D7B">
        <w:rPr>
          <w:rFonts w:cs="Times New Roman"/>
          <w:color w:val="808080"/>
        </w:rPr>
        <w:t>(7675), 255–259. https://doi.org/10.1038/nature24042</w:t>
      </w:r>
    </w:p>
    <w:p w14:paraId="3ED4F6EF" w14:textId="77777777" w:rsidR="00A83D7B" w:rsidRPr="00A83D7B" w:rsidRDefault="00A83D7B" w:rsidP="00A83D7B">
      <w:pPr>
        <w:pStyle w:val="Bibliography"/>
        <w:rPr>
          <w:rFonts w:cs="Times New Roman"/>
          <w:color w:val="808080"/>
        </w:rPr>
      </w:pPr>
      <w:r w:rsidRPr="00A83D7B">
        <w:rPr>
          <w:rFonts w:cs="Times New Roman"/>
          <w:color w:val="808080"/>
        </w:rPr>
        <w:t xml:space="preserve">Jafari, Z., Mehla, J., Afrashteh, N., Kolb, B. E., &amp; Mohajerani, M. H. (2017). Corticosterone response to gestational stress and postpartum memory function in mice.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12</w:t>
      </w:r>
      <w:r w:rsidRPr="00A83D7B">
        <w:rPr>
          <w:rFonts w:cs="Times New Roman"/>
          <w:color w:val="808080"/>
        </w:rPr>
        <w:t>(7), e0180306. https://doi.org/10.1371/journal.pone.0180306</w:t>
      </w:r>
    </w:p>
    <w:p w14:paraId="0B121268"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Jamshed, H., Beyl, R. A., Della Manna, D. L., Yang, E. S., Ravussin, E., &amp; Peterson, C. M. (2019). Early Time-Restricted Feeding Improves 24-Hour Glucose Levels and Affects Markers of the Circadian Clock, Aging, and Autophagy in Humans. </w:t>
      </w:r>
      <w:r w:rsidRPr="00A83D7B">
        <w:rPr>
          <w:rFonts w:cs="Times New Roman"/>
          <w:i/>
          <w:iCs/>
          <w:color w:val="808080"/>
        </w:rPr>
        <w:t>Nutrients</w:t>
      </w:r>
      <w:r w:rsidRPr="00A83D7B">
        <w:rPr>
          <w:rFonts w:cs="Times New Roman"/>
          <w:color w:val="808080"/>
        </w:rPr>
        <w:t xml:space="preserve">, </w:t>
      </w:r>
      <w:r w:rsidRPr="00A83D7B">
        <w:rPr>
          <w:rFonts w:cs="Times New Roman"/>
          <w:i/>
          <w:iCs/>
          <w:color w:val="808080"/>
        </w:rPr>
        <w:t>11</w:t>
      </w:r>
      <w:r w:rsidRPr="00A83D7B">
        <w:rPr>
          <w:rFonts w:cs="Times New Roman"/>
          <w:color w:val="808080"/>
        </w:rPr>
        <w:t>(6), 1234. https://doi.org/10.3390/nu11061234</w:t>
      </w:r>
    </w:p>
    <w:p w14:paraId="4F58E29E" w14:textId="77777777" w:rsidR="00A83D7B" w:rsidRPr="00A83D7B" w:rsidRDefault="00A83D7B" w:rsidP="00A83D7B">
      <w:pPr>
        <w:pStyle w:val="Bibliography"/>
        <w:rPr>
          <w:rFonts w:cs="Times New Roman"/>
          <w:color w:val="808080"/>
        </w:rPr>
      </w:pPr>
      <w:r w:rsidRPr="00A83D7B">
        <w:rPr>
          <w:rFonts w:cs="Times New Roman"/>
          <w:color w:val="808080"/>
        </w:rPr>
        <w:t xml:space="preserve">Kahleova, H., Lloren, J. I., Mashchak, A., Hill, M., &amp; Fraser, G. E. (2017). Meal Frequency and Timing Are Associated with Changes in Body Mass Index in Adventist Health Study 2. </w:t>
      </w:r>
      <w:r w:rsidRPr="00A83D7B">
        <w:rPr>
          <w:rFonts w:cs="Times New Roman"/>
          <w:i/>
          <w:iCs/>
          <w:color w:val="808080"/>
        </w:rPr>
        <w:t>The Journal of Nutrition</w:t>
      </w:r>
      <w:r w:rsidRPr="00A83D7B">
        <w:rPr>
          <w:rFonts w:cs="Times New Roman"/>
          <w:color w:val="808080"/>
        </w:rPr>
        <w:t xml:space="preserve">, </w:t>
      </w:r>
      <w:r w:rsidRPr="00A83D7B">
        <w:rPr>
          <w:rFonts w:cs="Times New Roman"/>
          <w:i/>
          <w:iCs/>
          <w:color w:val="808080"/>
        </w:rPr>
        <w:t>147</w:t>
      </w:r>
      <w:r w:rsidRPr="00A83D7B">
        <w:rPr>
          <w:rFonts w:cs="Times New Roman"/>
          <w:color w:val="808080"/>
        </w:rPr>
        <w:t>(9), 1722–1728. https://doi.org/10.3945/jn.116.244749</w:t>
      </w:r>
    </w:p>
    <w:p w14:paraId="1FFAA224" w14:textId="77777777" w:rsidR="00A83D7B" w:rsidRPr="00A83D7B" w:rsidRDefault="00A83D7B" w:rsidP="00A83D7B">
      <w:pPr>
        <w:pStyle w:val="Bibliography"/>
        <w:rPr>
          <w:rFonts w:cs="Times New Roman"/>
          <w:color w:val="808080"/>
        </w:rPr>
      </w:pPr>
      <w:r w:rsidRPr="00A83D7B">
        <w:rPr>
          <w:rFonts w:cs="Times New Roman"/>
          <w:color w:val="808080"/>
        </w:rPr>
        <w:t xml:space="preserve">Kim, J. K. (2009). Hyperinsulinemic–Euglycemic Clamp to Assess Insulin Sensitivity In Vivo. In C. Stocker (Ed.), </w:t>
      </w:r>
      <w:r w:rsidRPr="00A83D7B">
        <w:rPr>
          <w:rFonts w:cs="Times New Roman"/>
          <w:i/>
          <w:iCs/>
          <w:color w:val="808080"/>
        </w:rPr>
        <w:t>Type 2 Diabetes: Methods and Protocols</w:t>
      </w:r>
      <w:r w:rsidRPr="00A83D7B">
        <w:rPr>
          <w:rFonts w:cs="Times New Roman"/>
          <w:color w:val="808080"/>
        </w:rPr>
        <w:t xml:space="preserve"> (pp. 221–238). https://doi.org/10.1007/978-1-59745-448-3_15</w:t>
      </w:r>
    </w:p>
    <w:p w14:paraId="6D2AF147" w14:textId="77777777" w:rsidR="00A83D7B" w:rsidRPr="00A83D7B" w:rsidRDefault="00A83D7B" w:rsidP="00A83D7B">
      <w:pPr>
        <w:pStyle w:val="Bibliography"/>
        <w:rPr>
          <w:rFonts w:cs="Times New Roman"/>
          <w:color w:val="808080"/>
        </w:rPr>
      </w:pPr>
      <w:r w:rsidRPr="00A83D7B">
        <w:rPr>
          <w:rFonts w:cs="Times New Roman"/>
          <w:color w:val="808080"/>
        </w:rPr>
        <w:t xml:space="preserve">Kovacs, C. S. (2000). Calcium and Phosphate Metabolism and Related Disorders During Pregnancy and Lactation. In K. R. Feingold, B. Anawalt, A. Boyce, G. Chrousos, K. Dungan, A. Grossman, … D. P. Wilson (Eds.), </w:t>
      </w:r>
      <w:r w:rsidRPr="00A83D7B">
        <w:rPr>
          <w:rFonts w:cs="Times New Roman"/>
          <w:i/>
          <w:iCs/>
          <w:color w:val="808080"/>
        </w:rPr>
        <w:t>Endotext</w:t>
      </w:r>
      <w:r w:rsidRPr="00A83D7B">
        <w:rPr>
          <w:rFonts w:cs="Times New Roman"/>
          <w:color w:val="808080"/>
        </w:rPr>
        <w:t>. Retrieved from http://www.ncbi.nlm.nih.gov/books/NBK279173/</w:t>
      </w:r>
    </w:p>
    <w:p w14:paraId="23772575"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 R., Carter, K. M., &amp; Grattan, D. R. (2018). Energy homeostasis and running wheel activity during pregnancy in the mouse. </w:t>
      </w:r>
      <w:r w:rsidRPr="00A83D7B">
        <w:rPr>
          <w:rFonts w:cs="Times New Roman"/>
          <w:i/>
          <w:iCs/>
          <w:color w:val="808080"/>
        </w:rPr>
        <w:t>Physiology &amp; Behavior</w:t>
      </w:r>
      <w:r w:rsidRPr="00A83D7B">
        <w:rPr>
          <w:rFonts w:cs="Times New Roman"/>
          <w:color w:val="808080"/>
        </w:rPr>
        <w:t xml:space="preserve">, </w:t>
      </w:r>
      <w:r w:rsidRPr="00A83D7B">
        <w:rPr>
          <w:rFonts w:cs="Times New Roman"/>
          <w:i/>
          <w:iCs/>
          <w:color w:val="808080"/>
        </w:rPr>
        <w:t>194</w:t>
      </w:r>
      <w:r w:rsidRPr="00A83D7B">
        <w:rPr>
          <w:rFonts w:cs="Times New Roman"/>
          <w:color w:val="808080"/>
        </w:rPr>
        <w:t>, 83–94. https://doi.org/10.1016/j.physbeh.2018.05.002</w:t>
      </w:r>
    </w:p>
    <w:p w14:paraId="2CE4CC4D"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Sharon Rachel, Khant Aung, Z., &amp; Grattan, D. R. (2018). Impact of Pregnancy and Lactation on the Long-Term Regulation of Energy Balance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159</w:t>
      </w:r>
      <w:r w:rsidRPr="00A83D7B">
        <w:rPr>
          <w:rFonts w:cs="Times New Roman"/>
          <w:color w:val="808080"/>
        </w:rPr>
        <w:t>(6), 2324–2336. https://doi.org/10.1210/en.2018-00057</w:t>
      </w:r>
    </w:p>
    <w:p w14:paraId="607E74CC" w14:textId="77777777" w:rsidR="00A83D7B" w:rsidRPr="00A83D7B" w:rsidRDefault="00A83D7B" w:rsidP="00A83D7B">
      <w:pPr>
        <w:pStyle w:val="Bibliography"/>
        <w:rPr>
          <w:rFonts w:cs="Times New Roman"/>
          <w:color w:val="808080"/>
        </w:rPr>
      </w:pPr>
      <w:r w:rsidRPr="00A83D7B">
        <w:rPr>
          <w:rFonts w:cs="Times New Roman"/>
          <w:color w:val="808080"/>
        </w:rPr>
        <w:t xml:space="preserve">Liu, B., Page, A. J., Hatzinikolas, G., Chen, M., Wittert, G. A., &amp; Heilbronn, L. K. (2019). Intermittent Fasting Improves Glucose Tolerance and Promotes Adipose Tissue </w:t>
      </w:r>
      <w:r w:rsidRPr="00A83D7B">
        <w:rPr>
          <w:rFonts w:cs="Times New Roman"/>
          <w:color w:val="808080"/>
        </w:rPr>
        <w:lastRenderedPageBreak/>
        <w:t xml:space="preserve">Remodeling in Male Mice Fed a High-Fat Diet.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160</w:t>
      </w:r>
      <w:r w:rsidRPr="00A83D7B">
        <w:rPr>
          <w:rFonts w:cs="Times New Roman"/>
          <w:color w:val="808080"/>
        </w:rPr>
        <w:t>(1), 169–180. https://doi.org/10.1210/en.2018-00701</w:t>
      </w:r>
    </w:p>
    <w:p w14:paraId="6E53933E" w14:textId="77777777" w:rsidR="00A83D7B" w:rsidRPr="00A83D7B" w:rsidRDefault="00A83D7B" w:rsidP="00A83D7B">
      <w:pPr>
        <w:pStyle w:val="Bibliography"/>
        <w:rPr>
          <w:rFonts w:cs="Times New Roman"/>
          <w:color w:val="808080"/>
        </w:rPr>
      </w:pPr>
      <w:r w:rsidRPr="00A83D7B">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7</w:t>
      </w:r>
      <w:r w:rsidRPr="00A83D7B">
        <w:rPr>
          <w:rFonts w:cs="Times New Roman"/>
          <w:color w:val="808080"/>
        </w:rPr>
        <w:t>(4), e34868. https://doi.org/10.1371/journal.pone.0034868</w:t>
      </w:r>
    </w:p>
    <w:p w14:paraId="1744A943" w14:textId="77777777" w:rsidR="00A83D7B" w:rsidRPr="00A83D7B" w:rsidRDefault="00A83D7B" w:rsidP="00A83D7B">
      <w:pPr>
        <w:pStyle w:val="Bibliography"/>
        <w:rPr>
          <w:rFonts w:cs="Times New Roman"/>
          <w:color w:val="808080"/>
        </w:rPr>
      </w:pPr>
      <w:r w:rsidRPr="00A83D7B">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98</w:t>
      </w:r>
      <w:r w:rsidRPr="00A83D7B">
        <w:rPr>
          <w:rFonts w:cs="Times New Roman"/>
          <w:color w:val="808080"/>
        </w:rPr>
        <w:t>(5), 1218–1225. https://doi.org/10.3945/ajcn.112.055772</w:t>
      </w:r>
    </w:p>
    <w:p w14:paraId="401E2D02" w14:textId="77777777" w:rsidR="00A83D7B" w:rsidRPr="00A83D7B" w:rsidRDefault="00A83D7B" w:rsidP="00A83D7B">
      <w:pPr>
        <w:pStyle w:val="Bibliography"/>
        <w:rPr>
          <w:rFonts w:cs="Times New Roman"/>
          <w:color w:val="808080"/>
        </w:rPr>
      </w:pPr>
      <w:r w:rsidRPr="00A83D7B">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60B16C02" w14:textId="77777777" w:rsidR="00A83D7B" w:rsidRPr="00A83D7B" w:rsidRDefault="00A83D7B" w:rsidP="00A83D7B">
      <w:pPr>
        <w:pStyle w:val="Bibliography"/>
        <w:rPr>
          <w:rFonts w:cs="Times New Roman"/>
          <w:color w:val="808080"/>
        </w:rPr>
      </w:pPr>
      <w:r w:rsidRPr="00A83D7B">
        <w:rPr>
          <w:rFonts w:cs="Times New Roman"/>
          <w:color w:val="808080"/>
        </w:rPr>
        <w:t xml:space="preserve">Mereness, A. L., Murphy, Z. C., Forrestel, A. C., Butler, S., Ko, C., Richards, J. S., &amp; Sellix, M. T. (2016). Conditional Deletion of Bmal1 in Ovarian Theca Cells Disrupts Ovulation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157</w:t>
      </w:r>
      <w:r w:rsidRPr="00A83D7B">
        <w:rPr>
          <w:rFonts w:cs="Times New Roman"/>
          <w:color w:val="808080"/>
        </w:rPr>
        <w:t>(2), 913–927. https://doi.org/10.1210/en.2015-1645</w:t>
      </w:r>
    </w:p>
    <w:p w14:paraId="1189711B" w14:textId="77777777" w:rsidR="00A83D7B" w:rsidRPr="00A83D7B" w:rsidRDefault="00A83D7B" w:rsidP="00A83D7B">
      <w:pPr>
        <w:pStyle w:val="Bibliography"/>
        <w:rPr>
          <w:rFonts w:cs="Times New Roman"/>
          <w:color w:val="808080"/>
        </w:rPr>
      </w:pPr>
      <w:r w:rsidRPr="00A83D7B">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A83D7B">
        <w:rPr>
          <w:rFonts w:cs="Times New Roman"/>
          <w:i/>
          <w:iCs/>
          <w:color w:val="808080"/>
        </w:rPr>
        <w:t>Gut</w:t>
      </w:r>
      <w:r w:rsidRPr="00A83D7B">
        <w:rPr>
          <w:rFonts w:cs="Times New Roman"/>
          <w:color w:val="808080"/>
        </w:rPr>
        <w:t xml:space="preserve">, </w:t>
      </w:r>
      <w:r w:rsidRPr="00A83D7B">
        <w:rPr>
          <w:rFonts w:cs="Times New Roman"/>
          <w:i/>
          <w:iCs/>
          <w:color w:val="808080"/>
        </w:rPr>
        <w:t>59</w:t>
      </w:r>
      <w:r w:rsidRPr="00A83D7B">
        <w:rPr>
          <w:rFonts w:cs="Times New Roman"/>
          <w:color w:val="808080"/>
        </w:rPr>
        <w:t>(12), 1635–1642. https://doi.org/10.1136/gut.2010.215665</w:t>
      </w:r>
    </w:p>
    <w:p w14:paraId="60C4CD42" w14:textId="77777777" w:rsidR="00A83D7B" w:rsidRPr="00A83D7B" w:rsidRDefault="00A83D7B" w:rsidP="00A83D7B">
      <w:pPr>
        <w:pStyle w:val="Bibliography"/>
        <w:rPr>
          <w:rFonts w:cs="Times New Roman"/>
          <w:color w:val="808080"/>
        </w:rPr>
      </w:pPr>
      <w:r w:rsidRPr="00A83D7B">
        <w:rPr>
          <w:rFonts w:cs="Times New Roman"/>
          <w:color w:val="808080"/>
        </w:rPr>
        <w:t xml:space="preserve">Musial, B., Fernandez-Twinn, D. S., Vaughan, O. R., Ozanne, S. E., Voshol, P., Sferruzzi-Perri, A. N., &amp; Fowden, A. L. (2016). Proximity to Delivery Alters Insulin Sensitivity and </w:t>
      </w:r>
      <w:r w:rsidRPr="00A83D7B">
        <w:rPr>
          <w:rFonts w:cs="Times New Roman"/>
          <w:color w:val="808080"/>
        </w:rPr>
        <w:lastRenderedPageBreak/>
        <w:t xml:space="preserve">Glucose Metabolism in Pregnant Mice. </w:t>
      </w:r>
      <w:r w:rsidRPr="00A83D7B">
        <w:rPr>
          <w:rFonts w:cs="Times New Roman"/>
          <w:i/>
          <w:iCs/>
          <w:color w:val="808080"/>
        </w:rPr>
        <w:t>Diabetes</w:t>
      </w:r>
      <w:r w:rsidRPr="00A83D7B">
        <w:rPr>
          <w:rFonts w:cs="Times New Roman"/>
          <w:color w:val="808080"/>
        </w:rPr>
        <w:t xml:space="preserve">, </w:t>
      </w:r>
      <w:r w:rsidRPr="00A83D7B">
        <w:rPr>
          <w:rFonts w:cs="Times New Roman"/>
          <w:i/>
          <w:iCs/>
          <w:color w:val="808080"/>
        </w:rPr>
        <w:t>65</w:t>
      </w:r>
      <w:r w:rsidRPr="00A83D7B">
        <w:rPr>
          <w:rFonts w:cs="Times New Roman"/>
          <w:color w:val="808080"/>
        </w:rPr>
        <w:t>(4), 851–860. https://doi.org/10.2337/db15-1531</w:t>
      </w:r>
    </w:p>
    <w:p w14:paraId="79033C82" w14:textId="77777777" w:rsidR="00A83D7B" w:rsidRPr="00A83D7B" w:rsidRDefault="00A83D7B" w:rsidP="00A83D7B">
      <w:pPr>
        <w:pStyle w:val="Bibliography"/>
        <w:rPr>
          <w:rFonts w:cs="Times New Roman"/>
          <w:color w:val="808080"/>
        </w:rPr>
      </w:pPr>
      <w:r w:rsidRPr="00A83D7B">
        <w:rPr>
          <w:rFonts w:cs="Times New Roman"/>
          <w:color w:val="808080"/>
        </w:rPr>
        <w:t xml:space="preserve">Opaneye, A. A., Villegas, D. D., &amp; Abdel Azeim, A. (1990). Islamic Festivals and Low Birthweight Infants. </w:t>
      </w:r>
      <w:r w:rsidRPr="00A83D7B">
        <w:rPr>
          <w:rFonts w:cs="Times New Roman"/>
          <w:i/>
          <w:iCs/>
          <w:color w:val="808080"/>
        </w:rPr>
        <w:t>Journal of the Royal Society of Health</w:t>
      </w:r>
      <w:r w:rsidRPr="00A83D7B">
        <w:rPr>
          <w:rFonts w:cs="Times New Roman"/>
          <w:color w:val="808080"/>
        </w:rPr>
        <w:t xml:space="preserve">, </w:t>
      </w:r>
      <w:r w:rsidRPr="00A83D7B">
        <w:rPr>
          <w:rFonts w:cs="Times New Roman"/>
          <w:i/>
          <w:iCs/>
          <w:color w:val="808080"/>
        </w:rPr>
        <w:t>110</w:t>
      </w:r>
      <w:r w:rsidRPr="00A83D7B">
        <w:rPr>
          <w:rFonts w:cs="Times New Roman"/>
          <w:color w:val="808080"/>
        </w:rPr>
        <w:t>(3), 106–107. https://doi.org/10.1177/146642409011000313</w:t>
      </w:r>
    </w:p>
    <w:p w14:paraId="0C3537C6" w14:textId="77777777" w:rsidR="00A83D7B" w:rsidRPr="00A83D7B" w:rsidRDefault="00A83D7B" w:rsidP="00A83D7B">
      <w:pPr>
        <w:pStyle w:val="Bibliography"/>
        <w:rPr>
          <w:rFonts w:cs="Times New Roman"/>
          <w:color w:val="808080"/>
        </w:rPr>
      </w:pPr>
      <w:r w:rsidRPr="00A83D7B">
        <w:rPr>
          <w:rFonts w:cs="Times New Roman"/>
          <w:color w:val="808080"/>
        </w:rPr>
        <w:t xml:space="preserve">Pan, X., &amp; Hussain, M. M. (2009). Clock is important for food and circadian regulation of macronutrient absorption in mice. </w:t>
      </w:r>
      <w:r w:rsidRPr="00A83D7B">
        <w:rPr>
          <w:rFonts w:cs="Times New Roman"/>
          <w:i/>
          <w:iCs/>
          <w:color w:val="808080"/>
        </w:rPr>
        <w:t>Journal of Lipid Research</w:t>
      </w:r>
      <w:r w:rsidRPr="00A83D7B">
        <w:rPr>
          <w:rFonts w:cs="Times New Roman"/>
          <w:color w:val="808080"/>
        </w:rPr>
        <w:t xml:space="preserve">, </w:t>
      </w:r>
      <w:r w:rsidRPr="00A83D7B">
        <w:rPr>
          <w:rFonts w:cs="Times New Roman"/>
          <w:i/>
          <w:iCs/>
          <w:color w:val="808080"/>
        </w:rPr>
        <w:t>50</w:t>
      </w:r>
      <w:r w:rsidRPr="00A83D7B">
        <w:rPr>
          <w:rFonts w:cs="Times New Roman"/>
          <w:color w:val="808080"/>
        </w:rPr>
        <w:t>(9), 1800–1813. https://doi.org/10.1194/jlr.M900085-JLR200</w:t>
      </w:r>
    </w:p>
    <w:p w14:paraId="70A953CF" w14:textId="77777777" w:rsidR="00A83D7B" w:rsidRPr="00A83D7B" w:rsidRDefault="00A83D7B" w:rsidP="00A83D7B">
      <w:pPr>
        <w:pStyle w:val="Bibliography"/>
        <w:rPr>
          <w:rFonts w:cs="Times New Roman"/>
          <w:color w:val="808080"/>
        </w:rPr>
      </w:pPr>
      <w:r w:rsidRPr="00A83D7B">
        <w:rPr>
          <w:rFonts w:cs="Times New Roman"/>
          <w:color w:val="808080"/>
        </w:rPr>
        <w:t xml:space="preserve">Patel, S., Alvarez-Guaita, A., Melvin, A., Rimmington, D., Dattilo, A., Miedzybrodzka, E. L., … O’Rahilly, S. (2019). GDF15 Provides an Endocrine Signal of Nutritional Stress in Mice and Humans.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29</w:t>
      </w:r>
      <w:r w:rsidRPr="00A83D7B">
        <w:rPr>
          <w:rFonts w:cs="Times New Roman"/>
          <w:color w:val="808080"/>
        </w:rPr>
        <w:t>(3), 707-718.e8. https://doi.org/10.1016/j.cmet.2018.12.016</w:t>
      </w:r>
    </w:p>
    <w:p w14:paraId="2B0124D6" w14:textId="77777777" w:rsidR="00A83D7B" w:rsidRPr="00A83D7B" w:rsidRDefault="00A83D7B" w:rsidP="00A83D7B">
      <w:pPr>
        <w:pStyle w:val="Bibliography"/>
        <w:rPr>
          <w:rFonts w:cs="Times New Roman"/>
          <w:color w:val="808080"/>
        </w:rPr>
      </w:pPr>
      <w:r w:rsidRPr="00A83D7B">
        <w:rPr>
          <w:rFonts w:cs="Times New Roman"/>
          <w:color w:val="808080"/>
        </w:rPr>
        <w:t xml:space="preserve">Pivonello, R., De Leo, M., Cozzolino, A., &amp; Colao, A. (2015). The Treatment of Cushing’s Disease. </w:t>
      </w:r>
      <w:r w:rsidRPr="00A83D7B">
        <w:rPr>
          <w:rFonts w:cs="Times New Roman"/>
          <w:i/>
          <w:iCs/>
          <w:color w:val="808080"/>
        </w:rPr>
        <w:t>Endocrine Reviews</w:t>
      </w:r>
      <w:r w:rsidRPr="00A83D7B">
        <w:rPr>
          <w:rFonts w:cs="Times New Roman"/>
          <w:color w:val="808080"/>
        </w:rPr>
        <w:t xml:space="preserve">, </w:t>
      </w:r>
      <w:r w:rsidRPr="00A83D7B">
        <w:rPr>
          <w:rFonts w:cs="Times New Roman"/>
          <w:i/>
          <w:iCs/>
          <w:color w:val="808080"/>
        </w:rPr>
        <w:t>36</w:t>
      </w:r>
      <w:r w:rsidRPr="00A83D7B">
        <w:rPr>
          <w:rFonts w:cs="Times New Roman"/>
          <w:color w:val="808080"/>
        </w:rPr>
        <w:t>(4), 385–486. https://doi.org/10.1210/er.2013-1048</w:t>
      </w:r>
    </w:p>
    <w:p w14:paraId="65EEEA4D" w14:textId="77777777" w:rsidR="00A83D7B" w:rsidRPr="00A83D7B" w:rsidRDefault="00A83D7B" w:rsidP="00A83D7B">
      <w:pPr>
        <w:pStyle w:val="Bibliography"/>
        <w:rPr>
          <w:rFonts w:cs="Times New Roman"/>
          <w:color w:val="808080"/>
        </w:rPr>
      </w:pPr>
      <w:r w:rsidRPr="00A83D7B">
        <w:rPr>
          <w:rFonts w:cs="Times New Roman"/>
          <w:color w:val="808080"/>
        </w:rPr>
        <w:t xml:space="preserve">Rasmussen, K. M., Abrams, B., Bodnar, L. M., Butte, N. F., Catalano, P. M., &amp; Siega-Riz, A. M. (2010). Recommendations for Weight Gain During Pregnancy in the Context of the Obesity Epidemic. </w:t>
      </w:r>
      <w:r w:rsidRPr="00A83D7B">
        <w:rPr>
          <w:rFonts w:cs="Times New Roman"/>
          <w:i/>
          <w:iCs/>
          <w:color w:val="808080"/>
        </w:rPr>
        <w:t>Obstetrics and Gynecology</w:t>
      </w:r>
      <w:r w:rsidRPr="00A83D7B">
        <w:rPr>
          <w:rFonts w:cs="Times New Roman"/>
          <w:color w:val="808080"/>
        </w:rPr>
        <w:t xml:space="preserve">, </w:t>
      </w:r>
      <w:r w:rsidRPr="00A83D7B">
        <w:rPr>
          <w:rFonts w:cs="Times New Roman"/>
          <w:i/>
          <w:iCs/>
          <w:color w:val="808080"/>
        </w:rPr>
        <w:t>116</w:t>
      </w:r>
      <w:r w:rsidRPr="00A83D7B">
        <w:rPr>
          <w:rFonts w:cs="Times New Roman"/>
          <w:color w:val="808080"/>
        </w:rPr>
        <w:t>(5), 1191–1195. https://doi.org/10.1097/AOG.0b013e3181f60da7</w:t>
      </w:r>
    </w:p>
    <w:p w14:paraId="199F6D88" w14:textId="77777777" w:rsidR="00A83D7B" w:rsidRPr="00A83D7B" w:rsidRDefault="00A83D7B" w:rsidP="00A83D7B">
      <w:pPr>
        <w:pStyle w:val="Bibliography"/>
        <w:rPr>
          <w:rFonts w:cs="Times New Roman"/>
          <w:color w:val="808080"/>
        </w:rPr>
      </w:pPr>
      <w:r w:rsidRPr="00A83D7B">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A83D7B">
        <w:rPr>
          <w:rFonts w:cs="Times New Roman"/>
          <w:i/>
          <w:iCs/>
          <w:color w:val="808080"/>
        </w:rPr>
        <w:t>Obesity</w:t>
      </w:r>
      <w:r w:rsidRPr="00A83D7B">
        <w:rPr>
          <w:rFonts w:cs="Times New Roman"/>
          <w:color w:val="808080"/>
        </w:rPr>
        <w:t xml:space="preserve">, </w:t>
      </w:r>
      <w:r w:rsidRPr="00A83D7B">
        <w:rPr>
          <w:rFonts w:cs="Times New Roman"/>
          <w:i/>
          <w:iCs/>
          <w:color w:val="808080"/>
        </w:rPr>
        <w:t>27</w:t>
      </w:r>
      <w:r w:rsidRPr="00A83D7B">
        <w:rPr>
          <w:rFonts w:cs="Times New Roman"/>
          <w:color w:val="808080"/>
        </w:rPr>
        <w:t>(8), 1244–1254. https://doi.org/10.1002/oby.22518</w:t>
      </w:r>
    </w:p>
    <w:p w14:paraId="1439C0EB"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Sabet Sarvestani, F., Rahmanifar, F., &amp; Tamadon, A. (2015). Histomorphometric changes of small intestine in pregnant rat. </w:t>
      </w:r>
      <w:r w:rsidRPr="00A83D7B">
        <w:rPr>
          <w:rFonts w:cs="Times New Roman"/>
          <w:i/>
          <w:iCs/>
          <w:color w:val="808080"/>
        </w:rPr>
        <w:t>Veterinary Research Forum</w:t>
      </w:r>
      <w:r w:rsidRPr="00A83D7B">
        <w:rPr>
          <w:rFonts w:cs="Times New Roman"/>
          <w:color w:val="808080"/>
        </w:rPr>
        <w:t xml:space="preserve">, </w:t>
      </w:r>
      <w:r w:rsidRPr="00A83D7B">
        <w:rPr>
          <w:rFonts w:cs="Times New Roman"/>
          <w:i/>
          <w:iCs/>
          <w:color w:val="808080"/>
        </w:rPr>
        <w:t>6</w:t>
      </w:r>
      <w:r w:rsidRPr="00A83D7B">
        <w:rPr>
          <w:rFonts w:cs="Times New Roman"/>
          <w:color w:val="808080"/>
        </w:rPr>
        <w:t>(1), 69–73.</w:t>
      </w:r>
    </w:p>
    <w:p w14:paraId="06AAA7EE" w14:textId="77777777" w:rsidR="00A83D7B" w:rsidRPr="00A83D7B" w:rsidRDefault="00A83D7B" w:rsidP="00A83D7B">
      <w:pPr>
        <w:pStyle w:val="Bibliography"/>
        <w:rPr>
          <w:rFonts w:cs="Times New Roman"/>
          <w:color w:val="808080"/>
        </w:rPr>
      </w:pPr>
      <w:r w:rsidRPr="00A83D7B">
        <w:rPr>
          <w:rFonts w:cs="Times New Roman"/>
          <w:color w:val="808080"/>
        </w:rPr>
        <w:t>Salazar, E. R., Richter, H. G., Spichiger, C., Mendez, N., Halabi, D., Vergara, K., … Torres</w:t>
      </w:r>
      <w:r w:rsidRPr="00A83D7B">
        <w:rPr>
          <w:rFonts w:ascii="Cambria Math" w:hAnsi="Cambria Math" w:cs="Cambria Math"/>
          <w:color w:val="808080"/>
        </w:rPr>
        <w:t>‐</w:t>
      </w:r>
      <w:r w:rsidRPr="00A83D7B">
        <w:rPr>
          <w:rFonts w:cs="Times New Roman"/>
          <w:color w:val="808080"/>
        </w:rPr>
        <w:t xml:space="preserve">Farfan, C. (2018). Gestational chronodisruption leads to persistent changes in the rat fetal and adult adrenal clock and function. </w:t>
      </w:r>
      <w:r w:rsidRPr="00A83D7B">
        <w:rPr>
          <w:rFonts w:cs="Times New Roman"/>
          <w:i/>
          <w:iCs/>
          <w:color w:val="808080"/>
        </w:rPr>
        <w:t>The Journal of Physiology</w:t>
      </w:r>
      <w:r w:rsidRPr="00A83D7B">
        <w:rPr>
          <w:rFonts w:cs="Times New Roman"/>
          <w:color w:val="808080"/>
        </w:rPr>
        <w:t xml:space="preserve">, </w:t>
      </w:r>
      <w:r w:rsidRPr="00A83D7B">
        <w:rPr>
          <w:rFonts w:cs="Times New Roman"/>
          <w:i/>
          <w:iCs/>
          <w:color w:val="808080"/>
        </w:rPr>
        <w:t>596</w:t>
      </w:r>
      <w:r w:rsidRPr="00A83D7B">
        <w:rPr>
          <w:rFonts w:cs="Times New Roman"/>
          <w:color w:val="808080"/>
        </w:rPr>
        <w:t>(23), 5839–5857. https://doi.org/10.1113/JP276083</w:t>
      </w:r>
    </w:p>
    <w:p w14:paraId="5BF8FD8C" w14:textId="77777777" w:rsidR="00A83D7B" w:rsidRPr="00A83D7B" w:rsidRDefault="00A83D7B" w:rsidP="00A83D7B">
      <w:pPr>
        <w:pStyle w:val="Bibliography"/>
        <w:rPr>
          <w:rFonts w:cs="Times New Roman"/>
          <w:color w:val="808080"/>
        </w:rPr>
      </w:pPr>
      <w:r w:rsidRPr="00A83D7B">
        <w:rPr>
          <w:rFonts w:cs="Times New Roman"/>
          <w:color w:val="808080"/>
        </w:rPr>
        <w:t xml:space="preserve">Schulz, L. C. (2010). The Dutch Hunger Winter and the developmental origins of health and disease.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107</w:t>
      </w:r>
      <w:r w:rsidRPr="00A83D7B">
        <w:rPr>
          <w:rFonts w:cs="Times New Roman"/>
          <w:color w:val="808080"/>
        </w:rPr>
        <w:t>(39), 16757–16758. https://doi.org/10.1073/pnas.1012911107</w:t>
      </w:r>
    </w:p>
    <w:p w14:paraId="7A23C483" w14:textId="77777777" w:rsidR="00A83D7B" w:rsidRPr="00A83D7B" w:rsidRDefault="00A83D7B" w:rsidP="00A83D7B">
      <w:pPr>
        <w:pStyle w:val="Bibliography"/>
        <w:rPr>
          <w:rFonts w:cs="Times New Roman"/>
          <w:color w:val="808080"/>
        </w:rPr>
      </w:pPr>
      <w:r w:rsidRPr="00A83D7B">
        <w:rPr>
          <w:rFonts w:cs="Times New Roman"/>
          <w:color w:val="808080"/>
        </w:rPr>
        <w:t xml:space="preserve">Sherman, H., Genzer, Y., Cohen, R., Chapnik, N., Madar, Z., &amp; Froy, O. (2012). Timed high-fat diet resets circadian metabolism and prevents obesity. </w:t>
      </w:r>
      <w:r w:rsidRPr="00A83D7B">
        <w:rPr>
          <w:rFonts w:cs="Times New Roman"/>
          <w:i/>
          <w:iCs/>
          <w:color w:val="808080"/>
        </w:rPr>
        <w:t>FASEB Journal: Official Publication of the Federation of American Societies for Experimental Biology</w:t>
      </w:r>
      <w:r w:rsidRPr="00A83D7B">
        <w:rPr>
          <w:rFonts w:cs="Times New Roman"/>
          <w:color w:val="808080"/>
        </w:rPr>
        <w:t xml:space="preserve">, </w:t>
      </w:r>
      <w:r w:rsidRPr="00A83D7B">
        <w:rPr>
          <w:rFonts w:cs="Times New Roman"/>
          <w:i/>
          <w:iCs/>
          <w:color w:val="808080"/>
        </w:rPr>
        <w:t>26</w:t>
      </w:r>
      <w:r w:rsidRPr="00A83D7B">
        <w:rPr>
          <w:rFonts w:cs="Times New Roman"/>
          <w:color w:val="808080"/>
        </w:rPr>
        <w:t>(8), 3493–3502. https://doi.org/10.1096/fj.12-208868</w:t>
      </w:r>
    </w:p>
    <w:p w14:paraId="4936E1EE" w14:textId="77777777" w:rsidR="00A83D7B" w:rsidRPr="00A83D7B" w:rsidRDefault="00A83D7B" w:rsidP="00A83D7B">
      <w:pPr>
        <w:pStyle w:val="Bibliography"/>
        <w:rPr>
          <w:rFonts w:cs="Times New Roman"/>
          <w:color w:val="808080"/>
        </w:rPr>
      </w:pPr>
      <w:r w:rsidRPr="00A83D7B">
        <w:rPr>
          <w:rFonts w:cs="Times New Roman"/>
          <w:color w:val="808080"/>
        </w:rPr>
        <w:t xml:space="preserve">Sonagra, A. D., Biradar, S. M., K., D., &amp; Murthy D.S., J. (2014). Normal Pregnancy- A State of Insulin Resistance. </w:t>
      </w:r>
      <w:r w:rsidRPr="00A83D7B">
        <w:rPr>
          <w:rFonts w:cs="Times New Roman"/>
          <w:i/>
          <w:iCs/>
          <w:color w:val="808080"/>
        </w:rPr>
        <w:t>Journal of Clinical and Diagnostic Research : JCDR</w:t>
      </w:r>
      <w:r w:rsidRPr="00A83D7B">
        <w:rPr>
          <w:rFonts w:cs="Times New Roman"/>
          <w:color w:val="808080"/>
        </w:rPr>
        <w:t xml:space="preserve">, </w:t>
      </w:r>
      <w:r w:rsidRPr="00A83D7B">
        <w:rPr>
          <w:rFonts w:cs="Times New Roman"/>
          <w:i/>
          <w:iCs/>
          <w:color w:val="808080"/>
        </w:rPr>
        <w:t>8</w:t>
      </w:r>
      <w:r w:rsidRPr="00A83D7B">
        <w:rPr>
          <w:rFonts w:cs="Times New Roman"/>
          <w:color w:val="808080"/>
        </w:rPr>
        <w:t>(11), CC01–CC03. https://doi.org/10.7860/JCDR/2014/10068.5081</w:t>
      </w:r>
    </w:p>
    <w:p w14:paraId="5986498A" w14:textId="77777777" w:rsidR="00A83D7B" w:rsidRPr="00A83D7B" w:rsidRDefault="00A83D7B" w:rsidP="00A83D7B">
      <w:pPr>
        <w:pStyle w:val="Bibliography"/>
        <w:rPr>
          <w:rFonts w:cs="Times New Roman"/>
          <w:color w:val="808080"/>
        </w:rPr>
      </w:pPr>
      <w:r w:rsidRPr="00A83D7B">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A83D7B">
        <w:rPr>
          <w:rFonts w:cs="Times New Roman"/>
          <w:i/>
          <w:iCs/>
          <w:color w:val="808080"/>
        </w:rPr>
        <w:t>Hypertension</w:t>
      </w:r>
      <w:r w:rsidRPr="00A83D7B">
        <w:rPr>
          <w:rFonts w:cs="Times New Roman"/>
          <w:color w:val="808080"/>
        </w:rPr>
        <w:t xml:space="preserve">, </w:t>
      </w:r>
      <w:r w:rsidRPr="00A83D7B">
        <w:rPr>
          <w:rFonts w:cs="Times New Roman"/>
          <w:i/>
          <w:iCs/>
          <w:color w:val="808080"/>
        </w:rPr>
        <w:t>54</w:t>
      </w:r>
      <w:r w:rsidRPr="00A83D7B">
        <w:rPr>
          <w:rFonts w:cs="Times New Roman"/>
          <w:color w:val="808080"/>
        </w:rPr>
        <w:t>(1), 106–112. https://doi.org/10.1161/HYPERTENSIONAHA.109.130583</w:t>
      </w:r>
    </w:p>
    <w:p w14:paraId="0FC02A6C" w14:textId="77777777" w:rsidR="00A83D7B" w:rsidRPr="00A83D7B" w:rsidRDefault="00A83D7B" w:rsidP="00A83D7B">
      <w:pPr>
        <w:pStyle w:val="Bibliography"/>
        <w:rPr>
          <w:rFonts w:cs="Times New Roman"/>
          <w:color w:val="808080"/>
        </w:rPr>
      </w:pPr>
      <w:r w:rsidRPr="00A83D7B">
        <w:rPr>
          <w:rFonts w:cs="Times New Roman"/>
          <w:color w:val="808080"/>
        </w:rPr>
        <w:t xml:space="preserve">Sutton, E. F., Beyl, R., Early, K. S., Cefalu, W. T., Ravussin, E., &amp; Peterson, C. M. (2018). Early Time-Restricted Feeding Improves Insulin Sensitivity, Blood Pressure, and Oxidative </w:t>
      </w:r>
      <w:r w:rsidRPr="00A83D7B">
        <w:rPr>
          <w:rFonts w:cs="Times New Roman"/>
          <w:color w:val="808080"/>
        </w:rPr>
        <w:lastRenderedPageBreak/>
        <w:t xml:space="preserve">Stress Even without Weight Loss in Men with Prediabetes.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27</w:t>
      </w:r>
      <w:r w:rsidRPr="00A83D7B">
        <w:rPr>
          <w:rFonts w:cs="Times New Roman"/>
          <w:color w:val="808080"/>
        </w:rPr>
        <w:t>(6), 1212-1221.e3. https://doi.org/10.1016/j.cmet.2018.04.010</w:t>
      </w:r>
    </w:p>
    <w:p w14:paraId="5A282B4D" w14:textId="77777777" w:rsidR="00A83D7B" w:rsidRPr="00A83D7B" w:rsidRDefault="00A83D7B" w:rsidP="00A83D7B">
      <w:pPr>
        <w:pStyle w:val="Bibliography"/>
        <w:rPr>
          <w:rFonts w:cs="Times New Roman"/>
          <w:color w:val="808080"/>
        </w:rPr>
      </w:pPr>
      <w:r w:rsidRPr="00A83D7B">
        <w:rPr>
          <w:rFonts w:cs="Times New Roman"/>
          <w:color w:val="808080"/>
        </w:rPr>
        <w:t xml:space="preserve">Swamy, S., Xie, X., Kukino, A., Calcagno, H. E., Lasarev, M. R., Park, J. H., &amp; Butler, M. P. (2018). Circadian disruption of food availability significantly reduces reproductive success in mice. </w:t>
      </w:r>
      <w:r w:rsidRPr="00A83D7B">
        <w:rPr>
          <w:rFonts w:cs="Times New Roman"/>
          <w:i/>
          <w:iCs/>
          <w:color w:val="808080"/>
        </w:rPr>
        <w:t>Hormones and Behavior</w:t>
      </w:r>
      <w:r w:rsidRPr="00A83D7B">
        <w:rPr>
          <w:rFonts w:cs="Times New Roman"/>
          <w:color w:val="808080"/>
        </w:rPr>
        <w:t xml:space="preserve">, </w:t>
      </w:r>
      <w:r w:rsidRPr="00A83D7B">
        <w:rPr>
          <w:rFonts w:cs="Times New Roman"/>
          <w:i/>
          <w:iCs/>
          <w:color w:val="808080"/>
        </w:rPr>
        <w:t>105</w:t>
      </w:r>
      <w:r w:rsidRPr="00A83D7B">
        <w:rPr>
          <w:rFonts w:cs="Times New Roman"/>
          <w:color w:val="808080"/>
        </w:rPr>
        <w:t>, 177–184. https://doi.org/10.1016/j.yhbeh.2018.07.006</w:t>
      </w:r>
    </w:p>
    <w:p w14:paraId="52122068" w14:textId="77777777" w:rsidR="00A83D7B" w:rsidRPr="00A83D7B" w:rsidRDefault="00A83D7B" w:rsidP="00A83D7B">
      <w:pPr>
        <w:pStyle w:val="Bibliography"/>
        <w:rPr>
          <w:rFonts w:cs="Times New Roman"/>
          <w:color w:val="808080"/>
        </w:rPr>
      </w:pPr>
      <w:r w:rsidRPr="00A83D7B">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A83D7B">
        <w:rPr>
          <w:rFonts w:cs="Times New Roman"/>
          <w:i/>
          <w:iCs/>
          <w:color w:val="808080"/>
        </w:rPr>
        <w:t>Biochemical and Biophysical Research Communications</w:t>
      </w:r>
      <w:r w:rsidRPr="00A83D7B">
        <w:rPr>
          <w:rFonts w:cs="Times New Roman"/>
          <w:color w:val="808080"/>
        </w:rPr>
        <w:t xml:space="preserve">, </w:t>
      </w:r>
      <w:r w:rsidRPr="00A83D7B">
        <w:rPr>
          <w:rFonts w:cs="Times New Roman"/>
          <w:i/>
          <w:iCs/>
          <w:color w:val="808080"/>
        </w:rPr>
        <w:t>514</w:t>
      </w:r>
      <w:r w:rsidRPr="00A83D7B">
        <w:rPr>
          <w:rFonts w:cs="Times New Roman"/>
          <w:color w:val="808080"/>
        </w:rPr>
        <w:t>(2), 415–421. https://doi.org/10.1016/j.bbrc.2019.04.154</w:t>
      </w:r>
    </w:p>
    <w:p w14:paraId="1C722427" w14:textId="77777777" w:rsidR="00A83D7B" w:rsidRPr="00A83D7B" w:rsidRDefault="00A83D7B" w:rsidP="00A83D7B">
      <w:pPr>
        <w:pStyle w:val="Bibliography"/>
        <w:rPr>
          <w:rFonts w:cs="Times New Roman"/>
          <w:color w:val="808080"/>
        </w:rPr>
      </w:pPr>
      <w:r w:rsidRPr="00A83D7B">
        <w:rPr>
          <w:rFonts w:cs="Times New Roman"/>
          <w:color w:val="808080"/>
        </w:rPr>
        <w:t xml:space="preserve">Weber, E. M., Algers, B., Würbel, H., Hultgren, J., &amp; Olsson, I. a. S. (2013). Influence of Strain and Parity on the Risk of Litter Loss in Laboratory Mice. </w:t>
      </w:r>
      <w:r w:rsidRPr="00A83D7B">
        <w:rPr>
          <w:rFonts w:cs="Times New Roman"/>
          <w:i/>
          <w:iCs/>
          <w:color w:val="808080"/>
        </w:rPr>
        <w:t>Reproduction in Domestic Animals</w:t>
      </w:r>
      <w:r w:rsidRPr="00A83D7B">
        <w:rPr>
          <w:rFonts w:cs="Times New Roman"/>
          <w:color w:val="808080"/>
        </w:rPr>
        <w:t xml:space="preserve">, </w:t>
      </w:r>
      <w:r w:rsidRPr="00A83D7B">
        <w:rPr>
          <w:rFonts w:cs="Times New Roman"/>
          <w:i/>
          <w:iCs/>
          <w:color w:val="808080"/>
        </w:rPr>
        <w:t>48</w:t>
      </w:r>
      <w:r w:rsidRPr="00A83D7B">
        <w:rPr>
          <w:rFonts w:cs="Times New Roman"/>
          <w:color w:val="808080"/>
        </w:rPr>
        <w:t>(2), 292–296. https://doi.org/10.1111/j.1439-0531.2012.02147.x</w:t>
      </w:r>
    </w:p>
    <w:p w14:paraId="61E1B4FF" w14:textId="77777777" w:rsidR="00A83D7B" w:rsidRPr="00A83D7B" w:rsidRDefault="00A83D7B" w:rsidP="00A83D7B">
      <w:pPr>
        <w:pStyle w:val="Bibliography"/>
        <w:rPr>
          <w:rFonts w:cs="Times New Roman"/>
          <w:color w:val="808080"/>
        </w:rPr>
      </w:pPr>
      <w:r w:rsidRPr="00A83D7B">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A83D7B">
        <w:rPr>
          <w:rFonts w:cs="Times New Roman"/>
          <w:i/>
          <w:iCs/>
          <w:color w:val="808080"/>
        </w:rPr>
        <w:t>Metabolism</w:t>
      </w:r>
      <w:r w:rsidRPr="00A83D7B">
        <w:rPr>
          <w:rFonts w:cs="Times New Roman"/>
          <w:color w:val="808080"/>
        </w:rPr>
        <w:t xml:space="preserve">, </w:t>
      </w:r>
      <w:r w:rsidRPr="00A83D7B">
        <w:rPr>
          <w:rFonts w:cs="Times New Roman"/>
          <w:i/>
          <w:iCs/>
          <w:color w:val="808080"/>
        </w:rPr>
        <w:t>82</w:t>
      </w:r>
      <w:r w:rsidRPr="00A83D7B">
        <w:rPr>
          <w:rFonts w:cs="Times New Roman"/>
          <w:color w:val="808080"/>
        </w:rPr>
        <w:t>, 1–13. https://doi.org/10.1016/j.metabol.2017.12.004</w:t>
      </w:r>
    </w:p>
    <w:p w14:paraId="2AE989C2" w14:textId="77777777" w:rsidR="00A83D7B" w:rsidRPr="00A83D7B" w:rsidRDefault="00A83D7B" w:rsidP="00A83D7B">
      <w:pPr>
        <w:pStyle w:val="Bibliography"/>
        <w:rPr>
          <w:rFonts w:cs="Times New Roman"/>
          <w:color w:val="808080"/>
        </w:rPr>
      </w:pPr>
      <w:r w:rsidRPr="00A83D7B">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A83D7B">
        <w:rPr>
          <w:rFonts w:cs="Times New Roman"/>
          <w:i/>
          <w:iCs/>
          <w:color w:val="808080"/>
        </w:rPr>
        <w:t>Redox Biology</w:t>
      </w:r>
      <w:r w:rsidRPr="00A83D7B">
        <w:rPr>
          <w:rFonts w:cs="Times New Roman"/>
          <w:color w:val="808080"/>
        </w:rPr>
        <w:t xml:space="preserve">, </w:t>
      </w:r>
      <w:r w:rsidRPr="00A83D7B">
        <w:rPr>
          <w:rFonts w:cs="Times New Roman"/>
          <w:i/>
          <w:iCs/>
          <w:color w:val="808080"/>
        </w:rPr>
        <w:t>16</w:t>
      </w:r>
      <w:r w:rsidRPr="00A83D7B">
        <w:rPr>
          <w:rFonts w:cs="Times New Roman"/>
          <w:color w:val="808080"/>
        </w:rPr>
        <w:t>, 87–96. https://doi.org/10.1016/j.redox.2018.01.013</w:t>
      </w:r>
    </w:p>
    <w:p w14:paraId="5C569943" w14:textId="77777777" w:rsidR="00A83D7B" w:rsidRPr="00A83D7B" w:rsidRDefault="00A83D7B" w:rsidP="00A83D7B">
      <w:pPr>
        <w:pStyle w:val="Bibliography"/>
        <w:rPr>
          <w:rFonts w:cs="Times New Roman"/>
          <w:color w:val="808080"/>
        </w:rPr>
      </w:pPr>
      <w:r w:rsidRPr="00A83D7B">
        <w:rPr>
          <w:rFonts w:cs="Times New Roman"/>
          <w:color w:val="808080"/>
        </w:rPr>
        <w:t xml:space="preserve">Zhang, W.-X., Chen, S.-Y., &amp; Liu, C. (2016). Regulation of reproduction by the circadian rhythms. </w:t>
      </w:r>
      <w:r w:rsidRPr="00A83D7B">
        <w:rPr>
          <w:rFonts w:cs="Times New Roman"/>
          <w:i/>
          <w:iCs/>
          <w:color w:val="808080"/>
        </w:rPr>
        <w:t>Sheng Li Xue Bao: [Acta Physiologica Sinica]</w:t>
      </w:r>
      <w:r w:rsidRPr="00A83D7B">
        <w:rPr>
          <w:rFonts w:cs="Times New Roman"/>
          <w:color w:val="808080"/>
        </w:rPr>
        <w:t xml:space="preserve">, </w:t>
      </w:r>
      <w:r w:rsidRPr="00A83D7B">
        <w:rPr>
          <w:rFonts w:cs="Times New Roman"/>
          <w:i/>
          <w:iCs/>
          <w:color w:val="808080"/>
        </w:rPr>
        <w:t>68</w:t>
      </w:r>
      <w:r w:rsidRPr="00A83D7B">
        <w:rPr>
          <w:rFonts w:cs="Times New Roman"/>
          <w:color w:val="808080"/>
        </w:rPr>
        <w:t>(6), 799–808.</w:t>
      </w:r>
    </w:p>
    <w:p w14:paraId="01428B9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Ziaee, V., Kihanidoost, Z., Younesian, M., Akhavirad, M.-B., Bateni, F., Kazemianfar, Z., &amp; Hantoushzadeh, S. (2010). The Effect of Ramadan Fasting on Outcome of Pregnancy. </w:t>
      </w:r>
      <w:r w:rsidRPr="00A83D7B">
        <w:rPr>
          <w:rFonts w:cs="Times New Roman"/>
          <w:i/>
          <w:iCs/>
          <w:color w:val="808080"/>
        </w:rPr>
        <w:t>Iranian Journal of Pediatrics</w:t>
      </w:r>
      <w:r w:rsidRPr="00A83D7B">
        <w:rPr>
          <w:rFonts w:cs="Times New Roman"/>
          <w:color w:val="808080"/>
        </w:rPr>
        <w:t xml:space="preserve">, </w:t>
      </w:r>
      <w:r w:rsidRPr="00A83D7B">
        <w:rPr>
          <w:rFonts w:cs="Times New Roman"/>
          <w:i/>
          <w:iCs/>
          <w:color w:val="808080"/>
        </w:rPr>
        <w:t>20</w:t>
      </w:r>
      <w:r w:rsidRPr="00A83D7B">
        <w:rPr>
          <w:rFonts w:cs="Times New Roman"/>
          <w:color w:val="808080"/>
        </w:rPr>
        <w:t>(2), 181–186.</w:t>
      </w:r>
    </w:p>
    <w:p w14:paraId="5350D662" w14:textId="3B0E54A1" w:rsidR="00A06EE7" w:rsidRPr="00A06EE7" w:rsidRDefault="00A83D7B" w:rsidP="00725CF0">
      <w:pPr>
        <w:rPr>
          <w:rStyle w:val="SubtleEmphasis"/>
          <w:i w:val="0"/>
        </w:rPr>
      </w:pPr>
      <w:r>
        <w:rPr>
          <w:rStyle w:val="SubtleEmphasis"/>
          <w:i w:val="0"/>
        </w:rPr>
        <w:fldChar w:fldCharType="end"/>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Molly Carter" w:date="2019-12-13T12:06:00Z" w:initials="MC">
    <w:p w14:paraId="728D96BF" w14:textId="41A57E5E" w:rsidR="00500183" w:rsidRDefault="00500183">
      <w:pPr>
        <w:pStyle w:val="CommentText"/>
      </w:pPr>
      <w:r>
        <w:rPr>
          <w:rStyle w:val="CommentReference"/>
        </w:rPr>
        <w:annotationRef/>
      </w:r>
      <w:r>
        <w:t xml:space="preserve">Should I make a table about the modalities of IF? </w:t>
      </w:r>
      <w:proofErr w:type="gramStart"/>
      <w:r>
        <w:t>So</w:t>
      </w:r>
      <w:proofErr w:type="gramEnd"/>
      <w:r>
        <w:t xml:space="preserve"> its clearer than it is in the written text?</w:t>
      </w:r>
    </w:p>
  </w:comment>
  <w:comment w:id="71" w:author="Dave Bridges" w:date="2019-11-27T09:42:00Z" w:initials="DB">
    <w:p w14:paraId="4B7284CC" w14:textId="47EA779F" w:rsidR="0010288E" w:rsidRDefault="0010288E">
      <w:pPr>
        <w:pStyle w:val="CommentText"/>
      </w:pPr>
      <w:r>
        <w:rPr>
          <w:rStyle w:val="CommentReference"/>
        </w:rPr>
        <w:annotationRef/>
      </w:r>
      <w:r>
        <w:t>Id update this to something about food restriction during pregnancy</w:t>
      </w:r>
    </w:p>
  </w:comment>
  <w:comment w:id="79" w:author="Dave Bridges" w:date="2019-11-27T09:39:00Z" w:initials="DB">
    <w:p w14:paraId="3C4B4310" w14:textId="361C2E02" w:rsidR="005F78FD" w:rsidRDefault="005F78FD">
      <w:pPr>
        <w:pStyle w:val="CommentText"/>
      </w:pPr>
      <w:r>
        <w:rPr>
          <w:rStyle w:val="CommentReference"/>
        </w:rPr>
        <w:annotationRef/>
      </w:r>
      <w:r>
        <w:t>define</w:t>
      </w:r>
    </w:p>
  </w:comment>
  <w:comment w:id="80" w:author="Dave Bridges" w:date="2019-11-27T09:40:00Z" w:initials="DB">
    <w:p w14:paraId="721DCDF4" w14:textId="6200C821" w:rsidR="005F78FD" w:rsidRDefault="005F78FD">
      <w:pPr>
        <w:pStyle w:val="CommentText"/>
      </w:pPr>
      <w:r>
        <w:rPr>
          <w:rStyle w:val="CommentReference"/>
        </w:rPr>
        <w:annotationRef/>
      </w:r>
      <w:r>
        <w:t xml:space="preserve">be specific here, is </w:t>
      </w:r>
      <w:r w:rsidR="0010288E">
        <w:t>what was the relative risk of diabetes/CVD</w:t>
      </w:r>
    </w:p>
  </w:comment>
  <w:comment w:id="85" w:author="Dave Bridges" w:date="2019-11-27T09:40:00Z" w:initials="DB">
    <w:p w14:paraId="73171A4F" w14:textId="0DD38614" w:rsidR="0010288E" w:rsidRDefault="0010288E">
      <w:pPr>
        <w:pStyle w:val="CommentText"/>
      </w:pPr>
      <w:r>
        <w:rPr>
          <w:rStyle w:val="CommentReference"/>
        </w:rPr>
        <w:annotationRef/>
      </w:r>
      <w:r>
        <w:t>Probably need to define how people fast.</w:t>
      </w:r>
    </w:p>
  </w:comment>
  <w:comment w:id="114" w:author="Dave Bridges" w:date="2019-11-27T10:00:00Z" w:initials="DB">
    <w:p w14:paraId="3B6F4E33" w14:textId="173287EF" w:rsidR="00223C1D" w:rsidRDefault="00223C1D">
      <w:pPr>
        <w:pStyle w:val="CommentText"/>
      </w:pPr>
      <w:r>
        <w:rPr>
          <w:rStyle w:val="CommentReference"/>
        </w:rPr>
        <w:annotationRef/>
      </w:r>
      <w:r>
        <w:t xml:space="preserve">Can probably remove the </w:t>
      </w:r>
      <w:proofErr w:type="spellStart"/>
      <w:r>
        <w:t>dex</w:t>
      </w:r>
      <w:proofErr w:type="spellEnd"/>
      <w:r>
        <w:t xml:space="preserve"> panel.</w:t>
      </w:r>
    </w:p>
  </w:comment>
  <w:comment w:id="116" w:author="Dave Bridges" w:date="2019-11-27T10:01:00Z" w:initials="DB">
    <w:p w14:paraId="4B538BFE" w14:textId="55B0E63F" w:rsidR="00544A0A" w:rsidRDefault="00544A0A">
      <w:pPr>
        <w:pStyle w:val="CommentText"/>
      </w:pPr>
      <w:r>
        <w:rPr>
          <w:rStyle w:val="CommentReference"/>
        </w:rPr>
        <w:annotationRef/>
      </w:r>
      <w:r>
        <w:t>List of references.  Would be good to know if this was done by a clamp, and if it is known which tissue(s) are most affected.</w:t>
      </w:r>
    </w:p>
  </w:comment>
  <w:comment w:id="117" w:author="Dave Bridges" w:date="2019-11-27T09:48:00Z" w:initials="DB">
    <w:p w14:paraId="703608A2" w14:textId="37FF8C1C" w:rsidR="00D357A3" w:rsidRDefault="00D357A3">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133" w:author="Dave Bridges" w:date="2019-11-27T09:50:00Z" w:initials="DB">
    <w:p w14:paraId="508C62B8" w14:textId="4151F823" w:rsidR="004C7236" w:rsidRDefault="004C7236">
      <w:pPr>
        <w:pStyle w:val="CommentText"/>
      </w:pPr>
      <w:r>
        <w:rPr>
          <w:rStyle w:val="CommentReference"/>
        </w:rPr>
        <w:annotationRef/>
      </w:r>
      <w:proofErr w:type="gramStart"/>
      <w:r>
        <w:t>Plus</w:t>
      </w:r>
      <w:proofErr w:type="gramEnd"/>
      <w:r>
        <w:t xml:space="preserve"> the new 2019 Panda paper</w:t>
      </w:r>
    </w:p>
  </w:comment>
  <w:comment w:id="144" w:author="Dave Bridges" w:date="2019-11-27T09:55:00Z" w:initials="DB">
    <w:p w14:paraId="154206EF" w14:textId="278D3F90" w:rsidR="0070023E" w:rsidRDefault="0070023E">
      <w:pPr>
        <w:pStyle w:val="CommentText"/>
      </w:pPr>
      <w:r>
        <w:rPr>
          <w:rStyle w:val="CommentReference"/>
        </w:rPr>
        <w:annotationRef/>
      </w:r>
      <w:r>
        <w:t xml:space="preserve">I think a figure connecting the </w:t>
      </w:r>
      <w:proofErr w:type="spellStart"/>
      <w:r>
        <w:t>subaims</w:t>
      </w:r>
      <w:proofErr w:type="spellEnd"/>
      <w:r>
        <w:t xml:space="preserve"> would help here and for your presentation.</w:t>
      </w:r>
    </w:p>
  </w:comment>
  <w:comment w:id="157" w:author="Dave Bridges" w:date="2019-11-27T10:02:00Z" w:initials="DB">
    <w:p w14:paraId="6BEC3023" w14:textId="57DE26E5" w:rsidR="00A456E6" w:rsidRDefault="00A456E6">
      <w:pPr>
        <w:pStyle w:val="CommentText"/>
      </w:pPr>
      <w:r>
        <w:rPr>
          <w:rStyle w:val="CommentReference"/>
        </w:rPr>
        <w:annotationRef/>
      </w:r>
      <w:r>
        <w:t>Promote?</w:t>
      </w:r>
    </w:p>
  </w:comment>
  <w:comment w:id="154" w:author="Dave Bridges" w:date="2019-11-27T09:56:00Z" w:initials="DB">
    <w:p w14:paraId="6DA58807" w14:textId="73A1090C" w:rsidR="00BD46A4" w:rsidRDefault="00BD46A4">
      <w:pPr>
        <w:pStyle w:val="CommentText"/>
      </w:pPr>
      <w:r>
        <w:rPr>
          <w:rStyle w:val="CommentReference"/>
        </w:rPr>
        <w:annotationRef/>
      </w:r>
      <w:r>
        <w:t>I think that this should be shortened and moved to the introduction.  For the aims we just want to get into the experiments.</w:t>
      </w:r>
    </w:p>
  </w:comment>
  <w:comment w:id="155" w:author="Dave Bridges" w:date="2019-11-27T09:56:00Z" w:initials="DB">
    <w:p w14:paraId="5BFE4857" w14:textId="54B52A06" w:rsidR="00820FC6" w:rsidRDefault="00820FC6">
      <w:pPr>
        <w:pStyle w:val="CommentText"/>
      </w:pPr>
      <w:r>
        <w:rPr>
          <w:rStyle w:val="CommentReference"/>
        </w:rPr>
        <w:annotationRef/>
      </w:r>
      <w:r>
        <w:t>In fact, I would make this 3-4 sentences max and put it in the introduction section on pregnancy (though clip this and save it somewhere, as it might be useful if we evaluated fertility further).</w:t>
      </w:r>
    </w:p>
  </w:comment>
  <w:comment w:id="166" w:author="Dave Bridges" w:date="2019-11-27T10:06:00Z" w:initials="DB">
    <w:p w14:paraId="50D5B1F0" w14:textId="6B7EF2CA" w:rsidR="00717393" w:rsidRDefault="00717393">
      <w:pPr>
        <w:pStyle w:val="CommentText"/>
      </w:pPr>
      <w:r>
        <w:rPr>
          <w:rStyle w:val="CommentReference"/>
        </w:rPr>
        <w:annotationRef/>
      </w:r>
      <w:r>
        <w:t>See papers on #chrononutrition</w:t>
      </w:r>
    </w:p>
  </w:comment>
  <w:comment w:id="167" w:author="Dave Bridges" w:date="2019-11-27T09:59:00Z" w:initials="DB">
    <w:p w14:paraId="2075C9E2" w14:textId="31E1452F" w:rsidR="00820FC6" w:rsidRDefault="00820FC6">
      <w:pPr>
        <w:pStyle w:val="CommentText"/>
      </w:pPr>
      <w:r>
        <w:rPr>
          <w:rStyle w:val="CommentReference"/>
        </w:rPr>
        <w:annotationRef/>
      </w:r>
      <w:r>
        <w:t>I think by now you need a figure showing the timing of eTRF, mating, ITT, etc.</w:t>
      </w:r>
    </w:p>
  </w:comment>
  <w:comment w:id="168"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171"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77"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179"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180"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182"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D96BF" w15:done="0"/>
  <w15:commentEx w15:paraId="4B7284CC" w15:done="0"/>
  <w15:commentEx w15:paraId="3C4B4310" w15:done="0"/>
  <w15:commentEx w15:paraId="721DCDF4" w15:done="0"/>
  <w15:commentEx w15:paraId="73171A4F" w15:done="0"/>
  <w15:commentEx w15:paraId="3B6F4E33" w15:done="0"/>
  <w15:commentEx w15:paraId="4B538BFE" w15:done="0"/>
  <w15:commentEx w15:paraId="703608A2" w15:done="0"/>
  <w15:commentEx w15:paraId="508C62B8" w15:done="0"/>
  <w15:commentEx w15:paraId="154206EF" w15:done="0"/>
  <w15:commentEx w15:paraId="6BEC3023" w15:done="0"/>
  <w15:commentEx w15:paraId="6DA58807" w15:done="0"/>
  <w15:commentEx w15:paraId="5BFE4857" w15:paraIdParent="6DA58807" w15:done="0"/>
  <w15:commentEx w15:paraId="50D5B1F0" w15:done="0"/>
  <w15:commentEx w15:paraId="2075C9E2" w15:done="0"/>
  <w15:commentEx w15:paraId="473B9003" w15:done="0"/>
  <w15:commentEx w15:paraId="51A2CC6F"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D96BF" w16cid:durableId="219DFD51"/>
  <w16cid:commentId w16cid:paraId="4B7284CC" w16cid:durableId="2188C37D"/>
  <w16cid:commentId w16cid:paraId="3C4B4310" w16cid:durableId="2188C2E2"/>
  <w16cid:commentId w16cid:paraId="721DCDF4" w16cid:durableId="2188C2F3"/>
  <w16cid:commentId w16cid:paraId="73171A4F" w16cid:durableId="2188C32A"/>
  <w16cid:commentId w16cid:paraId="3B6F4E33" w16cid:durableId="2188C7CD"/>
  <w16cid:commentId w16cid:paraId="4B538BFE" w16cid:durableId="2188C7FC"/>
  <w16cid:commentId w16cid:paraId="703608A2" w16cid:durableId="2188C4EF"/>
  <w16cid:commentId w16cid:paraId="508C62B8" w16cid:durableId="2188C560"/>
  <w16cid:commentId w16cid:paraId="154206EF" w16cid:durableId="2188C67F"/>
  <w16cid:commentId w16cid:paraId="6BEC3023" w16cid:durableId="2188C851"/>
  <w16cid:commentId w16cid:paraId="6DA58807" w16cid:durableId="2188C6C8"/>
  <w16cid:commentId w16cid:paraId="5BFE4857" w16cid:durableId="2188C6E8"/>
  <w16cid:commentId w16cid:paraId="50D5B1F0" w16cid:durableId="2188C943"/>
  <w16cid:commentId w16cid:paraId="2075C9E2" w16cid:durableId="2188C771"/>
  <w16cid:commentId w16cid:paraId="473B9003" w16cid:durableId="21858758"/>
  <w16cid:commentId w16cid:paraId="51A2CC6F" w16cid:durableId="210789EA"/>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589A4" w14:textId="77777777" w:rsidR="004A0A69" w:rsidRDefault="004A0A69" w:rsidP="00655367">
      <w:r>
        <w:separator/>
      </w:r>
    </w:p>
  </w:endnote>
  <w:endnote w:type="continuationSeparator" w:id="0">
    <w:p w14:paraId="653A0593" w14:textId="77777777" w:rsidR="004A0A69" w:rsidRDefault="004A0A69"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EAD0A" w14:textId="77777777" w:rsidR="004A0A69" w:rsidRDefault="004A0A69" w:rsidP="00655367">
      <w:r>
        <w:separator/>
      </w:r>
    </w:p>
  </w:footnote>
  <w:footnote w:type="continuationSeparator" w:id="0">
    <w:p w14:paraId="25CAD613" w14:textId="77777777" w:rsidR="004A0A69" w:rsidRDefault="004A0A69"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31589"/>
    <w:rsid w:val="000417FD"/>
    <w:rsid w:val="000453AB"/>
    <w:rsid w:val="0004750C"/>
    <w:rsid w:val="00057976"/>
    <w:rsid w:val="00060FEF"/>
    <w:rsid w:val="00074954"/>
    <w:rsid w:val="000751BB"/>
    <w:rsid w:val="000864AE"/>
    <w:rsid w:val="00087423"/>
    <w:rsid w:val="000B008A"/>
    <w:rsid w:val="000B062D"/>
    <w:rsid w:val="000D2AA7"/>
    <w:rsid w:val="000E1D7F"/>
    <w:rsid w:val="000F0FE1"/>
    <w:rsid w:val="00101BEE"/>
    <w:rsid w:val="0010288E"/>
    <w:rsid w:val="001041F5"/>
    <w:rsid w:val="0013437C"/>
    <w:rsid w:val="001403DB"/>
    <w:rsid w:val="00146803"/>
    <w:rsid w:val="00153939"/>
    <w:rsid w:val="00155E45"/>
    <w:rsid w:val="00186B53"/>
    <w:rsid w:val="0018772F"/>
    <w:rsid w:val="001916B7"/>
    <w:rsid w:val="001A2B94"/>
    <w:rsid w:val="001B306C"/>
    <w:rsid w:val="001D47FE"/>
    <w:rsid w:val="001E0AFA"/>
    <w:rsid w:val="001E0D8A"/>
    <w:rsid w:val="001E725D"/>
    <w:rsid w:val="001F0023"/>
    <w:rsid w:val="00200583"/>
    <w:rsid w:val="002069B3"/>
    <w:rsid w:val="00223C1D"/>
    <w:rsid w:val="00227796"/>
    <w:rsid w:val="002450CA"/>
    <w:rsid w:val="0026107A"/>
    <w:rsid w:val="002918F3"/>
    <w:rsid w:val="002A360D"/>
    <w:rsid w:val="002B25C7"/>
    <w:rsid w:val="002B4FA5"/>
    <w:rsid w:val="002C32E9"/>
    <w:rsid w:val="002C66B0"/>
    <w:rsid w:val="002C793C"/>
    <w:rsid w:val="002D7DCD"/>
    <w:rsid w:val="002E1770"/>
    <w:rsid w:val="002E1DE6"/>
    <w:rsid w:val="002F3F8D"/>
    <w:rsid w:val="00326B6D"/>
    <w:rsid w:val="00330625"/>
    <w:rsid w:val="003360C6"/>
    <w:rsid w:val="00346506"/>
    <w:rsid w:val="003572D6"/>
    <w:rsid w:val="00366C4E"/>
    <w:rsid w:val="00377B9B"/>
    <w:rsid w:val="00382CE8"/>
    <w:rsid w:val="00384B6A"/>
    <w:rsid w:val="00385D95"/>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0A69"/>
    <w:rsid w:val="004A327E"/>
    <w:rsid w:val="004B030F"/>
    <w:rsid w:val="004B1FBD"/>
    <w:rsid w:val="004B370A"/>
    <w:rsid w:val="004C7236"/>
    <w:rsid w:val="004E1444"/>
    <w:rsid w:val="004E2C3A"/>
    <w:rsid w:val="004F1183"/>
    <w:rsid w:val="004F42FB"/>
    <w:rsid w:val="00500183"/>
    <w:rsid w:val="00512A0C"/>
    <w:rsid w:val="005141D7"/>
    <w:rsid w:val="00517344"/>
    <w:rsid w:val="0053627B"/>
    <w:rsid w:val="00544A0A"/>
    <w:rsid w:val="00547273"/>
    <w:rsid w:val="00552F4F"/>
    <w:rsid w:val="00561DFD"/>
    <w:rsid w:val="0057571A"/>
    <w:rsid w:val="00587EB0"/>
    <w:rsid w:val="005938F2"/>
    <w:rsid w:val="005A09DE"/>
    <w:rsid w:val="005A540C"/>
    <w:rsid w:val="005D0293"/>
    <w:rsid w:val="005E5394"/>
    <w:rsid w:val="005F3C68"/>
    <w:rsid w:val="005F78FD"/>
    <w:rsid w:val="00610884"/>
    <w:rsid w:val="00614A20"/>
    <w:rsid w:val="00654D03"/>
    <w:rsid w:val="00655367"/>
    <w:rsid w:val="00657472"/>
    <w:rsid w:val="00665FF6"/>
    <w:rsid w:val="00681D4E"/>
    <w:rsid w:val="00694B30"/>
    <w:rsid w:val="006D1DC0"/>
    <w:rsid w:val="006E5903"/>
    <w:rsid w:val="006F7CD8"/>
    <w:rsid w:val="0070023E"/>
    <w:rsid w:val="00713DF7"/>
    <w:rsid w:val="00714BDF"/>
    <w:rsid w:val="00717393"/>
    <w:rsid w:val="00725CF0"/>
    <w:rsid w:val="007279AC"/>
    <w:rsid w:val="00762971"/>
    <w:rsid w:val="007641FB"/>
    <w:rsid w:val="00783E8F"/>
    <w:rsid w:val="007A5566"/>
    <w:rsid w:val="007E58C2"/>
    <w:rsid w:val="007F29C4"/>
    <w:rsid w:val="00820FC6"/>
    <w:rsid w:val="0082283C"/>
    <w:rsid w:val="0082567D"/>
    <w:rsid w:val="00826EBC"/>
    <w:rsid w:val="00836E79"/>
    <w:rsid w:val="00845798"/>
    <w:rsid w:val="008470EC"/>
    <w:rsid w:val="00853604"/>
    <w:rsid w:val="0085676B"/>
    <w:rsid w:val="00874591"/>
    <w:rsid w:val="008A29BB"/>
    <w:rsid w:val="008B3606"/>
    <w:rsid w:val="008C7E3D"/>
    <w:rsid w:val="008C7EDB"/>
    <w:rsid w:val="008D1B99"/>
    <w:rsid w:val="008E1AC9"/>
    <w:rsid w:val="008E7D88"/>
    <w:rsid w:val="00926E95"/>
    <w:rsid w:val="00931D42"/>
    <w:rsid w:val="00945A2E"/>
    <w:rsid w:val="0094720A"/>
    <w:rsid w:val="00955141"/>
    <w:rsid w:val="00976A3C"/>
    <w:rsid w:val="009837B7"/>
    <w:rsid w:val="00993E0B"/>
    <w:rsid w:val="009954FF"/>
    <w:rsid w:val="009B6663"/>
    <w:rsid w:val="009C127A"/>
    <w:rsid w:val="009C66F1"/>
    <w:rsid w:val="009E0819"/>
    <w:rsid w:val="009E22A8"/>
    <w:rsid w:val="009E780C"/>
    <w:rsid w:val="009F4437"/>
    <w:rsid w:val="00A00607"/>
    <w:rsid w:val="00A06958"/>
    <w:rsid w:val="00A06EE7"/>
    <w:rsid w:val="00A13480"/>
    <w:rsid w:val="00A32A92"/>
    <w:rsid w:val="00A33C49"/>
    <w:rsid w:val="00A358A3"/>
    <w:rsid w:val="00A413DD"/>
    <w:rsid w:val="00A456E6"/>
    <w:rsid w:val="00A50362"/>
    <w:rsid w:val="00A57F80"/>
    <w:rsid w:val="00A83D7B"/>
    <w:rsid w:val="00A9493C"/>
    <w:rsid w:val="00AB3067"/>
    <w:rsid w:val="00AB5290"/>
    <w:rsid w:val="00AC0193"/>
    <w:rsid w:val="00AD048B"/>
    <w:rsid w:val="00AE7C3C"/>
    <w:rsid w:val="00B1412F"/>
    <w:rsid w:val="00B211F9"/>
    <w:rsid w:val="00B26E24"/>
    <w:rsid w:val="00B4252E"/>
    <w:rsid w:val="00B53AF7"/>
    <w:rsid w:val="00B54324"/>
    <w:rsid w:val="00B61E89"/>
    <w:rsid w:val="00B6593C"/>
    <w:rsid w:val="00B67A65"/>
    <w:rsid w:val="00B84507"/>
    <w:rsid w:val="00BB647C"/>
    <w:rsid w:val="00BD46A4"/>
    <w:rsid w:val="00BF51D2"/>
    <w:rsid w:val="00C0263D"/>
    <w:rsid w:val="00C4112F"/>
    <w:rsid w:val="00C428FD"/>
    <w:rsid w:val="00C43ACC"/>
    <w:rsid w:val="00C50689"/>
    <w:rsid w:val="00C7633F"/>
    <w:rsid w:val="00C87264"/>
    <w:rsid w:val="00C87793"/>
    <w:rsid w:val="00C9633A"/>
    <w:rsid w:val="00CC0789"/>
    <w:rsid w:val="00CC2456"/>
    <w:rsid w:val="00CC30FF"/>
    <w:rsid w:val="00CF4CFE"/>
    <w:rsid w:val="00CF78BC"/>
    <w:rsid w:val="00D233E7"/>
    <w:rsid w:val="00D267D5"/>
    <w:rsid w:val="00D34749"/>
    <w:rsid w:val="00D357A3"/>
    <w:rsid w:val="00D47D37"/>
    <w:rsid w:val="00D53715"/>
    <w:rsid w:val="00D538F0"/>
    <w:rsid w:val="00D63BE6"/>
    <w:rsid w:val="00D64926"/>
    <w:rsid w:val="00D7456F"/>
    <w:rsid w:val="00D80880"/>
    <w:rsid w:val="00D817DF"/>
    <w:rsid w:val="00D82673"/>
    <w:rsid w:val="00D85F48"/>
    <w:rsid w:val="00D87C20"/>
    <w:rsid w:val="00D920DB"/>
    <w:rsid w:val="00D95E7B"/>
    <w:rsid w:val="00DA7459"/>
    <w:rsid w:val="00DF1B2B"/>
    <w:rsid w:val="00DF6206"/>
    <w:rsid w:val="00E313DC"/>
    <w:rsid w:val="00E55AB4"/>
    <w:rsid w:val="00E55BB9"/>
    <w:rsid w:val="00E67A3C"/>
    <w:rsid w:val="00E7173B"/>
    <w:rsid w:val="00E7221B"/>
    <w:rsid w:val="00E77202"/>
    <w:rsid w:val="00E803D2"/>
    <w:rsid w:val="00E85858"/>
    <w:rsid w:val="00E86229"/>
    <w:rsid w:val="00E91E9A"/>
    <w:rsid w:val="00EA2AB9"/>
    <w:rsid w:val="00EB550A"/>
    <w:rsid w:val="00EC4173"/>
    <w:rsid w:val="00ED4FF5"/>
    <w:rsid w:val="00EF0FA8"/>
    <w:rsid w:val="00EF245E"/>
    <w:rsid w:val="00F14B24"/>
    <w:rsid w:val="00F21DE2"/>
    <w:rsid w:val="00F25AA5"/>
    <w:rsid w:val="00F320DE"/>
    <w:rsid w:val="00F46F28"/>
    <w:rsid w:val="00F5543F"/>
    <w:rsid w:val="00F628D5"/>
    <w:rsid w:val="00F67F60"/>
    <w:rsid w:val="00F70DE1"/>
    <w:rsid w:val="00F866FE"/>
    <w:rsid w:val="00F96DB1"/>
    <w:rsid w:val="00FC1A73"/>
    <w:rsid w:val="00FD1ACA"/>
    <w:rsid w:val="00FD2AF9"/>
    <w:rsid w:val="00F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E0E07-09EC-2741-9EFD-6E1A4116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19</Pages>
  <Words>42157</Words>
  <Characters>240301</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144</cp:revision>
  <dcterms:created xsi:type="dcterms:W3CDTF">2019-07-24T15:08:00Z</dcterms:created>
  <dcterms:modified xsi:type="dcterms:W3CDTF">2019-12-13T17:26:00Z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id="Jl8YHAX2"/&gt;&lt;style id="http://www.zotero.org/styles/apa" locale="en-US" hasBibliography="1" bibliographyStyleHasBeenSet="1"/&gt;&lt;prefs&gt;&lt;pref name="fieldType" value="Field"/&gt;&lt;/prefs&gt;&lt;/data&gt;</vt:lpwstr>
  </property>
  <property fmtid="{D5CDD505-2E9C-101B-9397-08002B2CF9AE}" pid="3" name="ZOTERO_PREF_2">
    <vt:lpwstr/>
  </property>
</Properties>
</file>