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A19D" w14:textId="10D8B13A" w:rsidR="000B6D83" w:rsidRPr="00A108C5" w:rsidRDefault="0059728B" w:rsidP="0059728B">
      <w:pPr>
        <w:pStyle w:val="Heading1"/>
      </w:pPr>
      <w:bookmarkStart w:id="0" w:name="_Toc16185294"/>
      <w:bookmarkStart w:id="1" w:name="_GoBack"/>
      <w:r w:rsidRPr="00A108C5">
        <w:t xml:space="preserve">Model Organism </w:t>
      </w:r>
      <w:r w:rsidR="000B6D83" w:rsidRPr="00A108C5">
        <w:t>Aim 1: Examine the effects of manipulation of the feeding window on female fertility, gestational health, and maternal glycemia during gestation</w:t>
      </w:r>
    </w:p>
    <w:bookmarkEnd w:id="1"/>
    <w:p w14:paraId="71DDFD57" w14:textId="77777777" w:rsidR="000B6D83" w:rsidRDefault="000B6D83" w:rsidP="0059728B">
      <w:pPr>
        <w:pStyle w:val="Heading2"/>
      </w:pPr>
      <w:r w:rsidRPr="00F96DB1">
        <w:t>Background:</w:t>
      </w:r>
    </w:p>
    <w:p w14:paraId="6C4CF5CD" w14:textId="77777777" w:rsidR="000B6D83" w:rsidRDefault="000B6D83" w:rsidP="000B6D83">
      <w:pPr>
        <w:pStyle w:val="Heading3"/>
      </w:pPr>
      <w:r>
        <w:rPr>
          <w:rFonts w:cs="Times New Roman"/>
          <w:noProof/>
        </w:rPr>
        <mc:AlternateContent>
          <mc:Choice Requires="wps">
            <w:drawing>
              <wp:anchor distT="0" distB="0" distL="114300" distR="114300" simplePos="0" relativeHeight="251665408" behindDoc="0" locked="0" layoutInCell="1" allowOverlap="1" wp14:anchorId="03FA76F0" wp14:editId="3AB194E1">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A76F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v:textbox>
                <w10:wrap type="square" side="left"/>
              </v:shape>
            </w:pict>
          </mc:Fallback>
        </mc:AlternateContent>
      </w:r>
      <w:r>
        <w:t>Time-restricted feeding</w:t>
      </w:r>
    </w:p>
    <w:p w14:paraId="5F7EBBC5" w14:textId="5C1450C7" w:rsidR="000B6D83" w:rsidRDefault="000B6D83" w:rsidP="000B6D83">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rPr>
        <w:t>(Halberg et al., 2005; Hatori et al., 2012; Kahleova, Lloren, Mashchak, Hill, &amp; Fraser, 2017; Liu et al., 2019; n.d.; Ravussin, Beyl, Poggiogalle, Hsia, &amp; Peterson,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Only one study of time restricted feeding during gestation has been published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w:t>
      </w:r>
      <w:r w:rsidR="00BB7288">
        <w:rPr>
          <w:rFonts w:cs="Times New Roman"/>
        </w:rPr>
        <w:t>, fertility</w:t>
      </w:r>
      <w:r>
        <w:rPr>
          <w:rFonts w:cs="Times New Roman"/>
        </w:rPr>
        <w:t xml:space="preserve"> or </w:t>
      </w:r>
      <w:r w:rsidR="00BB7288">
        <w:rPr>
          <w:rFonts w:cs="Times New Roman"/>
        </w:rPr>
        <w:t>offspring health.</w:t>
      </w:r>
      <w:r>
        <w:rPr>
          <w:rFonts w:cs="Times New Roman"/>
        </w:rPr>
        <w:t xml:space="preserve"> For this reason, I propose to study the effect of TRF in mice before and during pregnancy.</w:t>
      </w:r>
    </w:p>
    <w:p w14:paraId="14825E79" w14:textId="47F1A183" w:rsidR="000B6D83" w:rsidRDefault="000B6D83" w:rsidP="000B6D83">
      <w:pPr>
        <w:rPr>
          <w:rFonts w:cs="Times New Roman"/>
        </w:rPr>
      </w:pPr>
    </w:p>
    <w:p w14:paraId="1BCDEE9E" w14:textId="599A6225" w:rsidR="00BB7288" w:rsidRDefault="00BB7288" w:rsidP="00845D87">
      <w:pPr>
        <w:pStyle w:val="Heading3"/>
      </w:pPr>
      <w:r>
        <w:t>Nutrient Restriction in Pregnancy</w:t>
      </w:r>
    </w:p>
    <w:p w14:paraId="7BCB31A3" w14:textId="77777777" w:rsidR="00BB7288" w:rsidRDefault="000B6D83" w:rsidP="000B6D83">
      <w:pPr>
        <w:rPr>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DOHaD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48720573" w14:textId="77777777" w:rsidR="00BB7288" w:rsidRDefault="00BB7288" w:rsidP="000B6D83">
      <w:pPr>
        <w:rPr>
          <w:rFonts w:cs="Times New Roman"/>
        </w:rPr>
      </w:pPr>
    </w:p>
    <w:p w14:paraId="686F0EE9" w14:textId="3D3C2C08" w:rsidR="000B6D83" w:rsidRPr="00BC5167" w:rsidRDefault="000B6D83" w:rsidP="000B6D83">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location and time of year when Ramadan takes place in the Islamic calendar. In the United States, this </w:t>
      </w:r>
      <w:r>
        <w:rPr>
          <w:rFonts w:cs="Times New Roman"/>
        </w:rPr>
        <w:lastRenderedPageBreak/>
        <w:t xml:space="preserve">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079C0160" w14:textId="77777777" w:rsidR="000B6D83" w:rsidRDefault="000B6D83" w:rsidP="000B6D83">
      <w:pPr>
        <w:rPr>
          <w:rFonts w:cs="Times New Roman"/>
        </w:rPr>
      </w:pPr>
    </w:p>
    <w:p w14:paraId="06ED759A" w14:textId="64221D92" w:rsidR="000B6D83" w:rsidRDefault="000B6D83" w:rsidP="000B6D83">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62FD1E8D" w14:textId="77777777" w:rsidR="00BB7288" w:rsidRDefault="00BB7288" w:rsidP="000B6D83">
      <w:pPr>
        <w:rPr>
          <w:rFonts w:cs="Times New Roman"/>
        </w:rPr>
      </w:pPr>
    </w:p>
    <w:p w14:paraId="2D44C24F" w14:textId="77777777" w:rsidR="00BB7288" w:rsidRDefault="00BB7288" w:rsidP="00BB7288">
      <w:pPr>
        <w:pStyle w:val="Heading3"/>
      </w:pPr>
      <w:r>
        <w:t>Fertility and Pregnancy- a critical time for maternal health and physiological adaptation</w:t>
      </w:r>
    </w:p>
    <w:p w14:paraId="41DF2585" w14:textId="77777777" w:rsidR="00BB7288" w:rsidRDefault="00BB7288" w:rsidP="00BB7288">
      <w:pPr>
        <w:rPr>
          <w:rFonts w:cs="Times New Roman"/>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r>
        <w:rPr>
          <w:rFonts w:eastAsia="Times New Roman" w:cs="Times New Roman"/>
          <w:color w:val="000000"/>
        </w:rPr>
        <w:t xml:space="preserve">Mereness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5EC5517C" w14:textId="77777777" w:rsidR="000B6D83" w:rsidRDefault="000B6D83" w:rsidP="000B6D83">
      <w:pPr>
        <w:rPr>
          <w:rFonts w:cs="Times New Roman"/>
        </w:rPr>
      </w:pPr>
    </w:p>
    <w:p w14:paraId="52D3F942" w14:textId="77777777" w:rsidR="000B6D83" w:rsidRDefault="000B6D83" w:rsidP="000B6D83">
      <w:pPr>
        <w:pStyle w:val="Heading3"/>
      </w:pPr>
      <w:r>
        <w:t>Gestational weight gain and food intake</w:t>
      </w:r>
    </w:p>
    <w:p w14:paraId="290E3271" w14:textId="0BD5605B" w:rsidR="000B6D83" w:rsidRDefault="000B6D83" w:rsidP="000B6D83">
      <w:pPr>
        <w:rPr>
          <w:rFonts w:cs="Times New Roman"/>
        </w:rPr>
      </w:pPr>
      <w:r>
        <w:rPr>
          <w:rFonts w:cs="Times New Roman"/>
        </w:rPr>
        <w:t xml:space="preserve">Weight gain is expected for a </w:t>
      </w:r>
      <w:r w:rsidR="00A62DF3">
        <w:rPr>
          <w:rFonts w:cs="Times New Roman"/>
        </w:rPr>
        <w:t xml:space="preserve">healthy </w:t>
      </w:r>
      <w:r>
        <w:rPr>
          <w:rFonts w:cs="Times New Roman"/>
        </w:rPr>
        <w:t xml:space="preserve">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20B1EE3F" w14:textId="77777777" w:rsidR="000B6D83" w:rsidRDefault="000B6D83" w:rsidP="000B6D83">
      <w:pPr>
        <w:rPr>
          <w:rFonts w:cs="Times New Roman"/>
        </w:rPr>
      </w:pPr>
    </w:p>
    <w:p w14:paraId="650DAE84" w14:textId="77777777" w:rsidR="000B6D83" w:rsidRDefault="000B6D83" w:rsidP="000B6D83">
      <w:pPr>
        <w:pStyle w:val="Heading3"/>
      </w:pPr>
      <w:r>
        <w:lastRenderedPageBreak/>
        <w:t xml:space="preserve">Insulin Resistance </w:t>
      </w:r>
    </w:p>
    <w:p w14:paraId="58ECF0AB" w14:textId="1219640D" w:rsidR="000B6D83" w:rsidRDefault="000B6D83" w:rsidP="000B6D83">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9A93E59" wp14:editId="7CC9C886">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0">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3E59" id="Text Box 5" o:spid="_x0000_s1027"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hyperinsulinemic-euglycemic clamp</w:t>
      </w:r>
      <w:r w:rsidR="00A62DF3">
        <w:rPr>
          <w:rFonts w:cs="Times New Roman"/>
        </w:rPr>
        <w:t>s</w:t>
      </w:r>
      <w:r>
        <w:rPr>
          <w:rFonts w:cs="Times New Roman"/>
        </w:rPr>
        <w:t xml:space="preserve"> and </w:t>
      </w:r>
      <w:r w:rsidR="00A62DF3">
        <w:rPr>
          <w:rFonts w:cs="Times New Roman"/>
        </w:rPr>
        <w:t>insulin tolerance tests (ITTs)</w:t>
      </w:r>
      <w:r>
        <w:rPr>
          <w:rFonts w:cs="Times New Roman"/>
        </w:rPr>
        <w:t xml:space="preserve">,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r>
        <w:rPr>
          <w:rFonts w:cs="Times New Roman"/>
        </w:rPr>
        <w:t>.</w:t>
      </w:r>
    </w:p>
    <w:p w14:paraId="14D9AD7C" w14:textId="77777777" w:rsidR="000B6D83" w:rsidRDefault="000B6D83" w:rsidP="000B6D83">
      <w:pPr>
        <w:rPr>
          <w:rFonts w:cs="Times New Roman"/>
        </w:rPr>
      </w:pPr>
    </w:p>
    <w:p w14:paraId="7DE12DF5" w14:textId="77777777" w:rsidR="000B6D83" w:rsidRDefault="000B6D83" w:rsidP="000B6D83">
      <w:pPr>
        <w:pStyle w:val="Heading3"/>
      </w:pPr>
      <w:r>
        <w:t>Digestive efficiency and chrono-disruption</w:t>
      </w:r>
    </w:p>
    <w:p w14:paraId="42AD0DE2" w14:textId="42FCFD4E" w:rsidR="000B6D83" w:rsidRDefault="000B6D83" w:rsidP="000B6D83">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3AD1CD2E" w14:textId="10790767" w:rsidR="0082283C" w:rsidRPr="0059728B" w:rsidRDefault="000B6D83" w:rsidP="00A33C49">
      <w:pPr>
        <w:rPr>
          <w:b/>
        </w:rPr>
      </w:pPr>
      <w:r>
        <w:rPr>
          <w:noProof/>
        </w:rPr>
        <w:lastRenderedPageBreak/>
        <mc:AlternateContent>
          <mc:Choice Requires="wps">
            <w:drawing>
              <wp:anchor distT="0" distB="0" distL="114300" distR="114300" simplePos="0" relativeHeight="251667456" behindDoc="0" locked="0" layoutInCell="1" allowOverlap="1" wp14:anchorId="641EC7F8" wp14:editId="3288EB03">
                <wp:simplePos x="0" y="0"/>
                <wp:positionH relativeFrom="column">
                  <wp:posOffset>-352035</wp:posOffset>
                </wp:positionH>
                <wp:positionV relativeFrom="paragraph">
                  <wp:posOffset>306998</wp:posOffset>
                </wp:positionV>
                <wp:extent cx="6625590" cy="29362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C7F8" id="Text Box 2" o:spid="_x0000_s1028"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" fillcolor="white [3201]" stroked="f" strokeweight=".5pt">
                <v:textbo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v:textbox>
                <w10:wrap type="square"/>
              </v:shape>
            </w:pict>
          </mc:Fallback>
        </mc:AlternateContent>
      </w:r>
      <w:bookmarkStart w:id="2" w:name="_Toc16185295"/>
      <w:bookmarkEnd w:id="0"/>
      <w:r w:rsidR="00EF0FA8" w:rsidRPr="00EB378F">
        <w:rPr>
          <w:rFonts w:cs="Times New Roman"/>
        </w:rPr>
        <w:br/>
      </w:r>
      <w:bookmarkEnd w:id="2"/>
    </w:p>
    <w:p w14:paraId="64EB5586" w14:textId="2D495527" w:rsidR="0082283C" w:rsidRDefault="0082283C" w:rsidP="00A33C49">
      <w:r>
        <w:t xml:space="preserve">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59728B" w:rsidRDefault="006D1DC0" w:rsidP="0059728B">
      <w:pPr>
        <w:pStyle w:val="Heading2"/>
      </w:pPr>
      <w:r w:rsidRPr="0059728B">
        <w:t xml:space="preserve">Aim 1.1 </w:t>
      </w:r>
      <w:r w:rsidR="004241AB" w:rsidRPr="0059728B">
        <w:t xml:space="preserve"> Assess the effects of eTRF on female f</w:t>
      </w:r>
      <w:r w:rsidRPr="0059728B">
        <w:t xml:space="preserve">ertility </w:t>
      </w:r>
      <w:r w:rsidR="0004750C" w:rsidRPr="0059728B">
        <w:t xml:space="preserve"> </w:t>
      </w:r>
    </w:p>
    <w:p w14:paraId="113D416D" w14:textId="731FF09B"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r>
        <w:t xml:space="preserve"> </w:t>
      </w:r>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 xml:space="preserve">I </w:t>
      </w:r>
      <w:r w:rsidR="00DD64F2">
        <w:rPr>
          <w:i/>
        </w:rPr>
        <w:t>predict</w:t>
      </w:r>
      <w:r w:rsidR="00DD64F2" w:rsidRPr="00634AD3">
        <w:rPr>
          <w:i/>
        </w:rPr>
        <w:t xml:space="preserve"> </w:t>
      </w:r>
      <w:r w:rsidR="0004750C" w:rsidRPr="00634AD3">
        <w:rPr>
          <w:i/>
        </w:rPr>
        <w:t>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5F0ADF4E" w:rsidR="00414BFB" w:rsidRDefault="00414BFB" w:rsidP="0059728B">
      <w:pPr>
        <w:pStyle w:val="Heading2"/>
      </w:pPr>
      <w:r w:rsidRPr="00414BFB">
        <w:t>Specific aim 1.2 Effects o</w:t>
      </w:r>
      <w:r w:rsidR="001B306C">
        <w:t>n</w:t>
      </w:r>
      <w:r w:rsidRPr="00414BFB">
        <w:t xml:space="preserve"> </w:t>
      </w:r>
      <w:r>
        <w:t>g</w:t>
      </w:r>
      <w:r w:rsidRPr="00414BFB">
        <w:t>estational health of the mother</w:t>
      </w:r>
    </w:p>
    <w:p w14:paraId="3F25A215" w14:textId="0FFFA91D" w:rsidR="009B0AFB" w:rsidRDefault="009B0AFB" w:rsidP="009B0AFB">
      <w:r>
        <w:t>To evaluate gestational health we will determine changes in food intake, body composition, and insulin sensitivity during pregnancy.</w:t>
      </w:r>
    </w:p>
    <w:p w14:paraId="07DB05B4" w14:textId="77777777" w:rsidR="009B0AFB" w:rsidRPr="00414BFB" w:rsidRDefault="009B0AFB" w:rsidP="00414BFB">
      <w:pPr>
        <w:rPr>
          <w:b/>
          <w:sz w:val="28"/>
          <w:szCs w:val="28"/>
        </w:rPr>
      </w:pPr>
    </w:p>
    <w:p w14:paraId="4BD17195" w14:textId="649E6577" w:rsidR="00414BFB" w:rsidRDefault="00414BFB" w:rsidP="0059728B">
      <w:pPr>
        <w:pStyle w:val="Heading3"/>
      </w:pPr>
      <w:r w:rsidRPr="00414BFB">
        <w:t xml:space="preserve">1.2.1 – </w:t>
      </w:r>
      <w:r w:rsidR="00FD08DB">
        <w:t>I</w:t>
      </w:r>
      <w:r w:rsidRPr="00414BFB">
        <w:t xml:space="preserve">nsulin </w:t>
      </w:r>
      <w:r w:rsidR="00FD08DB">
        <w:t>r</w:t>
      </w:r>
      <w:r w:rsidRPr="00414BFB">
        <w:t>esistance</w:t>
      </w:r>
      <w:r w:rsidR="00FD08DB">
        <w:t xml:space="preserve"> during p</w:t>
      </w:r>
      <w:r w:rsidRPr="00414BFB">
        <w:t>regnanc</w:t>
      </w:r>
      <w:r w:rsidR="00C9633A">
        <w:t>y</w:t>
      </w:r>
    </w:p>
    <w:p w14:paraId="222F0920" w14:textId="5B6B24D9" w:rsidR="00A33C49" w:rsidRDefault="00A33C49" w:rsidP="00414BFB">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This insulin resistance is related to having available nutrient to shunt toward the growing feto-placental unit</w:t>
      </w:r>
      <w:r w:rsidR="008A29BB">
        <w:t xml:space="preserve">. </w:t>
      </w:r>
    </w:p>
    <w:p w14:paraId="378E6AD7" w14:textId="77777777" w:rsidR="00BD46A4" w:rsidRDefault="00BD46A4" w:rsidP="00414BFB"/>
    <w:p w14:paraId="19476A37" w14:textId="039019CB" w:rsidR="008A29BB" w:rsidRDefault="008A29BB" w:rsidP="00414BFB">
      <w:r>
        <w:t xml:space="preserve">To compare the effects of eTRF to that of normal pregnancy, an experiment comparing insulin sensitivity </w:t>
      </w:r>
      <w:r w:rsidR="00AF346B">
        <w:t>between non-</w:t>
      </w:r>
      <w:r>
        <w:t xml:space="preserve">pregnant </w:t>
      </w:r>
      <w:r w:rsidR="009B0AFB">
        <w:t>and</w:t>
      </w:r>
      <w:r>
        <w:t xml:space="preserve"> pregnant AL </w:t>
      </w:r>
      <w:r w:rsidR="009B0AFB">
        <w:t xml:space="preserve">and eTRF </w:t>
      </w:r>
      <w:r>
        <w:t xml:space="preserve">females. </w:t>
      </w:r>
      <w:r w:rsidR="00CC2456">
        <w:t>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w:t>
      </w:r>
      <w:r w:rsidR="009B0AFB">
        <w:t>s</w:t>
      </w:r>
      <w:r w:rsidR="00CC2456">
        <w:t xml:space="preserve"> which will provide context to the level of insulin sensitivity. </w:t>
      </w:r>
    </w:p>
    <w:p w14:paraId="2F3C456D" w14:textId="77777777" w:rsidR="00AF346B" w:rsidRPr="00A33C49" w:rsidRDefault="00AF346B" w:rsidP="00414BFB"/>
    <w:p w14:paraId="3517E9D8" w14:textId="4A3A2ADB" w:rsidR="00414BFB" w:rsidRDefault="00414BFB" w:rsidP="0059728B">
      <w:pPr>
        <w:pStyle w:val="Heading3"/>
      </w:pPr>
      <w:r w:rsidRPr="00414BFB">
        <w:t xml:space="preserve">1.2.2 – </w:t>
      </w:r>
      <w:r w:rsidR="00FD08DB">
        <w:t>E</w:t>
      </w:r>
      <w:r w:rsidRPr="00414BFB">
        <w:t>ffect</w:t>
      </w:r>
      <w:r w:rsidR="00FD08DB">
        <w:t>s</w:t>
      </w:r>
      <w:r w:rsidRPr="00414BFB">
        <w:t xml:space="preserve"> of TRF of food intake, body composition, energy expenditure, and digestive efficiency</w:t>
      </w:r>
      <w:r w:rsidR="00FD08DB">
        <w:t xml:space="preserve"> during pregnancy</w:t>
      </w:r>
    </w:p>
    <w:p w14:paraId="18291D14" w14:textId="77777777" w:rsidR="00E55BB9" w:rsidRDefault="00E55BB9" w:rsidP="00414BFB">
      <w:pPr>
        <w:rPr>
          <w:rFonts w:cs="Times New Roman"/>
          <w:u w:val="single"/>
        </w:rPr>
      </w:pPr>
    </w:p>
    <w:p w14:paraId="658E4487" w14:textId="5443F9C8" w:rsidR="00414BFB" w:rsidRDefault="00414BFB" w:rsidP="00414BFB">
      <w:pPr>
        <w:rPr>
          <w:rFonts w:cs="Times New Roman"/>
        </w:rPr>
      </w:pPr>
      <w:r w:rsidRPr="0059728B">
        <w:rPr>
          <w:rStyle w:val="Heading4Char"/>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sidR="009B0AFB">
        <w:rPr>
          <w:rFonts w:cs="Times New Roman"/>
        </w:rPr>
        <w:t xml:space="preserve"> </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775D604A" w14:textId="77777777" w:rsidR="009B0AFB" w:rsidRDefault="009B0AFB" w:rsidP="00414BFB">
      <w:pPr>
        <w:rPr>
          <w:rFonts w:cs="Times New Roman"/>
        </w:rPr>
      </w:pPr>
    </w:p>
    <w:p w14:paraId="02EFCB4A" w14:textId="47023BD0" w:rsidR="00414BFB" w:rsidRPr="00414BFB" w:rsidRDefault="00414BFB" w:rsidP="00414BFB">
      <w:r>
        <w:t xml:space="preserve">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w:t>
      </w:r>
      <w:r w:rsidR="009B0AFB">
        <w:t xml:space="preserve">calorie </w:t>
      </w:r>
      <w:r>
        <w:t>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w:t>
      </w:r>
      <w:r w:rsidRPr="002F5016">
        <w:rPr>
          <w:i/>
        </w:rPr>
        <w:t xml:space="preserve">I do not </w:t>
      </w:r>
      <w:r w:rsidR="009B0AFB" w:rsidRPr="002F5016">
        <w:rPr>
          <w:i/>
        </w:rPr>
        <w:t xml:space="preserve">hypothesize </w:t>
      </w:r>
      <w:r w:rsidRPr="002F5016">
        <w:rPr>
          <w:i/>
        </w:rPr>
        <w:t>that dams assigned to eTRF treatment to be unable to consume necessary calories to continue a healthful pregnancy.</w:t>
      </w:r>
      <w:r>
        <w:t xml:space="preserve">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59728B">
      <w:pPr>
        <w:pStyle w:val="Heading4"/>
      </w:pPr>
      <w:r w:rsidRPr="00414BFB">
        <w:lastRenderedPageBreak/>
        <w:t>Aim 1.2.2.2: Maternal Body Composition</w:t>
      </w:r>
    </w:p>
    <w:p w14:paraId="0779B5C2" w14:textId="6FC7DC14" w:rsidR="00414BFB" w:rsidRDefault="00414BFB" w:rsidP="00414BFB">
      <w:pPr>
        <w:rPr>
          <w:rFonts w:cs="Times New Roman"/>
        </w:rPr>
      </w:pPr>
      <w:r>
        <w:rPr>
          <w:rFonts w:cs="Times New Roman"/>
        </w:rPr>
        <w:t>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isocaloric/eucaloric feeding is not employed as part of the study (stote,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When High fat diet is given, TRF stimulates body weight loss</w:t>
      </w:r>
      <w:r w:rsidR="004F2CF3">
        <w:rPr>
          <w:rFonts w:cs="Times New Roman"/>
        </w:rPr>
        <w:t>, in some cases secondary to reduced food intake</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{"citationID":"gAAz9F1K","properties":{"formattedCitation":"(Hatori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845D87">
        <w:rPr>
          <w:rFonts w:cs="Times New Roman"/>
        </w:rPr>
        <w:fldChar w:fldCharType="separate"/>
      </w:r>
      <w:r w:rsidR="00845D87">
        <w:rPr>
          <w:rFonts w:cs="Times New Roman"/>
          <w:noProof/>
        </w:rPr>
        <w:t>(Hatori et al., 2012)</w:t>
      </w:r>
      <w:r w:rsidR="00845D87">
        <w:rPr>
          <w:rFonts w:cs="Times New Roman"/>
        </w:rPr>
        <w:fldChar w:fldCharType="end"/>
      </w:r>
      <w:r w:rsidR="004F2CF3">
        <w:rPr>
          <w:rFonts w:cs="Times New Roman"/>
        </w:rPr>
        <w:t>, and in other cases through some other mechanism</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{"citationID":"Kvg9OEtR","properties":{"formattedCitation":"(Liu et al., 2019; Sherman et al., 2012)","plainCitation":"(Liu et al., 2019; Sherman et al., 2012)","noteIndex":0},"citationItems":[{"id":64,"uris":["http://zotero.org/users/5073745/items/97JC579J"],"uri":["http://zotero.org/users/5073745/items/97JC579J"],"itemData":{"id":64,"type":"article-journal","abstract":"Abstract.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845D87">
        <w:rPr>
          <w:rFonts w:cs="Times New Roman"/>
        </w:rPr>
        <w:fldChar w:fldCharType="separate"/>
      </w:r>
      <w:r w:rsidR="00845D87">
        <w:rPr>
          <w:rFonts w:cs="Times New Roman"/>
          <w:noProof/>
        </w:rPr>
        <w:t>(Liu et al., 2019; Sherman et al., 2012)</w:t>
      </w:r>
      <w:r w:rsidR="00845D87">
        <w:rPr>
          <w:rFonts w:cs="Times New Roman"/>
        </w:rPr>
        <w:fldChar w:fldCharType="end"/>
      </w:r>
      <w:r>
        <w:rPr>
          <w:rFonts w:cs="Times New Roman"/>
        </w:rPr>
        <w:t xml:space="preserve">.  We will monitor body composition (Fat mass, lean mass, free water) indirectly by EchoMRI </w:t>
      </w:r>
      <w:r w:rsidR="004F2CF3">
        <w:rPr>
          <w:rFonts w:cs="Times New Roman"/>
        </w:rPr>
        <w:t xml:space="preserve">before and during pregnancy. </w:t>
      </w:r>
      <w:r w:rsidR="004F2CF3" w:rsidRPr="00845D87">
        <w:rPr>
          <w:rFonts w:cs="Times New Roman"/>
          <w:i/>
        </w:rPr>
        <w:t>W</w:t>
      </w:r>
      <w:r w:rsidRPr="00845D87">
        <w:rPr>
          <w:rFonts w:cs="Times New Roman"/>
          <w:i/>
        </w:rPr>
        <w:t xml:space="preserve">e </w:t>
      </w:r>
      <w:r w:rsidR="004F2CF3" w:rsidRPr="00845D87">
        <w:rPr>
          <w:rFonts w:cs="Times New Roman"/>
          <w:i/>
        </w:rPr>
        <w:t xml:space="preserve">hypothesize that we will </w:t>
      </w:r>
      <w:r w:rsidRPr="00845D87">
        <w:rPr>
          <w:rFonts w:cs="Times New Roman"/>
          <w:i/>
        </w:rPr>
        <w:t xml:space="preserve">observe no differences in fat, lean, or </w:t>
      </w:r>
      <w:r w:rsidR="00E55BB9" w:rsidRPr="00845D87">
        <w:rPr>
          <w:rFonts w:cs="Times New Roman"/>
          <w:i/>
        </w:rPr>
        <w:t xml:space="preserve">free </w:t>
      </w:r>
      <w:r w:rsidRPr="00845D87">
        <w:rPr>
          <w:rFonts w:cs="Times New Roman"/>
          <w:i/>
        </w:rPr>
        <w:t>water content compared to gestational-age matched, ad libitum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59728B">
      <w:pPr>
        <w:pStyle w:val="Heading4"/>
      </w:pPr>
      <w:r w:rsidRPr="00414BFB">
        <w:t>Aim 1.2.2.3 Maternal Energy Expenditure:</w:t>
      </w:r>
    </w:p>
    <w:p w14:paraId="397730F2" w14:textId="45776236" w:rsidR="00414BFB" w:rsidRDefault="004F2CF3" w:rsidP="00414BFB">
      <w:pPr>
        <w:rPr>
          <w:rFonts w:cs="Times New Roman"/>
        </w:rPr>
      </w:pPr>
      <w:r>
        <w:rPr>
          <w:rFonts w:cs="Times New Roman"/>
        </w:rPr>
        <w:t>Studies</w:t>
      </w:r>
      <w:r w:rsidRPr="002069B3">
        <w:rPr>
          <w:rFonts w:cs="Times New Roman"/>
        </w:rPr>
        <w:t xml:space="preserve"> </w:t>
      </w:r>
      <w:r>
        <w:rPr>
          <w:rFonts w:cs="Times New Roman"/>
        </w:rPr>
        <w:t>o</w:t>
      </w:r>
      <w:r w:rsidR="00414BFB" w:rsidRPr="002069B3">
        <w:rPr>
          <w:rFonts w:cs="Times New Roman"/>
        </w:rPr>
        <w:t xml:space="preserve">n TRF of humans and animals have demonstrated mixed results with respect to energy expenditure. In some, energy expenditure is increased using this feeding strategy (Halberg, 2005; Gabel, 2018 ), while more </w:t>
      </w:r>
      <w:r w:rsidR="00E55BB9">
        <w:rPr>
          <w:rFonts w:cs="Times New Roman"/>
        </w:rPr>
        <w:t xml:space="preserve">either </w:t>
      </w:r>
      <w:r w:rsidR="00414BFB" w:rsidRPr="002069B3">
        <w:rPr>
          <w:rFonts w:cs="Times New Roman"/>
        </w:rPr>
        <w:t>fail to detect any significant increase in daily energy expenditure</w:t>
      </w:r>
      <w:r w:rsidR="00414BFB">
        <w:rPr>
          <w:rFonts w:cs="Times New Roman"/>
        </w:rPr>
        <w:t xml:space="preserve"> </w:t>
      </w:r>
      <w:r w:rsidR="00414BFB">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414BFB">
        <w:rPr>
          <w:rFonts w:cs="Times New Roman"/>
        </w:rPr>
        <w:fldChar w:fldCharType="separate"/>
      </w:r>
      <w:r w:rsidR="00737F57">
        <w:rPr>
          <w:rFonts w:cs="Times New Roman"/>
          <w:noProof/>
        </w:rPr>
        <w:t>(Chaix et al., 2019; Ravussin et al., 2019)</w:t>
      </w:r>
      <w:r w:rsidR="00414BFB">
        <w:rPr>
          <w:rFonts w:cs="Times New Roman"/>
        </w:rPr>
        <w:fldChar w:fldCharType="end"/>
      </w:r>
      <w:r w:rsidR="00E55BB9">
        <w:rPr>
          <w:rFonts w:cs="Times New Roman"/>
        </w:rPr>
        <w:t xml:space="preserve"> or leave this unexamined</w:t>
      </w:r>
      <w:r w:rsidR="00414BFB" w:rsidRPr="002069B3">
        <w:rPr>
          <w:rFonts w:cs="Times New Roman"/>
        </w:rPr>
        <w:t xml:space="preserve">. Based on preliminary results, </w:t>
      </w:r>
      <w:r>
        <w:rPr>
          <w:rFonts w:cs="Times New Roman"/>
        </w:rPr>
        <w:t xml:space="preserve">both </w:t>
      </w:r>
      <w:r w:rsidR="00414BFB"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any changes in one of these indices coul</w:t>
      </w:r>
      <w:r>
        <w:rPr>
          <w:rFonts w:cs="Times New Roman"/>
        </w:rPr>
        <w:t>d</w:t>
      </w:r>
      <w:r w:rsidR="00F21DE2">
        <w:rPr>
          <w:rFonts w:cs="Times New Roman"/>
        </w:rPr>
        <w:t xml:space="preserve"> be counter-balanced by the other (greater digestive efficiency paired with greater energy expenditure or lower digestive efficiency paired with lower energy expenditure).</w:t>
      </w:r>
      <w:r w:rsidR="00414BFB" w:rsidRPr="002069B3">
        <w:rPr>
          <w:rFonts w:cs="Times New Roman"/>
        </w:rPr>
        <w:t xml:space="preserve"> </w:t>
      </w:r>
    </w:p>
    <w:p w14:paraId="4D98116E" w14:textId="77777777" w:rsidR="004F2CF3" w:rsidRPr="002069B3" w:rsidRDefault="004F2CF3" w:rsidP="00414BFB">
      <w:pPr>
        <w:rPr>
          <w:rFonts w:cs="Times New Roman"/>
        </w:rPr>
      </w:pPr>
    </w:p>
    <w:p w14:paraId="328ABFD7" w14:textId="513AEE4B" w:rsidR="00414BFB" w:rsidRPr="00C000F1" w:rsidRDefault="00414BFB" w:rsidP="00F21DE2">
      <w:pPr>
        <w:rPr>
          <w:rFonts w:cs="Times New Roman"/>
          <w:i/>
        </w:rPr>
      </w:pPr>
      <w:r>
        <w:rPr>
          <w:rFonts w:cs="Times New Roman"/>
        </w:rPr>
        <w:t xml:space="preserve">Although significant differences in total daily energy expenditure is not often seen, there are often periods where </w:t>
      </w:r>
      <w:r w:rsidR="004F2CF3">
        <w:rPr>
          <w:rFonts w:cs="Times New Roman"/>
        </w:rPr>
        <w:t xml:space="preserve">lipid or carbohydrate oxidation </w:t>
      </w:r>
      <w:r>
        <w:rPr>
          <w:rFonts w:cs="Times New Roman"/>
        </w:rPr>
        <w:t xml:space="preserve">is distinct from </w:t>
      </w:r>
      <w:r w:rsidR="004F2CF3">
        <w:rPr>
          <w:rFonts w:cs="Times New Roman"/>
        </w:rPr>
        <w:t>AL</w:t>
      </w:r>
      <w:r>
        <w:rPr>
          <w:rFonts w:cs="Times New Roman"/>
        </w:rPr>
        <w:t xml:space="preserve"> controls. Namely, during the night, the </w:t>
      </w:r>
      <w:r w:rsidR="004F2CF3">
        <w:rPr>
          <w:rFonts w:cs="Times New Roman"/>
        </w:rPr>
        <w:t>carbohydrate oxidation</w:t>
      </w:r>
      <w:r>
        <w:rPr>
          <w:rFonts w:cs="Times New Roman"/>
        </w:rPr>
        <w:t xml:space="preserve"> lowers, resulting in greater fat utilization, and during the day, </w:t>
      </w:r>
      <w:r w:rsidR="004F2CF3">
        <w:rPr>
          <w:rFonts w:cs="Times New Roman"/>
        </w:rPr>
        <w:t xml:space="preserve">carbohydrate oxidation </w:t>
      </w:r>
      <w:r>
        <w:rPr>
          <w:rFonts w:cs="Times New Roman"/>
        </w:rPr>
        <w:t>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w:t>
      </w:r>
      <w:r w:rsidR="004F2CF3">
        <w:rPr>
          <w:rFonts w:cs="Times New Roman"/>
        </w:rPr>
        <w:t xml:space="preserve">digestive </w:t>
      </w:r>
      <w:r w:rsidR="00F21DE2">
        <w:rPr>
          <w:rFonts w:cs="Times New Roman"/>
        </w:rPr>
        <w:t>efficiency is different between eTRF and AL dams</w:t>
      </w:r>
      <w:r w:rsidR="004F2CF3">
        <w:rPr>
          <w:rFonts w:cs="Times New Roman"/>
        </w:rPr>
        <w:t xml:space="preserve"> (see Aim 1.2.2.4)</w:t>
      </w:r>
      <w:r w:rsidR="00F21DE2">
        <w:rPr>
          <w:rFonts w:cs="Times New Roman"/>
        </w:rPr>
        <w:t xml:space="preserve">, then I </w:t>
      </w:r>
      <w:r w:rsidR="004F2CF3">
        <w:rPr>
          <w:rFonts w:cs="Times New Roman"/>
        </w:rPr>
        <w:t>will</w:t>
      </w:r>
      <w:r w:rsidR="00F21DE2">
        <w:rPr>
          <w:rFonts w:cs="Times New Roman"/>
        </w:rPr>
        <w:t xml:space="preserve"> employ metabolic phenotyping wherein VO2, VCO2, locomotor activity, and food intake would be measured during pregnancy. </w:t>
      </w:r>
      <w:r w:rsidR="00F21DE2" w:rsidRPr="00C000F1">
        <w:rPr>
          <w:rFonts w:cs="Times New Roman"/>
          <w:i/>
        </w:rPr>
        <w:t xml:space="preserve">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59728B">
      <w:pPr>
        <w:pStyle w:val="Heading4"/>
        <w:rPr>
          <w:b/>
        </w:rPr>
      </w:pPr>
      <w:r w:rsidRPr="00414BFB">
        <w:t>Aim 1.2.2.4 Materna</w:t>
      </w:r>
      <w:r w:rsidR="00AB3067">
        <w:t>l</w:t>
      </w:r>
      <w:r w:rsidRPr="00414BFB">
        <w:t xml:space="preserve"> digestive efficiency</w:t>
      </w:r>
    </w:p>
    <w:p w14:paraId="1B3121EC" w14:textId="5CD49F5E"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3064D9">
        <w:t xml:space="preserve"> </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 xml:space="preserve">no </w:t>
      </w:r>
      <w:r w:rsidR="000F0FE1">
        <w:lastRenderedPageBreak/>
        <w:t>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w:t>
      </w:r>
      <w:r w:rsidR="003064D9">
        <w:t xml:space="preserve">efficient </w:t>
      </w:r>
      <w:r>
        <w:t xml:space="preserve">in dams fed eTRF. </w:t>
      </w:r>
      <w:r w:rsidR="00946F11">
        <w:t>We will determine this by first collecting feces and determining energy and fat content of unabsorbed food, and if this demonstrates a difference we will evaluate macronutrient transporters in the small intestine.</w:t>
      </w:r>
    </w:p>
    <w:p w14:paraId="76C6BFC4" w14:textId="34EF3260" w:rsidR="002E1770" w:rsidRDefault="002E1770" w:rsidP="00330625">
      <w:pPr>
        <w:pStyle w:val="Heading2"/>
      </w:pPr>
    </w:p>
    <w:p w14:paraId="6EDF4433" w14:textId="601DA770" w:rsidR="00330625" w:rsidRPr="0059728B" w:rsidRDefault="00330625" w:rsidP="0059728B">
      <w:pPr>
        <w:pStyle w:val="Heading2"/>
      </w:pPr>
      <w:r w:rsidRPr="0059728B">
        <w:t xml:space="preserve">Specific aim </w:t>
      </w:r>
      <w:r w:rsidR="00C9633A" w:rsidRPr="0059728B">
        <w:t>1.3</w:t>
      </w:r>
      <w:r w:rsidRPr="0059728B">
        <w:t xml:space="preserve"> </w:t>
      </w:r>
      <w:r w:rsidR="001041F5" w:rsidRPr="0059728B">
        <w:t>Determining how eTRF affects i</w:t>
      </w:r>
      <w:r w:rsidRPr="0059728B">
        <w:t>nsulin sensitivity and glycemia</w:t>
      </w:r>
      <w:r w:rsidR="001041F5" w:rsidRPr="0059728B">
        <w:t xml:space="preserve"> in pregnant mice</w:t>
      </w:r>
    </w:p>
    <w:p w14:paraId="6CAD6D85" w14:textId="77777777" w:rsidR="00FD08DB" w:rsidRPr="00FD08DB" w:rsidRDefault="00FD08DB" w:rsidP="002F5016"/>
    <w:p w14:paraId="6E002C10" w14:textId="6F522B54" w:rsidR="00074954" w:rsidRDefault="006C7185" w:rsidP="00D233E7">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1424D502" wp14:editId="4009271A">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4D502" id="_x0000_t202" coordsize="21600,21600" o:spt="202" path="m,l,21600r21600,l21600,xe">
                <v:stroke joinstyle="miter"/>
                <v:path gradientshapeok="t" o:connecttype="rect"/>
              </v:shapetype>
              <v:shape id="Text Box 9" o:spid="_x0000_s1029"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jfUAIAAKk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" fillcolor="white [3201]" strokeweight=".5pt">
                <v:textbo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v:textbox>
                <w10:wrap type="tight"/>
              </v:shape>
            </w:pict>
          </mc:Fallback>
        </mc:AlternateContent>
      </w:r>
      <w:r w:rsidR="00074954"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 xml:space="preserve">in </w:t>
      </w:r>
      <w:r w:rsidR="0076789D">
        <w:rPr>
          <w:rFonts w:cs="Times New Roman"/>
        </w:rPr>
        <w:t>one</w:t>
      </w:r>
      <w:r w:rsidR="004638BC">
        <w:rPr>
          <w:rFonts w:cs="Times New Roman"/>
        </w:rPr>
        <w:t xml:space="preserve"> human study, and only detectable by the use of</w:t>
      </w:r>
      <w:r w:rsidR="003B7873" w:rsidRPr="00A06EE7">
        <w:rPr>
          <w:rFonts w:cs="Times New Roman"/>
        </w:rPr>
        <w:t xml:space="preserve"> continuous glucose monitoring</w:t>
      </w:r>
      <w:r w:rsidR="0076789D">
        <w:rPr>
          <w:rFonts w:cs="Times New Roman"/>
        </w:rPr>
        <w:t>.  In this case the authors</w:t>
      </w:r>
      <w:r w:rsidR="003B7873" w:rsidRPr="00A06EE7">
        <w:rPr>
          <w:rFonts w:cs="Times New Roman"/>
        </w:rPr>
        <w:t xml:space="preserve">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76789D">
        <w:rPr>
          <w:rFonts w:cs="Times New Roman"/>
        </w:rPr>
        <w:t>This is supported by our preliminary data showing eTRF dependent insulin sensitization during both the first and third trimester (</w:t>
      </w:r>
      <w:r w:rsidR="0076789D" w:rsidRPr="00AC3B0B">
        <w:rPr>
          <w:rFonts w:cs="Times New Roman"/>
        </w:rPr>
        <w:t xml:space="preserve">Figure </w:t>
      </w:r>
      <w:r w:rsidR="002F5016" w:rsidRPr="00AC3B0B">
        <w:rPr>
          <w:rFonts w:cs="Times New Roman"/>
        </w:rPr>
        <w:t>4</w:t>
      </w:r>
      <w:r w:rsidR="0076789D" w:rsidRPr="00AC3B0B">
        <w:rPr>
          <w:rFonts w:cs="Times New Roman"/>
        </w:rPr>
        <w:t>).</w:t>
      </w:r>
      <w:r w:rsidR="0076789D">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hyperinsulinemic-euglycemic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r w:rsidR="00D52366">
        <w:rPr>
          <w:rFonts w:cs="Times New Roman"/>
        </w:rPr>
        <w:t xml:space="preserve"> The use of </w:t>
      </w:r>
      <w:r w:rsidR="00101F16">
        <w:rPr>
          <w:rFonts w:cs="Times New Roman"/>
        </w:rPr>
        <w:t xml:space="preserve">implanted </w:t>
      </w:r>
      <w:r w:rsidR="00D52366">
        <w:rPr>
          <w:rFonts w:cs="Times New Roman"/>
        </w:rPr>
        <w:t>continuous glucose telemetry in mice may also be</w:t>
      </w:r>
      <w:r w:rsidR="00101F16">
        <w:rPr>
          <w:rFonts w:cs="Times New Roman"/>
        </w:rPr>
        <w:t xml:space="preserve"> used to derive more understanding of glycemia over time than fasting blood glucose may provide. </w:t>
      </w:r>
    </w:p>
    <w:p w14:paraId="78E67E70" w14:textId="04EA4486" w:rsidR="0053627B" w:rsidRDefault="0053627B" w:rsidP="00D233E7">
      <w:pPr>
        <w:rPr>
          <w:rFonts w:cs="Times New Roman"/>
          <w:b/>
          <w:sz w:val="28"/>
          <w:szCs w:val="28"/>
        </w:rPr>
      </w:pPr>
    </w:p>
    <w:p w14:paraId="1040757A" w14:textId="505C1D8D" w:rsidR="00010B03" w:rsidRPr="00C9633A" w:rsidRDefault="00C9633A" w:rsidP="0059728B">
      <w:pPr>
        <w:pStyle w:val="Heading2"/>
      </w:pPr>
      <w:r w:rsidRPr="00C9633A">
        <w:lastRenderedPageBreak/>
        <w:t>Specific aim 1.4 Molecular Mechanisms driving effects of eTRF in pregnancy</w:t>
      </w:r>
    </w:p>
    <w:p w14:paraId="2A05646D" w14:textId="7B7C6928" w:rsidR="0053627B" w:rsidRDefault="00C0263D" w:rsidP="00520E9F">
      <w:pPr>
        <w:ind w:firstLine="720"/>
        <w:rPr>
          <w:rFonts w:cs="Times New Roman"/>
        </w:rPr>
      </w:pPr>
      <w:r w:rsidRPr="009E0819">
        <w:rPr>
          <w:rFonts w:cs="Times New Roman"/>
        </w:rPr>
        <w:t>After observation of the effects that eTRF have on fertility, food intake, body co</w:t>
      </w:r>
      <w:r w:rsidR="00B6593C">
        <w:rPr>
          <w:rFonts w:cs="Times New Roman"/>
        </w:rPr>
        <w:t>m</w:t>
      </w:r>
      <w:r w:rsidRPr="009E0819">
        <w:rPr>
          <w:rFonts w:cs="Times New Roman"/>
        </w:rPr>
        <w:t xml:space="preserve">position, and maternal insulin resistance, it will be the </w:t>
      </w:r>
      <w:r w:rsidR="00057FB2">
        <w:rPr>
          <w:rFonts w:cs="Times New Roman"/>
        </w:rPr>
        <w:t xml:space="preserve">next </w:t>
      </w:r>
      <w:r w:rsidRPr="009E0819">
        <w:rPr>
          <w:rFonts w:cs="Times New Roman"/>
        </w:rPr>
        <w:t xml:space="preserve">goal of this dissertation to detect the molecular drivers of these effects. </w:t>
      </w:r>
      <w:r w:rsidR="006C7185">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w:t>
      </w:r>
      <w:r w:rsidR="00520E9F">
        <w:rPr>
          <w:rFonts w:cs="Times New Roman"/>
        </w:rPr>
        <w:t>Candidate</w:t>
      </w:r>
      <w:r w:rsidR="006C7185">
        <w:rPr>
          <w:rFonts w:cs="Times New Roman"/>
        </w:rPr>
        <w:t xml:space="preserve"> hormones </w:t>
      </w:r>
      <w:r w:rsidR="00520E9F">
        <w:rPr>
          <w:rFonts w:cs="Times New Roman"/>
        </w:rPr>
        <w:t>will be investigated by</w:t>
      </w:r>
      <w:r w:rsidR="006C7185">
        <w:rPr>
          <w:rFonts w:cs="Times New Roman"/>
        </w:rPr>
        <w:t xml:space="preserve"> ELISA</w:t>
      </w:r>
      <w:r w:rsidR="00520E9F">
        <w:rPr>
          <w:rFonts w:cs="Times New Roman"/>
        </w:rPr>
        <w:t>, and if the candidate is altered between feeding regimens in</w:t>
      </w:r>
      <w:r w:rsidR="006C7185">
        <w:rPr>
          <w:rFonts w:cs="Times New Roman"/>
        </w:rPr>
        <w:t xml:space="preserve"> </w:t>
      </w:r>
      <w:r w:rsidR="00520E9F">
        <w:rPr>
          <w:rFonts w:cs="Times New Roman"/>
        </w:rPr>
        <w:t>maternal blood samples, evaluation of the role of that hormone in a genetic knockout mouse for that hormone will be considered.</w:t>
      </w:r>
      <w:r w:rsidR="00057FB2">
        <w:rPr>
          <w:rFonts w:cs="Times New Roman"/>
        </w:rPr>
        <w:t xml:space="preserve"> </w:t>
      </w:r>
      <w:r w:rsidR="0053627B">
        <w:rPr>
          <w:rFonts w:cs="Times New Roman"/>
        </w:rPr>
        <w:t xml:space="preserve">I propose three </w:t>
      </w:r>
      <w:r w:rsidR="00057FB2">
        <w:rPr>
          <w:rFonts w:cs="Times New Roman"/>
        </w:rPr>
        <w:t xml:space="preserve">initial </w:t>
      </w:r>
      <w:r w:rsidR="0053627B">
        <w:rPr>
          <w:rFonts w:cs="Times New Roman"/>
        </w:rPr>
        <w:t>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 </w:t>
      </w:r>
    </w:p>
    <w:p w14:paraId="5B48F952" w14:textId="64075BCB" w:rsidR="0053627B" w:rsidRDefault="009E0819" w:rsidP="0053627B">
      <w:pPr>
        <w:ind w:firstLine="720"/>
        <w:rPr>
          <w:rFonts w:cs="Times New Roman"/>
        </w:rPr>
      </w:pPr>
      <w:r>
        <w:rPr>
          <w:rFonts w:cs="Times New Roman"/>
        </w:rPr>
        <w:t xml:space="preserve">Glucocorticoids are stress-induced hormones derived from steroids and is released in a diurnal pattern. </w:t>
      </w:r>
      <w:r w:rsidR="00156EE2">
        <w:rPr>
          <w:rFonts w:cs="Times New Roman"/>
        </w:rPr>
        <w:t>Elevations in g</w:t>
      </w:r>
      <w:r>
        <w:rPr>
          <w:rFonts w:cs="Times New Roman"/>
        </w:rPr>
        <w:t>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0AA5B337"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 xml:space="preserve">mechanism </w:t>
      </w:r>
      <w:r w:rsidR="00156EE2">
        <w:rPr>
          <w:rFonts w:cs="Times New Roman"/>
        </w:rPr>
        <w:t>is</w:t>
      </w:r>
      <w:r w:rsidR="00A33C49">
        <w:rPr>
          <w:rFonts w:cs="Times New Roman"/>
        </w:rPr>
        <w:t xml:space="preserve"> growth and differentiation factor, GDF15</w:t>
      </w:r>
      <w:r w:rsidR="00A33C49" w:rsidRPr="00074954">
        <w:rPr>
          <w:rFonts w:cs="Times New Roman"/>
        </w:rPr>
        <w:t xml:space="preserve">. </w:t>
      </w:r>
      <w:r w:rsidR="00A33C49">
        <w:rPr>
          <w:rFonts w:cs="Times New Roman"/>
        </w:rPr>
        <w:t xml:space="preserve">The effects of GDF15 are known to be </w:t>
      </w:r>
      <w:r w:rsidR="00156EE2">
        <w:rPr>
          <w:rFonts w:cs="Times New Roman"/>
        </w:rPr>
        <w:t xml:space="preserve">exclusively </w:t>
      </w:r>
      <w:r w:rsidR="00A33C49">
        <w:rPr>
          <w:rFonts w:cs="Times New Roman"/>
        </w:rPr>
        <w:t xml:space="preserve">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w:t>
      </w:r>
      <w:r w:rsidR="00156EE2">
        <w:rPr>
          <w:rFonts w:cs="Times New Roman"/>
        </w:rPr>
        <w:t xml:space="preserve">it </w:t>
      </w:r>
      <w:r w:rsidR="00A33C49">
        <w:rPr>
          <w:rFonts w:cs="Times New Roman"/>
        </w:rPr>
        <w:t>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w:t>
      </w:r>
      <w:r w:rsidR="00156EE2">
        <w:rPr>
          <w:rFonts w:cs="Times New Roman"/>
        </w:rPr>
        <w:t xml:space="preserve">elevated </w:t>
      </w:r>
      <w:r>
        <w:rPr>
          <w:rFonts w:cs="Times New Roman"/>
        </w:rPr>
        <w:t xml:space="preserve">in </w:t>
      </w:r>
      <w:r w:rsidR="00156EE2">
        <w:rPr>
          <w:rFonts w:cs="Times New Roman"/>
        </w:rPr>
        <w:t>I</w:t>
      </w:r>
      <w:r>
        <w:rPr>
          <w:rFonts w:cs="Times New Roman"/>
        </w:rPr>
        <w:t>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Sugulle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t>
      </w:r>
      <w:r w:rsidR="00156EE2">
        <w:rPr>
          <w:rFonts w:cs="Times New Roman"/>
        </w:rPr>
        <w:t>reduced</w:t>
      </w:r>
      <w:r w:rsidR="00A33C49">
        <w:rPr>
          <w:rFonts w:cs="Times New Roman"/>
        </w:rPr>
        <w:t xml:space="preserv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1F30C646" w14:textId="0B274478" w:rsidR="00737F57" w:rsidRDefault="004B030F" w:rsidP="00156EE2">
      <w:pPr>
        <w:ind w:firstLine="720"/>
      </w:pPr>
      <w:r w:rsidRPr="00A413DD">
        <w:lastRenderedPageBreak/>
        <w:t>One of the few fairly consistent findings of time-restricted feeding trials in both humans and animals is a</w:t>
      </w:r>
      <w:r w:rsidR="00F628D5">
        <w:t xml:space="preserve"> </w:t>
      </w:r>
      <w:r w:rsidR="00200583">
        <w:t xml:space="preserve">reduction in insulin. </w:t>
      </w:r>
      <w:r w:rsidR="00400B8B">
        <w:t xml:space="preserve">Insulin concentration increases are known to be a part of the natural history of type II diabetes disease progression. </w:t>
      </w:r>
      <w:r w:rsidR="003E46E3">
        <w:t xml:space="preserve">To test the role of insulin in the effects of eTRF, serum insulin will be measured in both eTRF and AL dams and compared. </w:t>
      </w:r>
      <w:r w:rsidR="0042416C">
        <w:t xml:space="preserve">The tissues specific-mechanisms of insulin signaling can also be investigated. </w:t>
      </w:r>
    </w:p>
    <w:p w14:paraId="7C7A591A" w14:textId="7CB92C68" w:rsidR="00156EE2" w:rsidRDefault="00156EE2" w:rsidP="00156EE2">
      <w:pPr>
        <w:ind w:firstLine="720"/>
        <w:rPr>
          <w:rStyle w:val="SubtleEmphasis"/>
          <w:i w:val="0"/>
          <w:iCs w:val="0"/>
          <w:color w:val="auto"/>
        </w:rPr>
      </w:pPr>
    </w:p>
    <w:p w14:paraId="66E99C9F" w14:textId="38090166" w:rsidR="00156EE2" w:rsidRPr="00156EE2" w:rsidRDefault="00156EE2" w:rsidP="00156EE2">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w:t>
      </w:r>
      <w:r w:rsidR="00ED0212">
        <w:rPr>
          <w:rStyle w:val="SubtleEmphasis"/>
          <w:i w:val="0"/>
          <w:iCs w:val="0"/>
          <w:color w:val="auto"/>
        </w:rPr>
        <w:t xml:space="preserve">for use in a new population, expectant mothers. </w:t>
      </w:r>
    </w:p>
    <w:p w14:paraId="4E936ADA" w14:textId="08770C6F" w:rsidR="002F5016" w:rsidRDefault="002F5016" w:rsidP="00B67A65">
      <w:pPr>
        <w:pStyle w:val="Heading2"/>
      </w:pPr>
      <w:bookmarkStart w:id="3" w:name="_Toc16185296"/>
    </w:p>
    <w:p w14:paraId="4BFF8011" w14:textId="77777777" w:rsidR="002F5016" w:rsidRPr="00A33C49" w:rsidRDefault="002F5016" w:rsidP="0059728B">
      <w:pPr>
        <w:pStyle w:val="Heading2"/>
        <w:rPr>
          <w:rStyle w:val="SubtleEmphasis"/>
          <w:b w:val="0"/>
          <w:i w:val="0"/>
          <w:color w:val="000000" w:themeColor="text1"/>
          <w:sz w:val="28"/>
          <w:szCs w:val="28"/>
        </w:rPr>
      </w:pPr>
      <w:r w:rsidRPr="00A33C49">
        <w:rPr>
          <w:rStyle w:val="SubtleEmphasis"/>
          <w:i w:val="0"/>
          <w:color w:val="000000" w:themeColor="text1"/>
          <w:sz w:val="28"/>
          <w:szCs w:val="28"/>
        </w:rPr>
        <w:t>Potential Pitfalls and Alternative</w:t>
      </w:r>
      <w:r>
        <w:rPr>
          <w:rStyle w:val="SubtleEmphasis"/>
          <w:i w:val="0"/>
          <w:color w:val="000000" w:themeColor="text1"/>
          <w:sz w:val="28"/>
          <w:szCs w:val="28"/>
        </w:rPr>
        <w:t xml:space="preserve"> Approaches</w:t>
      </w:r>
    </w:p>
    <w:p w14:paraId="23E0F561"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Fertility-specific pitfalls</w:t>
      </w:r>
    </w:p>
    <w:p w14:paraId="08323E9E" w14:textId="77777777" w:rsidR="002F5016" w:rsidRDefault="002F5016" w:rsidP="002F5016">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post mort</w:t>
      </w:r>
      <w:r>
        <w:rPr>
          <w:rStyle w:val="SubtleEmphasis"/>
          <w:color w:val="000000" w:themeColor="text1"/>
        </w:rPr>
        <w:t>e</w:t>
      </w:r>
      <w:r w:rsidRPr="00F21DE2">
        <w:rPr>
          <w:rStyle w:val="SubtleEmphasis"/>
          <w:color w:val="000000" w:themeColor="text1"/>
        </w:rPr>
        <w:t>m</w:t>
      </w:r>
      <w:r>
        <w:rPr>
          <w:rStyle w:val="SubtleEmphasis"/>
          <w:i w:val="0"/>
          <w:color w:val="000000" w:themeColor="text1"/>
        </w:rPr>
        <w:t xml:space="preserve"> for implantations will be critical. If implantations largely correllates with number of pups produced per dam, it will be necessary to observe and characterize mating behavior and frequency. </w:t>
      </w:r>
    </w:p>
    <w:p w14:paraId="0A98E59B" w14:textId="77777777" w:rsidR="002F5016" w:rsidRDefault="002F5016" w:rsidP="002F5016">
      <w:pPr>
        <w:rPr>
          <w:rStyle w:val="SubtleEmphasis"/>
          <w:color w:val="000000" w:themeColor="text1"/>
          <w:u w:val="single"/>
        </w:rPr>
      </w:pPr>
    </w:p>
    <w:p w14:paraId="26AD133F"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Maternal nurturing behavioral pitfalls</w:t>
      </w:r>
    </w:p>
    <w:p w14:paraId="58C82A9B" w14:textId="77777777" w:rsidR="002F5016" w:rsidRPr="00F21DE2" w:rsidRDefault="002F5016" w:rsidP="002F5016">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12176A88" w14:textId="77777777" w:rsidR="002F5016" w:rsidRDefault="002F5016" w:rsidP="002F5016">
      <w:pPr>
        <w:rPr>
          <w:rStyle w:val="SubtleEmphasis"/>
          <w:color w:val="000000" w:themeColor="text1"/>
          <w:u w:val="single"/>
        </w:rPr>
      </w:pPr>
    </w:p>
    <w:p w14:paraId="275E9E4D"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Null Findings</w:t>
      </w:r>
    </w:p>
    <w:p w14:paraId="73EBC0F8" w14:textId="77777777" w:rsidR="002F5016" w:rsidRDefault="002F5016" w:rsidP="002F5016">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This would require further experimentation and phenotyping to confirm. </w:t>
      </w:r>
    </w:p>
    <w:p w14:paraId="3656D17F" w14:textId="77777777" w:rsidR="002F5016" w:rsidRDefault="002F5016" w:rsidP="002F5016">
      <w:pPr>
        <w:rPr>
          <w:rStyle w:val="SubtleEmphasis"/>
          <w:color w:val="000000" w:themeColor="text1"/>
          <w:u w:val="single"/>
        </w:rPr>
      </w:pPr>
    </w:p>
    <w:p w14:paraId="3BAFC217"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Circadian rhythm of hormones and metabolism</w:t>
      </w:r>
    </w:p>
    <w:p w14:paraId="60B5B4BC" w14:textId="77777777" w:rsidR="002F5016" w:rsidRPr="004B370A" w:rsidRDefault="002F5016" w:rsidP="002F5016">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w:t>
      </w:r>
      <w:r>
        <w:rPr>
          <w:rStyle w:val="SubtleEmphasis"/>
          <w:i w:val="0"/>
          <w:color w:val="000000" w:themeColor="text1"/>
        </w:rPr>
        <w:lastRenderedPageBreak/>
        <w:t xml:space="preserve">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p>
    <w:p w14:paraId="5A24ACA1" w14:textId="77777777" w:rsidR="002F5016" w:rsidRPr="002F5016" w:rsidRDefault="002F5016" w:rsidP="002F5016"/>
    <w:p w14:paraId="55B90EF2" w14:textId="4442B7D6" w:rsidR="00926E95" w:rsidRPr="0059728B" w:rsidRDefault="00330625" w:rsidP="0059728B">
      <w:pPr>
        <w:pStyle w:val="Heading2"/>
      </w:pPr>
      <w:r>
        <w:br/>
      </w:r>
      <w:r w:rsidR="00926E95" w:rsidRPr="0059728B">
        <w:t>Methods:</w:t>
      </w:r>
      <w:bookmarkEnd w:id="3"/>
    </w:p>
    <w:p w14:paraId="377F3ADF" w14:textId="0177593B" w:rsidR="00926E95" w:rsidRPr="00F96DB1" w:rsidRDefault="00926E95" w:rsidP="00926E95">
      <w:pPr>
        <w:rPr>
          <w:rFonts w:cs="Times New Roman"/>
        </w:rPr>
      </w:pPr>
    </w:p>
    <w:p w14:paraId="27025880" w14:textId="18AE8D51" w:rsidR="00926E95" w:rsidRPr="0059728B" w:rsidRDefault="00926E95" w:rsidP="0059728B">
      <w:pPr>
        <w:pStyle w:val="Heading3"/>
      </w:pPr>
      <w:bookmarkStart w:id="4" w:name="_Toc16185297"/>
      <w:r w:rsidRPr="0059728B">
        <w:t>Animals:</w:t>
      </w:r>
      <w:bookmarkEnd w:id="4"/>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r w:rsidR="007A5566">
        <w:rPr>
          <w:rFonts w:cs="Times New Roman"/>
        </w:rPr>
        <w:t>Hatori,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5" w:name="_Toc16185298"/>
      <w:r w:rsidRPr="00F96DB1">
        <w:t>Mating:</w:t>
      </w:r>
      <w:bookmarkEnd w:id="5"/>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6" w:name="_Toc16185299"/>
      <w:r w:rsidRPr="00F96DB1">
        <w:t>Body Composition:</w:t>
      </w:r>
      <w:bookmarkEnd w:id="6"/>
    </w:p>
    <w:p w14:paraId="578A693E" w14:textId="62C80037"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r w:rsidR="00FE3190">
        <w:rPr>
          <w:rFonts w:eastAsia="Times New Roman" w:cs="Times New Roman"/>
          <w:color w:val="000000"/>
        </w:rPr>
        <w:t xml:space="preserve"> This technique has been described previously by members of our lab </w:t>
      </w:r>
      <w:r w:rsidR="00694898">
        <w:rPr>
          <w:rFonts w:eastAsia="Times New Roman" w:cs="Times New Roman"/>
          <w:color w:val="000000"/>
        </w:rPr>
        <w:fldChar w:fldCharType="begin"/>
      </w:r>
      <w:r w:rsidR="00694898">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eastAsia="Times New Roman" w:cs="Times New Roman"/>
          <w:color w:val="000000"/>
        </w:rPr>
        <w:fldChar w:fldCharType="separate"/>
      </w:r>
      <w:r w:rsidR="00694898">
        <w:rPr>
          <w:rFonts w:eastAsia="Times New Roman" w:cs="Times New Roman"/>
          <w:noProof/>
          <w:color w:val="000000"/>
        </w:rPr>
        <w:t>(Harvey et al., 2018)</w:t>
      </w:r>
      <w:r w:rsidR="00694898">
        <w:rPr>
          <w:rFonts w:eastAsia="Times New Roman" w:cs="Times New Roman"/>
          <w:color w:val="000000"/>
        </w:rPr>
        <w:fldChar w:fldCharType="end"/>
      </w:r>
      <w:r w:rsidR="00FE3190">
        <w:rPr>
          <w:rFonts w:eastAsia="Times New Roman" w:cs="Times New Roman"/>
          <w:color w:val="000000"/>
        </w:rPr>
        <w:t xml:space="preserve">. </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7" w:name="_Toc16185300"/>
      <w:r w:rsidRPr="00F96DB1">
        <w:t>Insulin Sensitivity:</w:t>
      </w:r>
      <w:bookmarkEnd w:id="7"/>
    </w:p>
    <w:p w14:paraId="7B34AB87" w14:textId="005E2C01" w:rsidR="004469CF" w:rsidRPr="004469CF" w:rsidRDefault="004469CF" w:rsidP="0059728B">
      <w:pPr>
        <w:pStyle w:val="Heading4"/>
      </w:pPr>
      <w:r w:rsidRPr="004469CF">
        <w:t>Insulin tolerance test:</w:t>
      </w:r>
    </w:p>
    <w:p w14:paraId="15C0DC82" w14:textId="4CFC3FB4"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w:t>
      </w:r>
      <w:r w:rsidR="0001091A">
        <w:rPr>
          <w:rFonts w:eastAsia="Times New Roman" w:cs="Times New Roman"/>
          <w:color w:val="000000"/>
        </w:rPr>
        <w:t>blood glucose</w:t>
      </w:r>
      <w:r w:rsidR="00F866FE" w:rsidRPr="00F96DB1">
        <w:rPr>
          <w:rFonts w:eastAsia="Times New Roman" w:cs="Times New Roman"/>
          <w:color w:val="000000"/>
        </w:rPr>
        <w:t xml:space="preserve"> measurements were omitted from the ITT.</w:t>
      </w:r>
    </w:p>
    <w:p w14:paraId="3C8A12AA" w14:textId="77777777" w:rsidR="007A5566" w:rsidRDefault="007A5566" w:rsidP="00926E95">
      <w:pPr>
        <w:rPr>
          <w:rFonts w:cs="Times New Roman"/>
          <w:i/>
        </w:rPr>
      </w:pPr>
    </w:p>
    <w:p w14:paraId="6E90D3E9" w14:textId="09092CBC" w:rsidR="004469CF" w:rsidRDefault="004469CF" w:rsidP="0059728B">
      <w:pPr>
        <w:pStyle w:val="Heading4"/>
      </w:pPr>
      <w:r w:rsidRPr="004469CF">
        <w:lastRenderedPageBreak/>
        <w:t>Hyperinsulinemic-euglycemic clamp:</w:t>
      </w:r>
    </w:p>
    <w:p w14:paraId="3A39D829" w14:textId="1C71CDE7" w:rsidR="004469CF"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062BF">
        <w:rPr>
          <w:rFonts w:cs="Times New Roman"/>
        </w:rPr>
        <w:t xml:space="preserve">and pending the results of the insulin tolerance tests,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694898">
        <w:rPr>
          <w:rFonts w:cs="Times New Roman"/>
        </w:rPr>
        <w:t>. Glucose will be infused and rate of infusion required to maintain steady blood glucose will be recorded for each dam.</w:t>
      </w:r>
      <w:r w:rsidR="004469CF">
        <w:rPr>
          <w:rFonts w:cs="Times New Roman"/>
        </w:rPr>
        <w:t xml:space="preserv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r w:rsidR="00694898">
        <w:rPr>
          <w:rFonts w:cs="Times New Roman"/>
        </w:rPr>
        <w:t xml:space="preserve"> This technique has been employed previously in our lab </w:t>
      </w:r>
      <w:r w:rsidR="00694898">
        <w:rPr>
          <w:rFonts w:cs="Times New Roman"/>
        </w:rPr>
        <w:fldChar w:fldCharType="begin"/>
      </w:r>
      <w:r w:rsidR="00694898">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cs="Times New Roman"/>
        </w:rPr>
        <w:fldChar w:fldCharType="separate"/>
      </w:r>
      <w:r w:rsidR="00694898">
        <w:rPr>
          <w:rFonts w:cs="Times New Roman"/>
          <w:noProof/>
        </w:rPr>
        <w:t>(Harvey et al., 2018)</w:t>
      </w:r>
      <w:r w:rsidR="00694898">
        <w:rPr>
          <w:rFonts w:cs="Times New Roman"/>
        </w:rPr>
        <w:fldChar w:fldCharType="end"/>
      </w:r>
      <w:r w:rsidR="00694898">
        <w:rPr>
          <w:rFonts w:cs="Times New Roman"/>
        </w:rPr>
        <w:t xml:space="preserve">. </w:t>
      </w:r>
    </w:p>
    <w:p w14:paraId="452081C4" w14:textId="77777777" w:rsidR="00694898" w:rsidRPr="00F96DB1" w:rsidRDefault="00694898" w:rsidP="00926E95">
      <w:pPr>
        <w:rPr>
          <w:rFonts w:cs="Times New Roman"/>
        </w:rPr>
      </w:pPr>
    </w:p>
    <w:p w14:paraId="7E760E26" w14:textId="33888E56" w:rsidR="007A5566" w:rsidRDefault="007A5566" w:rsidP="007A5566">
      <w:pPr>
        <w:pStyle w:val="Heading3"/>
      </w:pPr>
      <w:r>
        <w:t>Glycemia:</w:t>
      </w:r>
    </w:p>
    <w:p w14:paraId="3EE107EF" w14:textId="421C497F" w:rsidR="00694898" w:rsidRPr="00694898" w:rsidRDefault="00694898" w:rsidP="0059728B">
      <w:pPr>
        <w:pStyle w:val="Heading4"/>
      </w:pPr>
      <w:r>
        <w:t>Fasting blood glucose</w:t>
      </w:r>
    </w:p>
    <w:p w14:paraId="452CD82F" w14:textId="6CB38ACF" w:rsidR="00694898" w:rsidRDefault="00F628D5" w:rsidP="00C50689">
      <w:r>
        <w:t xml:space="preserve">Fasting blood glucose will be assessed with a tail vein blood collection and a glucometer immediately preceding the insulin tolerance test. </w:t>
      </w:r>
    </w:p>
    <w:p w14:paraId="344BA3DC" w14:textId="77777777" w:rsidR="006C2188" w:rsidRDefault="006C2188" w:rsidP="0059728B">
      <w:pPr>
        <w:pStyle w:val="Heading4"/>
      </w:pPr>
    </w:p>
    <w:p w14:paraId="7609B00B" w14:textId="7FAD3EB5" w:rsidR="00694898" w:rsidRPr="00694898" w:rsidRDefault="00694898" w:rsidP="0059728B">
      <w:pPr>
        <w:pStyle w:val="Heading4"/>
      </w:pPr>
      <w:r w:rsidRPr="00694898">
        <w:t>Continuous Glucose Monitoring</w:t>
      </w:r>
    </w:p>
    <w:p w14:paraId="1863F68C" w14:textId="3C9065A2" w:rsidR="00C50689" w:rsidRPr="00C50689" w:rsidRDefault="00F628D5" w:rsidP="00C50689">
      <w:r>
        <w:t>However, a</w:t>
      </w:r>
      <w:r w:rsidR="00DF1B2B">
        <w:t xml:space="preserve">s Jamshed and </w:t>
      </w:r>
      <w:r w:rsidR="00694898">
        <w:t>Hutchison</w:t>
      </w:r>
      <w:r w:rsidR="00DF1B2B">
        <w:t xml:space="preserve">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694898">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694898">
        <w:rPr>
          <w:noProof/>
        </w:rPr>
        <w:t>(Hutchison et al., 2019; 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t>
      </w:r>
      <w:r w:rsidR="00E5133C">
        <w:t>may</w:t>
      </w:r>
      <w:r w:rsidR="00384B6A">
        <w:t xml:space="preserve">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8" w:name="_Toc16185301"/>
    </w:p>
    <w:p w14:paraId="4CA93DEF" w14:textId="31655D08" w:rsidR="00926E95" w:rsidRPr="00F96DB1" w:rsidRDefault="00926E95" w:rsidP="00B67A65">
      <w:pPr>
        <w:pStyle w:val="Heading3"/>
      </w:pPr>
      <w:r w:rsidRPr="00F96DB1">
        <w:t>Energy Expenditure:</w:t>
      </w:r>
      <w:bookmarkEnd w:id="8"/>
    </w:p>
    <w:p w14:paraId="13B9E7E6" w14:textId="29FC3169" w:rsidR="00926E95" w:rsidRPr="00F96DB1" w:rsidRDefault="006C7185" w:rsidP="00926E95">
      <w:pPr>
        <w:rPr>
          <w:rFonts w:cs="Times New Roman"/>
        </w:rPr>
      </w:pPr>
      <w:r>
        <w:rPr>
          <w:rFonts w:cs="Times New Roman"/>
        </w:rPr>
        <w:t xml:space="preserve">As body composition and food intake are similar in both eTRF and AL maternal groups, it is unlikely that we will need to do metabolic phenotyping of these animals, as differences in their energy expenditure would likely manifest as differences in food intake and body composition. </w:t>
      </w:r>
      <w:r w:rsidR="00342A8F">
        <w:rPr>
          <w:rFonts w:cs="Times New Roman"/>
        </w:rPr>
        <w:t>If warranted indirect calorimetry will be performed at the MMPC animal phenotyping core.</w:t>
      </w:r>
    </w:p>
    <w:p w14:paraId="1428CC1E" w14:textId="77777777" w:rsidR="00B115EC" w:rsidRDefault="00B115EC" w:rsidP="00B67A65">
      <w:pPr>
        <w:pStyle w:val="Heading3"/>
      </w:pPr>
      <w:bookmarkStart w:id="9" w:name="_Toc16185302"/>
    </w:p>
    <w:p w14:paraId="5E020F83" w14:textId="2DAAFFEC" w:rsidR="00926E95" w:rsidRPr="00F96DB1" w:rsidRDefault="00926E95" w:rsidP="00B67A65">
      <w:pPr>
        <w:pStyle w:val="Heading3"/>
      </w:pPr>
      <w:r w:rsidRPr="00F96DB1">
        <w:t>Digestive Physiology:</w:t>
      </w:r>
      <w:bookmarkEnd w:id="9"/>
    </w:p>
    <w:p w14:paraId="28CFB8DE" w14:textId="5A4C2886" w:rsidR="00976A3C" w:rsidRDefault="0057571A" w:rsidP="0059728B">
      <w:pPr>
        <w:pStyle w:val="Heading4"/>
      </w:pPr>
      <w: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633B913A" w14:textId="77777777" w:rsidR="00057FB2" w:rsidRDefault="00057FB2" w:rsidP="00926E95">
      <w:pPr>
        <w:rPr>
          <w:rFonts w:cs="Times New Roman"/>
          <w:i/>
        </w:rPr>
      </w:pPr>
    </w:p>
    <w:p w14:paraId="0A234B0D" w14:textId="40AA6042" w:rsidR="00976A3C" w:rsidRPr="00976A3C" w:rsidRDefault="00976A3C" w:rsidP="0059728B">
      <w:pPr>
        <w:pStyle w:val="Heading4"/>
      </w:pPr>
      <w:r w:rsidRPr="004B370A">
        <w:lastRenderedPageBreak/>
        <w:t>Macronutrient absorption</w:t>
      </w:r>
      <w:r w:rsidR="00A57F80" w:rsidRPr="004B370A">
        <w:t xml:space="preserve"> into portal circulation</w:t>
      </w:r>
    </w:p>
    <w:p w14:paraId="4374F4F1" w14:textId="2AE01B31" w:rsidR="00EE3952" w:rsidRDefault="00057FB2" w:rsidP="00926E95">
      <w:pPr>
        <w:rPr>
          <w:rFonts w:cs="Times New Roman"/>
        </w:rPr>
      </w:pPr>
      <w:r>
        <w:rPr>
          <w:rFonts w:cs="Times New Roman"/>
        </w:rPr>
        <w:t>M</w:t>
      </w:r>
      <w:r w:rsidR="00681D4E">
        <w:rPr>
          <w:rFonts w:cs="Times New Roman"/>
        </w:rPr>
        <w:t>acronutrient absorption</w:t>
      </w:r>
      <w:r w:rsidR="004A327E">
        <w:rPr>
          <w:rFonts w:cs="Times New Roman"/>
        </w:rPr>
        <w:t xml:space="preserve"> </w:t>
      </w:r>
      <w:r>
        <w:rPr>
          <w:rFonts w:cs="Times New Roman"/>
        </w:rPr>
        <w:t xml:space="preserve">will </w:t>
      </w:r>
      <w:r w:rsidR="004A327E">
        <w:rPr>
          <w:rFonts w:cs="Times New Roman"/>
        </w:rPr>
        <w:t>be assessed in vivo</w:t>
      </w:r>
      <w:r>
        <w:rPr>
          <w:rFonts w:cs="Times New Roman"/>
        </w:rPr>
        <w:t>, pending the results of the energy absorotion experiments.</w:t>
      </w:r>
      <w:r w:rsidR="004A327E">
        <w:rPr>
          <w:rFonts w:cs="Times New Roman"/>
        </w:rPr>
        <w:t xml:space="preserve">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jejeunal loop will be made and a mixture of </w:t>
      </w:r>
      <w:r w:rsidR="00C4112F">
        <w:rPr>
          <w:rFonts w:cs="Times New Roman"/>
        </w:rPr>
        <w:t xml:space="preserve"> PBS/radiolabeled macronutrient solution (</w:t>
      </w:r>
      <w:r w:rsidR="004A327E">
        <w:rPr>
          <w:rFonts w:cs="Times New Roman"/>
        </w:rPr>
        <w:t>PBS/ [</w:t>
      </w:r>
      <w:r w:rsidR="004A327E" w:rsidRPr="004A327E">
        <w:rPr>
          <w:rFonts w:cs="Times New Roman"/>
          <w:vertAlign w:val="superscript"/>
        </w:rPr>
        <w:t>3</w:t>
      </w:r>
      <w:r w:rsidR="004A327E">
        <w:rPr>
          <w:rFonts w:cs="Times New Roman"/>
        </w:rPr>
        <w:t>H] Triolein/[</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C] alpha Methylglucoside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H]glycylsarcosine (gly-sar) for protein</w:t>
      </w:r>
      <w:r w:rsidR="00C4112F">
        <w:rPr>
          <w:rFonts w:cs="Times New Roman"/>
        </w:rPr>
        <w:t>)</w:t>
      </w:r>
      <w:r w:rsidR="00E7221B">
        <w:rPr>
          <w:rFonts w:cs="Times New Roman"/>
        </w:rPr>
        <w:t xml:space="preserve"> will be introduced to the lumen of the loop via microsyringe.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r w:rsidR="00EE3952">
        <w:rPr>
          <w:rFonts w:cs="Times New Roman"/>
        </w:rPr>
        <w:t>Given that maternal food intake is similar between treatment groups, it is unlikely we will need to run this set of experiments</w:t>
      </w:r>
    </w:p>
    <w:p w14:paraId="1155D371" w14:textId="40097E00" w:rsidR="00991F1C" w:rsidRDefault="00991F1C" w:rsidP="00926E95">
      <w:pPr>
        <w:rPr>
          <w:rFonts w:cs="Times New Roman"/>
        </w:rPr>
      </w:pPr>
    </w:p>
    <w:p w14:paraId="4733A742" w14:textId="5D60676B" w:rsidR="00991F1C" w:rsidRDefault="00991F1C" w:rsidP="00991F1C">
      <w:pPr>
        <w:pStyle w:val="Heading3"/>
      </w:pPr>
      <w:r>
        <w:t>Maternal Blood ELISAs</w:t>
      </w:r>
    </w:p>
    <w:p w14:paraId="2A149053" w14:textId="127AEE9D" w:rsidR="00E77202" w:rsidRDefault="00991F1C" w:rsidP="00991F1C">
      <w:r>
        <w:t xml:space="preserve">Maternal blood will be used determine insulin, corticosterone, and GDF15 concentrations. An enzyme-linked immunosorbent assay (ELISA) will be run specific to each hormone and manufacturer protocol will be followed. </w:t>
      </w:r>
    </w:p>
    <w:p w14:paraId="1120AD4B" w14:textId="77777777" w:rsidR="00991F1C" w:rsidRDefault="00991F1C" w:rsidP="00991F1C"/>
    <w:p w14:paraId="40AE625C" w14:textId="77777777" w:rsidR="00725CF0" w:rsidRDefault="00725CF0" w:rsidP="00725CF0">
      <w:pPr>
        <w:rPr>
          <w:rStyle w:val="SubtleEmphasis"/>
          <w:i w:val="0"/>
        </w:rPr>
      </w:pPr>
      <w:r>
        <w:rPr>
          <w:rStyle w:val="SubtleEmphasis"/>
          <w:i w:val="0"/>
        </w:rPr>
        <w:br w:type="page"/>
      </w:r>
    </w:p>
    <w:p w14:paraId="0EAE93A7" w14:textId="340C0F94" w:rsidR="0071231F" w:rsidRPr="0071231F" w:rsidRDefault="0071231F" w:rsidP="0071231F">
      <w:pPr>
        <w:pStyle w:val="Heading2"/>
        <w:rPr>
          <w:rStyle w:val="SubtleEmphasis"/>
          <w:i w:val="0"/>
          <w:iCs w:val="0"/>
          <w:color w:val="auto"/>
        </w:rPr>
      </w:pPr>
      <w:r w:rsidRPr="0071231F">
        <w:lastRenderedPageBreak/>
        <w:t>References</w:t>
      </w:r>
      <w:r w:rsidR="00581B4B" w:rsidRPr="0071231F">
        <w:t xml:space="preserve"> </w:t>
      </w:r>
      <w:r w:rsidR="004638BC" w:rsidRPr="0071231F">
        <w:rPr>
          <w:rStyle w:val="SubtleEmphasis"/>
          <w:i w:val="0"/>
          <w:iCs w:val="0"/>
          <w:color w:val="auto"/>
        </w:rPr>
        <w:t xml:space="preserve"> </w:t>
      </w:r>
    </w:p>
    <w:p w14:paraId="6962E04D" w14:textId="77777777" w:rsidR="00532F0B" w:rsidRPr="00532F0B" w:rsidRDefault="004638BC" w:rsidP="00532F0B">
      <w:pPr>
        <w:pStyle w:val="Bibliography"/>
      </w:pPr>
      <w:r>
        <w:rPr>
          <w:rStyle w:val="SubtleEmphasis"/>
          <w:i w:val="0"/>
        </w:rPr>
        <w:t xml:space="preserve">   </w:t>
      </w:r>
      <w:r w:rsidR="00B115EC">
        <w:rPr>
          <w:rStyle w:val="SubtleEmphasis"/>
          <w:i w:val="0"/>
        </w:rPr>
        <w:fldChar w:fldCharType="begin"/>
      </w:r>
      <w:r w:rsidR="00532F0B">
        <w:rPr>
          <w:rStyle w:val="SubtleEmphasis"/>
          <w:i w:val="0"/>
        </w:rPr>
        <w:instrText xml:space="preserve"> ADDIN ZOTERO_BIBL {"uncited":[],"omitted":[],"custom":[]} CSL_BIBLIOGRAPHY </w:instrText>
      </w:r>
      <w:r w:rsidR="00B115EC">
        <w:rPr>
          <w:rStyle w:val="SubtleEmphasis"/>
          <w:i w:val="0"/>
        </w:rPr>
        <w:fldChar w:fldCharType="separate"/>
      </w:r>
      <w:r w:rsidR="00532F0B" w:rsidRPr="00532F0B">
        <w:t xml:space="preserve">Anson, R. M., Guo, Z., de Cabo, R., Iyun, T., Rios, M., Hagepanos, A., … Mattson, M. P. (2003). Intermittent fasting dissociates beneficial effects of dietary restriction on glucose metabolism and neuronal resistance to injury from calorie intake. </w:t>
      </w:r>
      <w:r w:rsidR="00532F0B" w:rsidRPr="00532F0B">
        <w:rPr>
          <w:i/>
          <w:iCs/>
        </w:rPr>
        <w:t>Proceedings of the National Academy of Sciences of the United States of America</w:t>
      </w:r>
      <w:r w:rsidR="00532F0B" w:rsidRPr="00532F0B">
        <w:t xml:space="preserve">, </w:t>
      </w:r>
      <w:r w:rsidR="00532F0B" w:rsidRPr="00532F0B">
        <w:rPr>
          <w:i/>
          <w:iCs/>
        </w:rPr>
        <w:t>100</w:t>
      </w:r>
      <w:r w:rsidR="00532F0B" w:rsidRPr="00532F0B">
        <w:t>(10), 6216–6220. https://doi.org/10.1073/pnas.1035720100</w:t>
      </w:r>
    </w:p>
    <w:p w14:paraId="1143C863" w14:textId="77777777" w:rsidR="00532F0B" w:rsidRPr="00532F0B" w:rsidRDefault="00532F0B" w:rsidP="00532F0B">
      <w:pPr>
        <w:pStyle w:val="Bibliography"/>
      </w:pPr>
      <w:r w:rsidRPr="00532F0B">
        <w:t xml:space="preserve">Barlow, S. M., Morrison, P. J., &amp; Sullivan, F. M. (1974). PLASMA CORTICOSTERONE LEVELS DURING PREGNANCY IN THE MOUSE: THE RELATIVE CONTRIBUTIONS OF THE ADRENAL GLANDS AND FOETO-PLACENTAL UNITS. </w:t>
      </w:r>
      <w:r w:rsidRPr="00532F0B">
        <w:rPr>
          <w:i/>
          <w:iCs/>
        </w:rPr>
        <w:t>Journal of Endocrinology</w:t>
      </w:r>
      <w:r w:rsidRPr="00532F0B">
        <w:t xml:space="preserve">, </w:t>
      </w:r>
      <w:r w:rsidRPr="00532F0B">
        <w:rPr>
          <w:i/>
          <w:iCs/>
        </w:rPr>
        <w:t>60</w:t>
      </w:r>
      <w:r w:rsidRPr="00532F0B">
        <w:t>(3), 473–483. https://doi.org/10.1677/joe.0.0600473</w:t>
      </w:r>
    </w:p>
    <w:p w14:paraId="706B2C58" w14:textId="77777777" w:rsidR="00532F0B" w:rsidRPr="00532F0B" w:rsidRDefault="00532F0B" w:rsidP="00532F0B">
      <w:pPr>
        <w:pStyle w:val="Bibliography"/>
      </w:pPr>
      <w:r w:rsidRPr="00532F0B">
        <w:t xml:space="preserve">Bellamy, L., Casas, J.-P., Hingorani, A. D., &amp; Williams, D. (2009). Type 2 diabetes mellitus after gestational diabetes: A systematic review and meta-analysis. </w:t>
      </w:r>
      <w:r w:rsidRPr="00532F0B">
        <w:rPr>
          <w:i/>
          <w:iCs/>
        </w:rPr>
        <w:t>The Lancet</w:t>
      </w:r>
      <w:r w:rsidRPr="00532F0B">
        <w:t xml:space="preserve">, </w:t>
      </w:r>
      <w:r w:rsidRPr="00532F0B">
        <w:rPr>
          <w:i/>
          <w:iCs/>
        </w:rPr>
        <w:t>373</w:t>
      </w:r>
      <w:r w:rsidRPr="00532F0B">
        <w:t>(9677), 1773–1779. https://doi.org/10.1016/S0140-6736(09)60731-5</w:t>
      </w:r>
    </w:p>
    <w:p w14:paraId="5A911684" w14:textId="77777777" w:rsidR="00532F0B" w:rsidRPr="00532F0B" w:rsidRDefault="00532F0B" w:rsidP="00532F0B">
      <w:pPr>
        <w:pStyle w:val="Bibliography"/>
      </w:pPr>
      <w:r w:rsidRPr="00532F0B">
        <w:t xml:space="preserve">Caligioni, C. S. (2009). Assessing reproductive status/stages in mice. </w:t>
      </w:r>
      <w:r w:rsidRPr="00532F0B">
        <w:rPr>
          <w:i/>
          <w:iCs/>
        </w:rPr>
        <w:t>Current Protocols in Neuroscience</w:t>
      </w:r>
      <w:r w:rsidRPr="00532F0B">
        <w:t xml:space="preserve">, </w:t>
      </w:r>
      <w:r w:rsidRPr="00532F0B">
        <w:rPr>
          <w:i/>
          <w:iCs/>
        </w:rPr>
        <w:t>Appendix 4</w:t>
      </w:r>
      <w:r w:rsidRPr="00532F0B">
        <w:t>, Appendix 4I. https://doi.org/10.1002/0471142301.nsa04is48</w:t>
      </w:r>
    </w:p>
    <w:p w14:paraId="0B19AB2F" w14:textId="77777777" w:rsidR="00532F0B" w:rsidRPr="00532F0B" w:rsidRDefault="00532F0B" w:rsidP="00532F0B">
      <w:pPr>
        <w:pStyle w:val="Bibliography"/>
      </w:pPr>
      <w:r w:rsidRPr="00532F0B">
        <w:t xml:space="preserve">Chaix, A., Lin, T., Le, H. D., Chang, M. W., &amp; Panda, S. (2019). Time-Restricted Feeding Prevents Obesity and Metabolic Syndrome in Mice Lacking a Circadian Clock. </w:t>
      </w:r>
      <w:r w:rsidRPr="00532F0B">
        <w:rPr>
          <w:i/>
          <w:iCs/>
        </w:rPr>
        <w:t>Cell Metabolism</w:t>
      </w:r>
      <w:r w:rsidRPr="00532F0B">
        <w:t xml:space="preserve">, </w:t>
      </w:r>
      <w:r w:rsidRPr="00532F0B">
        <w:rPr>
          <w:i/>
          <w:iCs/>
        </w:rPr>
        <w:t>29</w:t>
      </w:r>
      <w:r w:rsidRPr="00532F0B">
        <w:t>(2), 303-319.e4. https://doi.org/10.1016/j.cmet.2018.08.004</w:t>
      </w:r>
    </w:p>
    <w:p w14:paraId="72C8ECC2" w14:textId="77777777" w:rsidR="00532F0B" w:rsidRPr="00532F0B" w:rsidRDefault="00532F0B" w:rsidP="00532F0B">
      <w:pPr>
        <w:pStyle w:val="Bibliography"/>
      </w:pPr>
      <w:r w:rsidRPr="00532F0B">
        <w:t xml:space="preserve">Cho, N. H., Shaw, J. E., Karuranga, S., Huang, Y., da Rocha Fernandes, J. D., Ohlrogge, A. W., &amp; Malanda, B. (2018). IDF Diabetes Atlas: Global estimates of diabetes prevalence for 2017 and projections for 2045. </w:t>
      </w:r>
      <w:r w:rsidRPr="00532F0B">
        <w:rPr>
          <w:i/>
          <w:iCs/>
        </w:rPr>
        <w:t>Diabetes Research and Clinical Practice</w:t>
      </w:r>
      <w:r w:rsidRPr="00532F0B">
        <w:t xml:space="preserve">, </w:t>
      </w:r>
      <w:r w:rsidRPr="00532F0B">
        <w:rPr>
          <w:i/>
          <w:iCs/>
        </w:rPr>
        <w:t>138</w:t>
      </w:r>
      <w:r w:rsidRPr="00532F0B">
        <w:t>, 271–281. https://doi.org/10.1016/j.diabres.2018.02.023</w:t>
      </w:r>
    </w:p>
    <w:p w14:paraId="212FC1A5" w14:textId="77777777" w:rsidR="00532F0B" w:rsidRPr="00532F0B" w:rsidRDefault="00532F0B" w:rsidP="00532F0B">
      <w:pPr>
        <w:pStyle w:val="Bibliography"/>
      </w:pPr>
      <w:r w:rsidRPr="00532F0B">
        <w:lastRenderedPageBreak/>
        <w:t xml:space="preserve">Daley, A., Pallan, M., Clifford, S., Jolly, K., Bryant, M., Adab, P., … Roalfe, A. (2017). Are babies conceived during Ramadan born smaller and sooner than babies conceived at other times of the year? A Born in Bradford Cohort Study. </w:t>
      </w:r>
      <w:r w:rsidRPr="00532F0B">
        <w:rPr>
          <w:i/>
          <w:iCs/>
        </w:rPr>
        <w:t>Journal of Epidemiology and Community Health</w:t>
      </w:r>
      <w:r w:rsidRPr="00532F0B">
        <w:t xml:space="preserve">, </w:t>
      </w:r>
      <w:r w:rsidRPr="00532F0B">
        <w:rPr>
          <w:i/>
          <w:iCs/>
        </w:rPr>
        <w:t>71</w:t>
      </w:r>
      <w:r w:rsidRPr="00532F0B">
        <w:t>(7), 722–728. https://doi.org/10.1136/jech-2016-208800</w:t>
      </w:r>
    </w:p>
    <w:p w14:paraId="40249176" w14:textId="77777777" w:rsidR="00532F0B" w:rsidRPr="00532F0B" w:rsidRDefault="00532F0B" w:rsidP="00532F0B">
      <w:pPr>
        <w:pStyle w:val="Bibliography"/>
      </w:pPr>
      <w:r w:rsidRPr="00532F0B">
        <w:t xml:space="preserve">Dube, S., Slama, M. Q., Basu, A., Rizza, R. A., &amp; Basu, R. (2015). Glucocorticoid Excess Increases Hepatic 11β-HSD-1 Activity in Humans: Implications in Steroid-Induced Diabetes. </w:t>
      </w:r>
      <w:r w:rsidRPr="00532F0B">
        <w:rPr>
          <w:i/>
          <w:iCs/>
        </w:rPr>
        <w:t>The Journal of Clinical Endocrinology and Metabolism</w:t>
      </w:r>
      <w:r w:rsidRPr="00532F0B">
        <w:t xml:space="preserve">, </w:t>
      </w:r>
      <w:r w:rsidRPr="00532F0B">
        <w:rPr>
          <w:i/>
          <w:iCs/>
        </w:rPr>
        <w:t>100</w:t>
      </w:r>
      <w:r w:rsidRPr="00532F0B">
        <w:t>(11), 4155–4162. https://doi.org/10.1210/jc.2015-2673</w:t>
      </w:r>
    </w:p>
    <w:p w14:paraId="55ED3063" w14:textId="77777777" w:rsidR="00532F0B" w:rsidRPr="00532F0B" w:rsidRDefault="00532F0B" w:rsidP="00532F0B">
      <w:pPr>
        <w:pStyle w:val="Bibliography"/>
      </w:pPr>
      <w:r w:rsidRPr="00532F0B">
        <w:t xml:space="preserve">Fisher, A. L., &amp; Nemeth, E. (2017). Iron homeostasis during pregnancy. </w:t>
      </w:r>
      <w:r w:rsidRPr="00532F0B">
        <w:rPr>
          <w:i/>
          <w:iCs/>
        </w:rPr>
        <w:t>The American Journal of Clinical Nutrition</w:t>
      </w:r>
      <w:r w:rsidRPr="00532F0B">
        <w:t xml:space="preserve">, </w:t>
      </w:r>
      <w:r w:rsidRPr="00532F0B">
        <w:rPr>
          <w:i/>
          <w:iCs/>
        </w:rPr>
        <w:t>106</w:t>
      </w:r>
      <w:r w:rsidRPr="00532F0B">
        <w:t>(Suppl 6), 1567S-1574S. https://doi.org/10.3945/ajcn.117.155812</w:t>
      </w:r>
    </w:p>
    <w:p w14:paraId="07661B9D" w14:textId="77777777" w:rsidR="00532F0B" w:rsidRPr="00532F0B" w:rsidRDefault="00532F0B" w:rsidP="00532F0B">
      <w:pPr>
        <w:pStyle w:val="Bibliography"/>
      </w:pPr>
      <w:r w:rsidRPr="00532F0B">
        <w:t xml:space="preserve">Gabel, K., Hoddy, K. K., Haggerty, N., Song, J., Kroeger, C. M., Trepanowski, J. F., … Varady, K. A. (n.d.). Effects of 8-hour time restricted feeding on body weight and metabolic disease risk factors in obese adults: A pilot study. </w:t>
      </w:r>
      <w:r w:rsidRPr="00532F0B">
        <w:rPr>
          <w:i/>
          <w:iCs/>
        </w:rPr>
        <w:t>Nutrition and Healthy Aging</w:t>
      </w:r>
      <w:r w:rsidRPr="00532F0B">
        <w:t xml:space="preserve">, </w:t>
      </w:r>
      <w:r w:rsidRPr="00532F0B">
        <w:rPr>
          <w:i/>
          <w:iCs/>
        </w:rPr>
        <w:t>4</w:t>
      </w:r>
      <w:r w:rsidRPr="00532F0B">
        <w:t>(4), 345–353. https://doi.org/10.3233/NHA-170036</w:t>
      </w:r>
    </w:p>
    <w:p w14:paraId="733DFABF" w14:textId="77777777" w:rsidR="00532F0B" w:rsidRPr="00532F0B" w:rsidRDefault="00532F0B" w:rsidP="00532F0B">
      <w:pPr>
        <w:pStyle w:val="Bibliography"/>
      </w:pPr>
      <w:r w:rsidRPr="00532F0B">
        <w:t xml:space="preserve">Goldstein, R. F., Abell, S. K., Ranasinha, S., Misso, M., Boyle, J. A., Black, M. H., … Teede, H. J. (2017). Association of Gestational Weight Gain With Maternal and Infant Outcomes: A Systematic Review and Meta-analysis. </w:t>
      </w:r>
      <w:r w:rsidRPr="00532F0B">
        <w:rPr>
          <w:i/>
          <w:iCs/>
        </w:rPr>
        <w:t>JAMA</w:t>
      </w:r>
      <w:r w:rsidRPr="00532F0B">
        <w:t xml:space="preserve">, </w:t>
      </w:r>
      <w:r w:rsidRPr="00532F0B">
        <w:rPr>
          <w:i/>
          <w:iCs/>
        </w:rPr>
        <w:t>317</w:t>
      </w:r>
      <w:r w:rsidRPr="00532F0B">
        <w:t>(21), 2207–2225. https://doi.org/10.1001/jama.2017.3635</w:t>
      </w:r>
    </w:p>
    <w:p w14:paraId="2BC971BE" w14:textId="77777777" w:rsidR="00532F0B" w:rsidRPr="00532F0B" w:rsidRDefault="00532F0B" w:rsidP="00532F0B">
      <w:pPr>
        <w:pStyle w:val="Bibliography"/>
      </w:pPr>
      <w:r w:rsidRPr="00532F0B">
        <w:t xml:space="preserve">Halberg, N., Henriksen, M., Söderhamn, N., Stallknecht, B., Ploug, T., Schjerling, P., &amp; Dela, F. (2005). Effect of intermittent fasting and refeeding on insulin action in healthy men. </w:t>
      </w:r>
      <w:r w:rsidRPr="00532F0B">
        <w:rPr>
          <w:i/>
          <w:iCs/>
        </w:rPr>
        <w:t>Journal of Applied Physiology</w:t>
      </w:r>
      <w:r w:rsidRPr="00532F0B">
        <w:t xml:space="preserve">, </w:t>
      </w:r>
      <w:r w:rsidRPr="00532F0B">
        <w:rPr>
          <w:i/>
          <w:iCs/>
        </w:rPr>
        <w:t>99</w:t>
      </w:r>
      <w:r w:rsidRPr="00532F0B">
        <w:t>(6), 2128–2136. https://doi.org/10.1152/japplphysiol.00683.2005</w:t>
      </w:r>
    </w:p>
    <w:p w14:paraId="6A1D3F57" w14:textId="77777777" w:rsidR="00532F0B" w:rsidRPr="00532F0B" w:rsidRDefault="00532F0B" w:rsidP="00532F0B">
      <w:pPr>
        <w:pStyle w:val="Bibliography"/>
      </w:pPr>
      <w:r w:rsidRPr="00532F0B">
        <w:lastRenderedPageBreak/>
        <w:t xml:space="preserve">Harvey, I., Stephenson, E. J., Redd, J. R., Tran, Q. T., Hochberg, I., Qi, N., &amp; Bridges, D. (2018). Glucocorticoid-Induced Metabolic Disturbances Are Exacerbated in Obese Male Mice. </w:t>
      </w:r>
      <w:r w:rsidRPr="00532F0B">
        <w:rPr>
          <w:i/>
          <w:iCs/>
        </w:rPr>
        <w:t>Endocrinology</w:t>
      </w:r>
      <w:r w:rsidRPr="00532F0B">
        <w:t xml:space="preserve">, </w:t>
      </w:r>
      <w:r w:rsidRPr="00532F0B">
        <w:rPr>
          <w:i/>
          <w:iCs/>
        </w:rPr>
        <w:t>159</w:t>
      </w:r>
      <w:r w:rsidRPr="00532F0B">
        <w:t>(6), 2275–2287. https://doi.org/10.1210/en.2018-00147</w:t>
      </w:r>
    </w:p>
    <w:p w14:paraId="7F13EB15" w14:textId="77777777" w:rsidR="00532F0B" w:rsidRPr="00532F0B" w:rsidRDefault="00532F0B" w:rsidP="00532F0B">
      <w:pPr>
        <w:pStyle w:val="Bibliography"/>
      </w:pPr>
      <w:r w:rsidRPr="00532F0B">
        <w:t xml:space="preserve">Hatori, M., Vollmers, C., Zarrinpar, A., DiTacchio, L., Bushong, E. A., Gill, S., … Panda, S. (2012). Time-Restricted Feeding without Reducing Caloric Intake Prevents Metabolic Diseases in Mice Fed a High-Fat Diet. </w:t>
      </w:r>
      <w:r w:rsidRPr="00532F0B">
        <w:rPr>
          <w:i/>
          <w:iCs/>
        </w:rPr>
        <w:t>Cell Metabolism</w:t>
      </w:r>
      <w:r w:rsidRPr="00532F0B">
        <w:t xml:space="preserve">, </w:t>
      </w:r>
      <w:r w:rsidRPr="00532F0B">
        <w:rPr>
          <w:i/>
          <w:iCs/>
        </w:rPr>
        <w:t>15</w:t>
      </w:r>
      <w:r w:rsidRPr="00532F0B">
        <w:t>(6), 848–860. https://doi.org/10.1016/j.cmet.2012.04.019</w:t>
      </w:r>
    </w:p>
    <w:p w14:paraId="3A2E75D9" w14:textId="77777777" w:rsidR="00532F0B" w:rsidRPr="00532F0B" w:rsidRDefault="00532F0B" w:rsidP="00532F0B">
      <w:pPr>
        <w:pStyle w:val="Bibliography"/>
      </w:pPr>
      <w:r w:rsidRPr="00532F0B">
        <w:t xml:space="preserve">Heijmans, B. T., Tobi, E. W., Stein, A. D., Putter, H., Blauw, G. J., Susser, E. S., … Lumey, L. H. (2008). Persistent epigenetic differences associated with prenatal exposure to famine in humans. </w:t>
      </w:r>
      <w:r w:rsidRPr="00532F0B">
        <w:rPr>
          <w:i/>
          <w:iCs/>
        </w:rPr>
        <w:t>Proceedings of the National Academy of Sciences of the United States of America</w:t>
      </w:r>
      <w:r w:rsidRPr="00532F0B">
        <w:t xml:space="preserve">, </w:t>
      </w:r>
      <w:r w:rsidRPr="00532F0B">
        <w:rPr>
          <w:i/>
          <w:iCs/>
        </w:rPr>
        <w:t>105</w:t>
      </w:r>
      <w:r w:rsidRPr="00532F0B">
        <w:t>(44), 17046–17049. https://doi.org/10.1073/pnas.0806560105</w:t>
      </w:r>
    </w:p>
    <w:p w14:paraId="236BCAFE" w14:textId="77777777" w:rsidR="00532F0B" w:rsidRPr="00532F0B" w:rsidRDefault="00532F0B" w:rsidP="00532F0B">
      <w:pPr>
        <w:pStyle w:val="Bibliography"/>
      </w:pPr>
      <w:r w:rsidRPr="00532F0B">
        <w:t xml:space="preserve">Heyne, G. W., Plisch, E. H., Melberg, C. G., Sandgren, E. P., Peter, J. A., &amp; Lipinski, R. J. (2015). A Simple and Reliable Method for Early Pregnancy Detection in Inbred Mice. </w:t>
      </w:r>
      <w:r w:rsidRPr="00532F0B">
        <w:rPr>
          <w:i/>
          <w:iCs/>
        </w:rPr>
        <w:t>Journal of the American Association for Laboratory Animal Science : JAALAS</w:t>
      </w:r>
      <w:r w:rsidRPr="00532F0B">
        <w:t xml:space="preserve">, </w:t>
      </w:r>
      <w:r w:rsidRPr="00532F0B">
        <w:rPr>
          <w:i/>
          <w:iCs/>
        </w:rPr>
        <w:t>54</w:t>
      </w:r>
      <w:r w:rsidRPr="00532F0B">
        <w:t>(4), 368–371.</w:t>
      </w:r>
    </w:p>
    <w:p w14:paraId="79573ED9" w14:textId="77777777" w:rsidR="00532F0B" w:rsidRPr="00532F0B" w:rsidRDefault="00532F0B" w:rsidP="00532F0B">
      <w:pPr>
        <w:pStyle w:val="Bibliography"/>
      </w:pPr>
      <w:r w:rsidRPr="00532F0B">
        <w:t xml:space="preserve">Hızlı, D., Yılmaz, S. S., Onaran, Y., Kafalı, H., Danışman, N., &amp; Mollamahmutoğlu, L. (2012). Impact of maternal fasting during Ramadan on fetal Doppler parameters, maternal lipid levels and neonatal outcomes. </w:t>
      </w:r>
      <w:r w:rsidRPr="00532F0B">
        <w:rPr>
          <w:i/>
          <w:iCs/>
        </w:rPr>
        <w:t>The Journal of Maternal-Fetal &amp; Neonatal Medicine</w:t>
      </w:r>
      <w:r w:rsidRPr="00532F0B">
        <w:t xml:space="preserve">, </w:t>
      </w:r>
      <w:r w:rsidRPr="00532F0B">
        <w:rPr>
          <w:i/>
          <w:iCs/>
        </w:rPr>
        <w:t>25</w:t>
      </w:r>
      <w:r w:rsidRPr="00532F0B">
        <w:t>(7), 975–977. https://doi.org/10.3109/14767058.2011.602142</w:t>
      </w:r>
    </w:p>
    <w:p w14:paraId="2312FD1A" w14:textId="77777777" w:rsidR="00532F0B" w:rsidRPr="00532F0B" w:rsidRDefault="00532F0B" w:rsidP="00532F0B">
      <w:pPr>
        <w:pStyle w:val="Bibliography"/>
      </w:pPr>
      <w:r w:rsidRPr="00532F0B">
        <w:t xml:space="preserve">Hsu, J.-Y., Crawley, S., Chen, M., Ayupova, D. A., Lindhout, D. A., Higbee, J., … Allan, B. B. (2017). Non-homeostatic body weight regulation through a brainstem-restricted receptor for GDF15. </w:t>
      </w:r>
      <w:r w:rsidRPr="00532F0B">
        <w:rPr>
          <w:i/>
          <w:iCs/>
        </w:rPr>
        <w:t>Nature</w:t>
      </w:r>
      <w:r w:rsidRPr="00532F0B">
        <w:t xml:space="preserve">, </w:t>
      </w:r>
      <w:r w:rsidRPr="00532F0B">
        <w:rPr>
          <w:i/>
          <w:iCs/>
        </w:rPr>
        <w:t>550</w:t>
      </w:r>
      <w:r w:rsidRPr="00532F0B">
        <w:t>(7675), 255–259. https://doi.org/10.1038/nature24042</w:t>
      </w:r>
    </w:p>
    <w:p w14:paraId="2A848213" w14:textId="77777777" w:rsidR="00532F0B" w:rsidRPr="00532F0B" w:rsidRDefault="00532F0B" w:rsidP="00532F0B">
      <w:pPr>
        <w:pStyle w:val="Bibliography"/>
      </w:pPr>
      <w:r w:rsidRPr="00532F0B">
        <w:lastRenderedPageBreak/>
        <w:t xml:space="preserve">Hutchison, A. T., Regmi, P., Manoogian, E. N. C., Fleischer, J. G., Wittert, G. A., Panda, S., &amp; Heilbronn, L. K. (2019). Time-Restricted Feeding Improves Glucose Tolerance in Men at Risk for Type 2 Diabetes: A Randomized Crossover Trial. </w:t>
      </w:r>
      <w:r w:rsidRPr="00532F0B">
        <w:rPr>
          <w:i/>
          <w:iCs/>
        </w:rPr>
        <w:t>Obesity</w:t>
      </w:r>
      <w:r w:rsidRPr="00532F0B">
        <w:t xml:space="preserve">, </w:t>
      </w:r>
      <w:r w:rsidRPr="00532F0B">
        <w:rPr>
          <w:i/>
          <w:iCs/>
        </w:rPr>
        <w:t>27</w:t>
      </w:r>
      <w:r w:rsidRPr="00532F0B">
        <w:t>(5), 724–732. https://doi.org/10.1002/oby.22449</w:t>
      </w:r>
    </w:p>
    <w:p w14:paraId="387ECC26" w14:textId="77777777" w:rsidR="00532F0B" w:rsidRPr="00532F0B" w:rsidRDefault="00532F0B" w:rsidP="00532F0B">
      <w:pPr>
        <w:pStyle w:val="Bibliography"/>
      </w:pPr>
      <w:r w:rsidRPr="00532F0B">
        <w:t xml:space="preserve">Jafari, Z., Mehla, J., Afrashteh, N., Kolb, B. E., &amp; Mohajerani, M. H. (2017). Corticosterone response to gestational stress and postpartum memory function in mice. </w:t>
      </w:r>
      <w:r w:rsidRPr="00532F0B">
        <w:rPr>
          <w:i/>
          <w:iCs/>
        </w:rPr>
        <w:t>PloS One</w:t>
      </w:r>
      <w:r w:rsidRPr="00532F0B">
        <w:t xml:space="preserve">, </w:t>
      </w:r>
      <w:r w:rsidRPr="00532F0B">
        <w:rPr>
          <w:i/>
          <w:iCs/>
        </w:rPr>
        <w:t>12</w:t>
      </w:r>
      <w:r w:rsidRPr="00532F0B">
        <w:t>(7), e0180306. https://doi.org/10.1371/journal.pone.0180306</w:t>
      </w:r>
    </w:p>
    <w:p w14:paraId="736A9EF3" w14:textId="77777777" w:rsidR="00532F0B" w:rsidRPr="00532F0B" w:rsidRDefault="00532F0B" w:rsidP="00532F0B">
      <w:pPr>
        <w:pStyle w:val="Bibliography"/>
      </w:pPr>
      <w:r w:rsidRPr="00532F0B">
        <w:t xml:space="preserve">Jamshed, H., Beyl, R. A., Della Manna, D. L., Yang, E. S., Ravussin, E., &amp; Peterson, C. M. (2019). Early Time-Restricted Feeding Improves 24-Hour Glucose Levels and Affects Markers of the Circadian Clock, Aging, and Autophagy in Humans. </w:t>
      </w:r>
      <w:r w:rsidRPr="00532F0B">
        <w:rPr>
          <w:i/>
          <w:iCs/>
        </w:rPr>
        <w:t>Nutrients</w:t>
      </w:r>
      <w:r w:rsidRPr="00532F0B">
        <w:t xml:space="preserve">, </w:t>
      </w:r>
      <w:r w:rsidRPr="00532F0B">
        <w:rPr>
          <w:i/>
          <w:iCs/>
        </w:rPr>
        <w:t>11</w:t>
      </w:r>
      <w:r w:rsidRPr="00532F0B">
        <w:t>(6), 1234. https://doi.org/10.3390/nu11061234</w:t>
      </w:r>
    </w:p>
    <w:p w14:paraId="5C60C59D" w14:textId="77777777" w:rsidR="00532F0B" w:rsidRPr="00532F0B" w:rsidRDefault="00532F0B" w:rsidP="00532F0B">
      <w:pPr>
        <w:pStyle w:val="Bibliography"/>
      </w:pPr>
      <w:r w:rsidRPr="00532F0B">
        <w:t xml:space="preserve">Kahleova, H., Lloren, J. I., Mashchak, A., Hill, M., &amp; Fraser, G. E. (2017). Meal Frequency and Timing Are Associated with Changes in Body Mass Index in Adventist Health Study 2. </w:t>
      </w:r>
      <w:r w:rsidRPr="00532F0B">
        <w:rPr>
          <w:i/>
          <w:iCs/>
        </w:rPr>
        <w:t>The Journal of Nutrition</w:t>
      </w:r>
      <w:r w:rsidRPr="00532F0B">
        <w:t xml:space="preserve">, </w:t>
      </w:r>
      <w:r w:rsidRPr="00532F0B">
        <w:rPr>
          <w:i/>
          <w:iCs/>
        </w:rPr>
        <w:t>147</w:t>
      </w:r>
      <w:r w:rsidRPr="00532F0B">
        <w:t>(9), 1722–1728. https://doi.org/10.3945/jn.116.244749</w:t>
      </w:r>
    </w:p>
    <w:p w14:paraId="078A0343" w14:textId="77777777" w:rsidR="00532F0B" w:rsidRPr="00532F0B" w:rsidRDefault="00532F0B" w:rsidP="00532F0B">
      <w:pPr>
        <w:pStyle w:val="Bibliography"/>
      </w:pPr>
      <w:r w:rsidRPr="00532F0B">
        <w:t xml:space="preserve">Kovacs, C. S. (2000). Calcium and Phosphate Metabolism and Related Disorders During Pregnancy and Lactation. In K. R. Feingold, B. Anawalt, A. Boyce, G. Chrousos, K. Dungan, A. Grossman, … D. P. Wilson (Eds.), </w:t>
      </w:r>
      <w:r w:rsidRPr="00532F0B">
        <w:rPr>
          <w:i/>
          <w:iCs/>
        </w:rPr>
        <w:t>Endotext</w:t>
      </w:r>
      <w:r w:rsidRPr="00532F0B">
        <w:t>. Retrieved from http://www.ncbi.nlm.nih.gov/books/NBK279173/</w:t>
      </w:r>
    </w:p>
    <w:p w14:paraId="54ABD20B" w14:textId="77777777" w:rsidR="00532F0B" w:rsidRPr="00532F0B" w:rsidRDefault="00532F0B" w:rsidP="00532F0B">
      <w:pPr>
        <w:pStyle w:val="Bibliography"/>
      </w:pPr>
      <w:r w:rsidRPr="00532F0B">
        <w:t xml:space="preserve">Kumar, S., &amp; Kaur, G. (2013). Intermittent Fasting Dietary Restriction Regimen Negatively Influences Reproduction in Young Rats: A Study of Hypothalamo-Hypophysial-Gonadal Axis. </w:t>
      </w:r>
      <w:r w:rsidRPr="00532F0B">
        <w:rPr>
          <w:i/>
          <w:iCs/>
        </w:rPr>
        <w:t>PLOS ONE</w:t>
      </w:r>
      <w:r w:rsidRPr="00532F0B">
        <w:t xml:space="preserve">, </w:t>
      </w:r>
      <w:r w:rsidRPr="00532F0B">
        <w:rPr>
          <w:i/>
          <w:iCs/>
        </w:rPr>
        <w:t>8</w:t>
      </w:r>
      <w:r w:rsidRPr="00532F0B">
        <w:t>(1), e52416. https://doi.org/10.1371/journal.pone.0052416</w:t>
      </w:r>
    </w:p>
    <w:p w14:paraId="5EA5CC62" w14:textId="77777777" w:rsidR="00532F0B" w:rsidRPr="00532F0B" w:rsidRDefault="00532F0B" w:rsidP="00532F0B">
      <w:pPr>
        <w:pStyle w:val="Bibliography"/>
      </w:pPr>
      <w:r w:rsidRPr="00532F0B">
        <w:lastRenderedPageBreak/>
        <w:t xml:space="preserve">Ladyman, S. R., Carter, K. M., &amp; Grattan, D. R. (2018). Energy homeostasis and running wheel activity during pregnancy in the mouse. </w:t>
      </w:r>
      <w:r w:rsidRPr="00532F0B">
        <w:rPr>
          <w:i/>
          <w:iCs/>
        </w:rPr>
        <w:t>Physiology &amp; Behavior</w:t>
      </w:r>
      <w:r w:rsidRPr="00532F0B">
        <w:t xml:space="preserve">, </w:t>
      </w:r>
      <w:r w:rsidRPr="00532F0B">
        <w:rPr>
          <w:i/>
          <w:iCs/>
        </w:rPr>
        <w:t>194</w:t>
      </w:r>
      <w:r w:rsidRPr="00532F0B">
        <w:t>, 83–94. https://doi.org/10.1016/j.physbeh.2018.05.002</w:t>
      </w:r>
    </w:p>
    <w:p w14:paraId="199EA405" w14:textId="77777777" w:rsidR="00532F0B" w:rsidRPr="00532F0B" w:rsidRDefault="00532F0B" w:rsidP="00532F0B">
      <w:pPr>
        <w:pStyle w:val="Bibliography"/>
      </w:pPr>
      <w:r w:rsidRPr="00532F0B">
        <w:t xml:space="preserve">Ladyman, Sharon Rachel, Khant Aung, Z., &amp; Grattan, D. R. (2018). Impact of Pregnancy and Lactation on the Long-Term Regulation of Energy Balance in Female Mice. </w:t>
      </w:r>
      <w:r w:rsidRPr="00532F0B">
        <w:rPr>
          <w:i/>
          <w:iCs/>
        </w:rPr>
        <w:t>Endocrinology</w:t>
      </w:r>
      <w:r w:rsidRPr="00532F0B">
        <w:t xml:space="preserve">, </w:t>
      </w:r>
      <w:r w:rsidRPr="00532F0B">
        <w:rPr>
          <w:i/>
          <w:iCs/>
        </w:rPr>
        <w:t>159</w:t>
      </w:r>
      <w:r w:rsidRPr="00532F0B">
        <w:t>(6), 2324–2336. https://doi.org/10.1210/en.2018-00057</w:t>
      </w:r>
    </w:p>
    <w:p w14:paraId="7607142D" w14:textId="77777777" w:rsidR="00532F0B" w:rsidRPr="00532F0B" w:rsidRDefault="00532F0B" w:rsidP="00532F0B">
      <w:pPr>
        <w:pStyle w:val="Bibliography"/>
      </w:pPr>
      <w:r w:rsidRPr="00532F0B">
        <w:t xml:space="preserve">Liu, B., Page, A. J., Hatzinikolas, G., Chen, M., Wittert, G. A., &amp; Heilbronn, L. K. (2019). Intermittent Fasting Improves Glucose Tolerance and Promotes Adipose Tissue Remodeling in Male Mice Fed a High-Fat Diet. </w:t>
      </w:r>
      <w:r w:rsidRPr="00532F0B">
        <w:rPr>
          <w:i/>
          <w:iCs/>
        </w:rPr>
        <w:t>Endocrinology</w:t>
      </w:r>
      <w:r w:rsidRPr="00532F0B">
        <w:t xml:space="preserve">, </w:t>
      </w:r>
      <w:r w:rsidRPr="00532F0B">
        <w:rPr>
          <w:i/>
          <w:iCs/>
        </w:rPr>
        <w:t>160</w:t>
      </w:r>
      <w:r w:rsidRPr="00532F0B">
        <w:t>(1), 169–180. https://doi.org/10.1210/en.2018-00701</w:t>
      </w:r>
    </w:p>
    <w:p w14:paraId="089E03AD" w14:textId="77777777" w:rsidR="00532F0B" w:rsidRPr="00532F0B" w:rsidRDefault="00532F0B" w:rsidP="00532F0B">
      <w:pPr>
        <w:pStyle w:val="Bibliography"/>
      </w:pPr>
      <w:r w:rsidRPr="00532F0B">
        <w:t xml:space="preserve">Macia, L., Tsai, V. W.-W., Nguyen, A. D., Johnen, H., Kuffner, T., Shi, Y.-C., … Sainsbury, A. (2012). Macrophage Inhibitory Cytokine 1 (MIC-1/GDF15) Decreases Food Intake, Body Weight and Improves Glucose Tolerance in Mice on Normal &amp; Obesogenic Diets. </w:t>
      </w:r>
      <w:r w:rsidRPr="00532F0B">
        <w:rPr>
          <w:i/>
          <w:iCs/>
        </w:rPr>
        <w:t>PLOS ONE</w:t>
      </w:r>
      <w:r w:rsidRPr="00532F0B">
        <w:t xml:space="preserve">, </w:t>
      </w:r>
      <w:r w:rsidRPr="00532F0B">
        <w:rPr>
          <w:i/>
          <w:iCs/>
        </w:rPr>
        <w:t>7</w:t>
      </w:r>
      <w:r w:rsidRPr="00532F0B">
        <w:t>(4), e34868. https://doi.org/10.1371/journal.pone.0034868</w:t>
      </w:r>
    </w:p>
    <w:p w14:paraId="30FFCB1B" w14:textId="77777777" w:rsidR="00532F0B" w:rsidRPr="00532F0B" w:rsidRDefault="00532F0B" w:rsidP="00532F0B">
      <w:pPr>
        <w:pStyle w:val="Bibliography"/>
      </w:pPr>
      <w:r w:rsidRPr="00532F0B">
        <w:t xml:space="preserve">McClure, C. K., Catov, J. M., Ness, R., &amp; Bodnar, L. M. (2013). Associations between gestational weight gain and BMI, abdominal adiposity, and traditional measures of cardiometabolic risk in mothers 8 y postpartum. </w:t>
      </w:r>
      <w:r w:rsidRPr="00532F0B">
        <w:rPr>
          <w:i/>
          <w:iCs/>
        </w:rPr>
        <w:t>The American Journal of Clinical Nutrition</w:t>
      </w:r>
      <w:r w:rsidRPr="00532F0B">
        <w:t xml:space="preserve">, </w:t>
      </w:r>
      <w:r w:rsidRPr="00532F0B">
        <w:rPr>
          <w:i/>
          <w:iCs/>
        </w:rPr>
        <w:t>98</w:t>
      </w:r>
      <w:r w:rsidRPr="00532F0B">
        <w:t>(5), 1218–1225. https://doi.org/10.3945/ajcn.112.055772</w:t>
      </w:r>
    </w:p>
    <w:p w14:paraId="601F9AAE" w14:textId="77777777" w:rsidR="00532F0B" w:rsidRPr="00532F0B" w:rsidRDefault="00532F0B" w:rsidP="00532F0B">
      <w:pPr>
        <w:pStyle w:val="Bibliography"/>
      </w:pPr>
      <w:r w:rsidRPr="00532F0B">
        <w:t>Meal Frequency and Timing Are Associated with Changes in Body Mass Index in Adventist Health Study 2 | The Journal of Nutrition | Oxford Academic. (n.d.). Retrieved August 16, 2019, from https://academic-oup-com.proxy.lib.umich.edu/jn/article/147/9/1722/4743530</w:t>
      </w:r>
    </w:p>
    <w:p w14:paraId="377DF72D" w14:textId="77777777" w:rsidR="00532F0B" w:rsidRPr="00532F0B" w:rsidRDefault="00532F0B" w:rsidP="00532F0B">
      <w:pPr>
        <w:pStyle w:val="Bibliography"/>
      </w:pPr>
      <w:r w:rsidRPr="00532F0B">
        <w:lastRenderedPageBreak/>
        <w:t xml:space="preserve">Mereness, A. L., Murphy, Z. C., Forrestel, A. C., Butler, S., Ko, C., Richards, J. S., &amp; Sellix, M. T. (2016). Conditional Deletion of Bmal1 in Ovarian Theca Cells Disrupts Ovulation in Female Mice. </w:t>
      </w:r>
      <w:r w:rsidRPr="00532F0B">
        <w:rPr>
          <w:i/>
          <w:iCs/>
        </w:rPr>
        <w:t>Endocrinology</w:t>
      </w:r>
      <w:r w:rsidRPr="00532F0B">
        <w:t xml:space="preserve">, </w:t>
      </w:r>
      <w:r w:rsidRPr="00532F0B">
        <w:rPr>
          <w:i/>
          <w:iCs/>
        </w:rPr>
        <w:t>157</w:t>
      </w:r>
      <w:r w:rsidRPr="00532F0B">
        <w:t>(2), 913–927. https://doi.org/10.1210/en.2015-1645</w:t>
      </w:r>
    </w:p>
    <w:p w14:paraId="76805DC0" w14:textId="77777777" w:rsidR="00532F0B" w:rsidRPr="00532F0B" w:rsidRDefault="00532F0B" w:rsidP="00532F0B">
      <w:pPr>
        <w:pStyle w:val="Bibliography"/>
      </w:pPr>
      <w:r w:rsidRPr="00532F0B">
        <w:t xml:space="preserve">Murphy, E. F., Cotter, P. D., Healy, S., Marques, T. M., O’Sullivan, O., Fouhy, F., … Shanahan, F. (2010). Composition and energy harvesting capacity of the gut microbiota: Relationship to diet, obesity and time in mouse models. </w:t>
      </w:r>
      <w:r w:rsidRPr="00532F0B">
        <w:rPr>
          <w:i/>
          <w:iCs/>
        </w:rPr>
        <w:t>Gut</w:t>
      </w:r>
      <w:r w:rsidRPr="00532F0B">
        <w:t xml:space="preserve">, </w:t>
      </w:r>
      <w:r w:rsidRPr="00532F0B">
        <w:rPr>
          <w:i/>
          <w:iCs/>
        </w:rPr>
        <w:t>59</w:t>
      </w:r>
      <w:r w:rsidRPr="00532F0B">
        <w:t>(12), 1635–1642. https://doi.org/10.1136/gut.2010.215665</w:t>
      </w:r>
    </w:p>
    <w:p w14:paraId="359977E0" w14:textId="77777777" w:rsidR="00532F0B" w:rsidRPr="00532F0B" w:rsidRDefault="00532F0B" w:rsidP="00532F0B">
      <w:pPr>
        <w:pStyle w:val="Bibliography"/>
      </w:pPr>
      <w:r w:rsidRPr="00532F0B">
        <w:t xml:space="preserve">Musial, B., Fernandez-Twinn, D. S., Vaughan, O. R., Ozanne, S. E., Voshol, P., Sferruzzi-Perri, A. N., &amp; Fowden, A. L. (2016). Proximity to Delivery Alters Insulin Sensitivity and Glucose Metabolism in Pregnant Mice. </w:t>
      </w:r>
      <w:r w:rsidRPr="00532F0B">
        <w:rPr>
          <w:i/>
          <w:iCs/>
        </w:rPr>
        <w:t>Diabetes</w:t>
      </w:r>
      <w:r w:rsidRPr="00532F0B">
        <w:t xml:space="preserve">, </w:t>
      </w:r>
      <w:r w:rsidRPr="00532F0B">
        <w:rPr>
          <w:i/>
          <w:iCs/>
        </w:rPr>
        <w:t>65</w:t>
      </w:r>
      <w:r w:rsidRPr="00532F0B">
        <w:t>(4), 851–860. https://doi.org/10.2337/db15-1531</w:t>
      </w:r>
    </w:p>
    <w:p w14:paraId="5B98A038" w14:textId="77777777" w:rsidR="00532F0B" w:rsidRPr="00532F0B" w:rsidRDefault="00532F0B" w:rsidP="00532F0B">
      <w:pPr>
        <w:pStyle w:val="Bibliography"/>
      </w:pPr>
      <w:r w:rsidRPr="00532F0B">
        <w:t xml:space="preserve">Nelson, J. F., Gosden, R. G., &amp; Felicio, L. S. (1985). Effect of Dietary Restriction on Estrous Cyclicity and Follicular Reserves in Aging C57BL/6J Mice. </w:t>
      </w:r>
      <w:r w:rsidRPr="00532F0B">
        <w:rPr>
          <w:i/>
          <w:iCs/>
        </w:rPr>
        <w:t>Biology of Reproduction</w:t>
      </w:r>
      <w:r w:rsidRPr="00532F0B">
        <w:t xml:space="preserve">, </w:t>
      </w:r>
      <w:r w:rsidRPr="00532F0B">
        <w:rPr>
          <w:i/>
          <w:iCs/>
        </w:rPr>
        <w:t>32</w:t>
      </w:r>
      <w:r w:rsidRPr="00532F0B">
        <w:t>(3), 515–522. https://doi.org/10.1095/biolreprod32.3.515</w:t>
      </w:r>
    </w:p>
    <w:p w14:paraId="09476801" w14:textId="77777777" w:rsidR="00532F0B" w:rsidRPr="00532F0B" w:rsidRDefault="00532F0B" w:rsidP="00532F0B">
      <w:pPr>
        <w:pStyle w:val="Bibliography"/>
      </w:pPr>
      <w:r w:rsidRPr="00532F0B">
        <w:t xml:space="preserve">Opaneye, A. A., Villegas, D. D., &amp; Abdel Azeim, A. (1990). Islamic Festivals and Low Birthweight Infants. </w:t>
      </w:r>
      <w:r w:rsidRPr="00532F0B">
        <w:rPr>
          <w:i/>
          <w:iCs/>
        </w:rPr>
        <w:t>Journal of the Royal Society of Health</w:t>
      </w:r>
      <w:r w:rsidRPr="00532F0B">
        <w:t xml:space="preserve">, </w:t>
      </w:r>
      <w:r w:rsidRPr="00532F0B">
        <w:rPr>
          <w:i/>
          <w:iCs/>
        </w:rPr>
        <w:t>110</w:t>
      </w:r>
      <w:r w:rsidRPr="00532F0B">
        <w:t>(3), 106–107. https://doi.org/10.1177/146642409011000313</w:t>
      </w:r>
    </w:p>
    <w:p w14:paraId="136D91CF" w14:textId="77777777" w:rsidR="00532F0B" w:rsidRPr="00532F0B" w:rsidRDefault="00532F0B" w:rsidP="00532F0B">
      <w:pPr>
        <w:pStyle w:val="Bibliography"/>
      </w:pPr>
      <w:r w:rsidRPr="00532F0B">
        <w:t xml:space="preserve">Pan, X., &amp; Hussain, M. M. (2009). Clock is important for food and circadian regulation of macronutrient absorption in mice. </w:t>
      </w:r>
      <w:r w:rsidRPr="00532F0B">
        <w:rPr>
          <w:i/>
          <w:iCs/>
        </w:rPr>
        <w:t>Journal of Lipid Research</w:t>
      </w:r>
      <w:r w:rsidRPr="00532F0B">
        <w:t xml:space="preserve">, </w:t>
      </w:r>
      <w:r w:rsidRPr="00532F0B">
        <w:rPr>
          <w:i/>
          <w:iCs/>
        </w:rPr>
        <w:t>50</w:t>
      </w:r>
      <w:r w:rsidRPr="00532F0B">
        <w:t>(9), 1800–1813. https://doi.org/10.1194/jlr.M900085-JLR200</w:t>
      </w:r>
    </w:p>
    <w:p w14:paraId="6D7F6273" w14:textId="77777777" w:rsidR="00532F0B" w:rsidRPr="00532F0B" w:rsidRDefault="00532F0B" w:rsidP="00532F0B">
      <w:pPr>
        <w:pStyle w:val="Bibliography"/>
      </w:pPr>
      <w:r w:rsidRPr="00532F0B">
        <w:t xml:space="preserve">Patel, S., Alvarez-Guaita, A., Melvin, A., Rimmington, D., Dattilo, A., Miedzybrodzka, E. L., … O’Rahilly, S. (2019). GDF15 Provides an Endocrine Signal of Nutritional Stress in Mice </w:t>
      </w:r>
      <w:r w:rsidRPr="00532F0B">
        <w:lastRenderedPageBreak/>
        <w:t xml:space="preserve">and Humans. </w:t>
      </w:r>
      <w:r w:rsidRPr="00532F0B">
        <w:rPr>
          <w:i/>
          <w:iCs/>
        </w:rPr>
        <w:t>Cell Metabolism</w:t>
      </w:r>
      <w:r w:rsidRPr="00532F0B">
        <w:t xml:space="preserve">, </w:t>
      </w:r>
      <w:r w:rsidRPr="00532F0B">
        <w:rPr>
          <w:i/>
          <w:iCs/>
        </w:rPr>
        <w:t>29</w:t>
      </w:r>
      <w:r w:rsidRPr="00532F0B">
        <w:t>(3), 707-718.e8. https://doi.org/10.1016/j.cmet.2018.12.016</w:t>
      </w:r>
    </w:p>
    <w:p w14:paraId="4AF0D515" w14:textId="77777777" w:rsidR="00532F0B" w:rsidRPr="00532F0B" w:rsidRDefault="00532F0B" w:rsidP="00532F0B">
      <w:pPr>
        <w:pStyle w:val="Bibliography"/>
      </w:pPr>
      <w:r w:rsidRPr="00532F0B">
        <w:t xml:space="preserve">Pivonello, R., De Leo, M., Cozzolino, A., &amp; Colao, A. (2015). The Treatment of Cushing’s Disease. </w:t>
      </w:r>
      <w:r w:rsidRPr="00532F0B">
        <w:rPr>
          <w:i/>
          <w:iCs/>
        </w:rPr>
        <w:t>Endocrine Reviews</w:t>
      </w:r>
      <w:r w:rsidRPr="00532F0B">
        <w:t xml:space="preserve">, </w:t>
      </w:r>
      <w:r w:rsidRPr="00532F0B">
        <w:rPr>
          <w:i/>
          <w:iCs/>
        </w:rPr>
        <w:t>36</w:t>
      </w:r>
      <w:r w:rsidRPr="00532F0B">
        <w:t>(4), 385–486. https://doi.org/10.1210/er.2013-1048</w:t>
      </w:r>
    </w:p>
    <w:p w14:paraId="142B517C" w14:textId="77777777" w:rsidR="00532F0B" w:rsidRPr="00532F0B" w:rsidRDefault="00532F0B" w:rsidP="00532F0B">
      <w:pPr>
        <w:pStyle w:val="Bibliography"/>
      </w:pPr>
      <w:r w:rsidRPr="00532F0B">
        <w:t xml:space="preserve">Rasmussen, K. M., Abrams, B., Bodnar, L. M., Butte, N. F., Catalano, P. M., &amp; Siega-Riz, A. M. (2010). Recommendations for Weight Gain During Pregnancy in the Context of the Obesity Epidemic. </w:t>
      </w:r>
      <w:r w:rsidRPr="00532F0B">
        <w:rPr>
          <w:i/>
          <w:iCs/>
        </w:rPr>
        <w:t>Obstetrics and Gynecology</w:t>
      </w:r>
      <w:r w:rsidRPr="00532F0B">
        <w:t xml:space="preserve">, </w:t>
      </w:r>
      <w:r w:rsidRPr="00532F0B">
        <w:rPr>
          <w:i/>
          <w:iCs/>
        </w:rPr>
        <w:t>116</w:t>
      </w:r>
      <w:r w:rsidRPr="00532F0B">
        <w:t>(5), 1191–1195. https://doi.org/10.1097/AOG.0b013e3181f60da7</w:t>
      </w:r>
    </w:p>
    <w:p w14:paraId="5CE1C721" w14:textId="77777777" w:rsidR="00532F0B" w:rsidRPr="00532F0B" w:rsidRDefault="00532F0B" w:rsidP="00532F0B">
      <w:pPr>
        <w:pStyle w:val="Bibliography"/>
      </w:pPr>
      <w:r w:rsidRPr="00532F0B">
        <w:t xml:space="preserve">Ravussin, E., Beyl, R. A., Poggiogalle, E., Hsia, D. S., &amp; Peterson, C. M. (2019). Early Time-Restricted Feeding Reduces Appetite and Increases Fat Oxidation But Does Not Affect Energy Expenditure in Humans. </w:t>
      </w:r>
      <w:r w:rsidRPr="00532F0B">
        <w:rPr>
          <w:i/>
          <w:iCs/>
        </w:rPr>
        <w:t>Obesity</w:t>
      </w:r>
      <w:r w:rsidRPr="00532F0B">
        <w:t xml:space="preserve">, </w:t>
      </w:r>
      <w:r w:rsidRPr="00532F0B">
        <w:rPr>
          <w:i/>
          <w:iCs/>
        </w:rPr>
        <w:t>27</w:t>
      </w:r>
      <w:r w:rsidRPr="00532F0B">
        <w:t>(8), 1244–1254. https://doi.org/10.1002/oby.22518</w:t>
      </w:r>
    </w:p>
    <w:p w14:paraId="5CA128F5" w14:textId="77777777" w:rsidR="00532F0B" w:rsidRPr="00532F0B" w:rsidRDefault="00532F0B" w:rsidP="00532F0B">
      <w:pPr>
        <w:pStyle w:val="Bibliography"/>
      </w:pPr>
      <w:r w:rsidRPr="00532F0B">
        <w:t xml:space="preserve">Sabet Sarvestani, F., Rahmanifar, F., &amp; Tamadon, A. (2015). Histomorphometric changes of small intestine in pregnant rat. </w:t>
      </w:r>
      <w:r w:rsidRPr="00532F0B">
        <w:rPr>
          <w:i/>
          <w:iCs/>
        </w:rPr>
        <w:t>Veterinary Research Forum</w:t>
      </w:r>
      <w:r w:rsidRPr="00532F0B">
        <w:t xml:space="preserve">, </w:t>
      </w:r>
      <w:r w:rsidRPr="00532F0B">
        <w:rPr>
          <w:i/>
          <w:iCs/>
        </w:rPr>
        <w:t>6</w:t>
      </w:r>
      <w:r w:rsidRPr="00532F0B">
        <w:t>(1), 69–73.</w:t>
      </w:r>
    </w:p>
    <w:p w14:paraId="2DAD3564" w14:textId="77777777" w:rsidR="00532F0B" w:rsidRPr="00532F0B" w:rsidRDefault="00532F0B" w:rsidP="00532F0B">
      <w:pPr>
        <w:pStyle w:val="Bibliography"/>
      </w:pPr>
      <w:r w:rsidRPr="00532F0B">
        <w:t xml:space="preserve">Schulz, L. C. (2010). The Dutch Hunger Winter and the developmental origins of health and disease. </w:t>
      </w:r>
      <w:r w:rsidRPr="00532F0B">
        <w:rPr>
          <w:i/>
          <w:iCs/>
        </w:rPr>
        <w:t>Proceedings of the National Academy of Sciences of the United States of America</w:t>
      </w:r>
      <w:r w:rsidRPr="00532F0B">
        <w:t xml:space="preserve">, </w:t>
      </w:r>
      <w:r w:rsidRPr="00532F0B">
        <w:rPr>
          <w:i/>
          <w:iCs/>
        </w:rPr>
        <w:t>107</w:t>
      </w:r>
      <w:r w:rsidRPr="00532F0B">
        <w:t>(39), 16757–16758. https://doi.org/10.1073/pnas.1012911107</w:t>
      </w:r>
    </w:p>
    <w:p w14:paraId="68E616DE" w14:textId="77777777" w:rsidR="00532F0B" w:rsidRPr="00532F0B" w:rsidRDefault="00532F0B" w:rsidP="00532F0B">
      <w:pPr>
        <w:pStyle w:val="Bibliography"/>
      </w:pPr>
      <w:r w:rsidRPr="00532F0B">
        <w:t xml:space="preserve">Sherman, H., Genzer, Y., Cohen, R., Chapnik, N., Madar, Z., &amp; Froy, O. (2012). Timed high-fat diet resets circadian metabolism and prevents obesity. </w:t>
      </w:r>
      <w:r w:rsidRPr="00532F0B">
        <w:rPr>
          <w:i/>
          <w:iCs/>
        </w:rPr>
        <w:t>FASEB Journal: Official Publication of the Federation of American Societies for Experimental Biology</w:t>
      </w:r>
      <w:r w:rsidRPr="00532F0B">
        <w:t xml:space="preserve">, </w:t>
      </w:r>
      <w:r w:rsidRPr="00532F0B">
        <w:rPr>
          <w:i/>
          <w:iCs/>
        </w:rPr>
        <w:t>26</w:t>
      </w:r>
      <w:r w:rsidRPr="00532F0B">
        <w:t>(8), 3493–3502. https://doi.org/10.1096/fj.12-208868</w:t>
      </w:r>
    </w:p>
    <w:p w14:paraId="5E081ECF" w14:textId="77777777" w:rsidR="00532F0B" w:rsidRPr="00532F0B" w:rsidRDefault="00532F0B" w:rsidP="00532F0B">
      <w:pPr>
        <w:pStyle w:val="Bibliography"/>
      </w:pPr>
      <w:r w:rsidRPr="00532F0B">
        <w:lastRenderedPageBreak/>
        <w:t xml:space="preserve">Sonagra, A. D., Biradar, S. M., K., D., &amp; Murthy D.S., J. (2014). Normal Pregnancy- A State of Insulin Resistance. </w:t>
      </w:r>
      <w:r w:rsidRPr="00532F0B">
        <w:rPr>
          <w:i/>
          <w:iCs/>
        </w:rPr>
        <w:t>Journal of Clinical and Diagnostic Research : JCDR</w:t>
      </w:r>
      <w:r w:rsidRPr="00532F0B">
        <w:t xml:space="preserve">, </w:t>
      </w:r>
      <w:r w:rsidRPr="00532F0B">
        <w:rPr>
          <w:i/>
          <w:iCs/>
        </w:rPr>
        <w:t>8</w:t>
      </w:r>
      <w:r w:rsidRPr="00532F0B">
        <w:t>(11), CC01–CC03. https://doi.org/10.7860/JCDR/2014/10068.5081</w:t>
      </w:r>
    </w:p>
    <w:p w14:paraId="7892D512" w14:textId="77777777" w:rsidR="00532F0B" w:rsidRPr="00532F0B" w:rsidRDefault="00532F0B" w:rsidP="00532F0B">
      <w:pPr>
        <w:pStyle w:val="Bibliography"/>
      </w:pPr>
      <w:r w:rsidRPr="00532F0B">
        <w:t xml:space="preserve">Stockman, M.-C., Thomas, D., Burke, J., &amp; Apovian, C. M. (2018). Intermittent Fasting: Is the Wait Worth the Weight? </w:t>
      </w:r>
      <w:r w:rsidRPr="00532F0B">
        <w:rPr>
          <w:i/>
          <w:iCs/>
        </w:rPr>
        <w:t>Current Obesity Reports</w:t>
      </w:r>
      <w:r w:rsidRPr="00532F0B">
        <w:t xml:space="preserve">, </w:t>
      </w:r>
      <w:r w:rsidRPr="00532F0B">
        <w:rPr>
          <w:i/>
          <w:iCs/>
        </w:rPr>
        <w:t>7</w:t>
      </w:r>
      <w:r w:rsidRPr="00532F0B">
        <w:t>(2), 172–185. https://doi.org/10.1007/s13679-018-0308-9</w:t>
      </w:r>
    </w:p>
    <w:p w14:paraId="340506A1" w14:textId="77777777" w:rsidR="00532F0B" w:rsidRPr="00532F0B" w:rsidRDefault="00532F0B" w:rsidP="00532F0B">
      <w:pPr>
        <w:pStyle w:val="Bibliography"/>
      </w:pPr>
      <w:r w:rsidRPr="00532F0B">
        <w:t xml:space="preserve">Sugulle, M., Dechend, R., Herse, F., Weedon-Fekjaer, M. S., Johnsen, G. M., Brosnihan, K. B., … Staff, A. C. (2009). Circulating and Placental Growth-Differentiation Factor 15 in Preeclampsia and in Pregnancy Complicated by Diabetes Mellitus. </w:t>
      </w:r>
      <w:r w:rsidRPr="00532F0B">
        <w:rPr>
          <w:i/>
          <w:iCs/>
        </w:rPr>
        <w:t>Hypertension</w:t>
      </w:r>
      <w:r w:rsidRPr="00532F0B">
        <w:t xml:space="preserve">, </w:t>
      </w:r>
      <w:r w:rsidRPr="00532F0B">
        <w:rPr>
          <w:i/>
          <w:iCs/>
        </w:rPr>
        <w:t>54</w:t>
      </w:r>
      <w:r w:rsidRPr="00532F0B">
        <w:t>(1), 106–112. https://doi.org/10.1161/HYPERTENSIONAHA.109.130583</w:t>
      </w:r>
    </w:p>
    <w:p w14:paraId="3FDC2854" w14:textId="77777777" w:rsidR="00532F0B" w:rsidRPr="00532F0B" w:rsidRDefault="00532F0B" w:rsidP="00532F0B">
      <w:pPr>
        <w:pStyle w:val="Bibliography"/>
      </w:pPr>
      <w:r w:rsidRPr="00532F0B">
        <w:t xml:space="preserve">Sutton, E. F., Beyl, R., Early, K. S., Cefalu, W. T., Ravussin, E., &amp; Peterson, C. M. (2018). Early Time-Restricted Feeding Improves Insulin Sensitivity, Blood Pressure, and Oxidative Stress Even without Weight Loss in Men with Prediabetes. </w:t>
      </w:r>
      <w:r w:rsidRPr="00532F0B">
        <w:rPr>
          <w:i/>
          <w:iCs/>
        </w:rPr>
        <w:t>Cell Metabolism</w:t>
      </w:r>
      <w:r w:rsidRPr="00532F0B">
        <w:t xml:space="preserve">, </w:t>
      </w:r>
      <w:r w:rsidRPr="00532F0B">
        <w:rPr>
          <w:i/>
          <w:iCs/>
        </w:rPr>
        <w:t>27</w:t>
      </w:r>
      <w:r w:rsidRPr="00532F0B">
        <w:t>(6), 1212-1221.e3. https://doi.org/10.1016/j.cmet.2018.04.010</w:t>
      </w:r>
    </w:p>
    <w:p w14:paraId="7C03F02F" w14:textId="77777777" w:rsidR="00532F0B" w:rsidRPr="00532F0B" w:rsidRDefault="00532F0B" w:rsidP="00532F0B">
      <w:pPr>
        <w:pStyle w:val="Bibliography"/>
      </w:pPr>
      <w:r w:rsidRPr="00532F0B">
        <w:t xml:space="preserve">Swamy, S., Xie, X., Kukino, A., Calcagno, H. E., Lasarev, M. R., Park, J. H., &amp; Butler, M. P. (2018). Circadian disruption of food availability significantly reduces reproductive success in mice. </w:t>
      </w:r>
      <w:r w:rsidRPr="00532F0B">
        <w:rPr>
          <w:i/>
          <w:iCs/>
        </w:rPr>
        <w:t>Hormones and Behavior</w:t>
      </w:r>
      <w:r w:rsidRPr="00532F0B">
        <w:t xml:space="preserve">, </w:t>
      </w:r>
      <w:r w:rsidRPr="00532F0B">
        <w:rPr>
          <w:i/>
          <w:iCs/>
        </w:rPr>
        <w:t>105</w:t>
      </w:r>
      <w:r w:rsidRPr="00532F0B">
        <w:t>, 177–184. https://doi.org/10.1016/j.yhbeh.2018.07.006</w:t>
      </w:r>
    </w:p>
    <w:p w14:paraId="3E223AD4" w14:textId="77777777" w:rsidR="00532F0B" w:rsidRPr="00532F0B" w:rsidRDefault="00532F0B" w:rsidP="00532F0B">
      <w:pPr>
        <w:pStyle w:val="Bibliography"/>
      </w:pPr>
      <w:r w:rsidRPr="00532F0B">
        <w:t xml:space="preserve">Upadhyay, A., Anjum, B., Godbole, N. M., Rajak, S., Shukla, P., Tiwari, S., … Godbole, M. M. (2019). Time-restricted feeding reduces high-fat diet associated placental inflammation and limits adverse effects on fetal organ development. </w:t>
      </w:r>
      <w:r w:rsidRPr="00532F0B">
        <w:rPr>
          <w:i/>
          <w:iCs/>
        </w:rPr>
        <w:t>Biochemical and Biophysical Research Communications</w:t>
      </w:r>
      <w:r w:rsidRPr="00532F0B">
        <w:t xml:space="preserve">, </w:t>
      </w:r>
      <w:r w:rsidRPr="00532F0B">
        <w:rPr>
          <w:i/>
          <w:iCs/>
        </w:rPr>
        <w:t>514</w:t>
      </w:r>
      <w:r w:rsidRPr="00532F0B">
        <w:t>(2), 415–421. https://doi.org/10.1016/j.bbrc.2019.04.154</w:t>
      </w:r>
    </w:p>
    <w:p w14:paraId="4237A551" w14:textId="77777777" w:rsidR="00532F0B" w:rsidRPr="00532F0B" w:rsidRDefault="00532F0B" w:rsidP="00532F0B">
      <w:pPr>
        <w:pStyle w:val="Bibliography"/>
      </w:pPr>
      <w:r w:rsidRPr="00532F0B">
        <w:t xml:space="preserve">Weber, E. M., Algers, B., Würbel, H., Hultgren, J., &amp; Olsson, I. a. S. (2013). Influence of Strain and Parity on the Risk of Litter Loss in Laboratory Mice. </w:t>
      </w:r>
      <w:r w:rsidRPr="00532F0B">
        <w:rPr>
          <w:i/>
          <w:iCs/>
        </w:rPr>
        <w:t>Reproduction in Domestic Animals</w:t>
      </w:r>
      <w:r w:rsidRPr="00532F0B">
        <w:t xml:space="preserve">, </w:t>
      </w:r>
      <w:r w:rsidRPr="00532F0B">
        <w:rPr>
          <w:i/>
          <w:iCs/>
        </w:rPr>
        <w:t>48</w:t>
      </w:r>
      <w:r w:rsidRPr="00532F0B">
        <w:t>(2), 292–296. https://doi.org/10.1111/j.1439-0531.2012.02147.x</w:t>
      </w:r>
    </w:p>
    <w:p w14:paraId="6BCDE725" w14:textId="77777777" w:rsidR="00532F0B" w:rsidRPr="00532F0B" w:rsidRDefault="00532F0B" w:rsidP="00532F0B">
      <w:pPr>
        <w:pStyle w:val="Bibliography"/>
      </w:pPr>
      <w:r w:rsidRPr="00532F0B">
        <w:t xml:space="preserve">Woodie, L. N., Luo, Y., Wayne, M. J., Graff, E. C., Ahmed, B., O’Neill, A. M., &amp; Greene, M. W. (2018). Restricted feeding for 9h in the active period partially abrogates the detrimental metabolic effects of a Western diet with liquid sugar consumption in mice. </w:t>
      </w:r>
      <w:r w:rsidRPr="00532F0B">
        <w:rPr>
          <w:i/>
          <w:iCs/>
        </w:rPr>
        <w:t>Metabolism</w:t>
      </w:r>
      <w:r w:rsidRPr="00532F0B">
        <w:t xml:space="preserve">, </w:t>
      </w:r>
      <w:r w:rsidRPr="00532F0B">
        <w:rPr>
          <w:i/>
          <w:iCs/>
        </w:rPr>
        <w:t>82</w:t>
      </w:r>
      <w:r w:rsidRPr="00532F0B">
        <w:t>, 1–13. https://doi.org/10.1016/j.metabol.2017.12.004</w:t>
      </w:r>
    </w:p>
    <w:p w14:paraId="552964A9" w14:textId="77777777" w:rsidR="00532F0B" w:rsidRPr="00532F0B" w:rsidRDefault="00532F0B" w:rsidP="00532F0B">
      <w:pPr>
        <w:pStyle w:val="Bibliography"/>
      </w:pPr>
      <w:r w:rsidRPr="00532F0B">
        <w:t xml:space="preserve">Zhang, M., Sun, W., Qian, J., &amp; Tang, Y. (2018). Fasting exacerbates hepatic growth differentiation factor 15 to promote fatty acid β-oxidation and ketogenesis via activating XBP1 signaling in liver. </w:t>
      </w:r>
      <w:r w:rsidRPr="00532F0B">
        <w:rPr>
          <w:i/>
          <w:iCs/>
        </w:rPr>
        <w:t>Redox Biology</w:t>
      </w:r>
      <w:r w:rsidRPr="00532F0B">
        <w:t xml:space="preserve">, </w:t>
      </w:r>
      <w:r w:rsidRPr="00532F0B">
        <w:rPr>
          <w:i/>
          <w:iCs/>
        </w:rPr>
        <w:t>16</w:t>
      </w:r>
      <w:r w:rsidRPr="00532F0B">
        <w:t>, 87–96. https://doi.org/10.1016/j.redox.2018.01.013</w:t>
      </w:r>
    </w:p>
    <w:p w14:paraId="300788BA" w14:textId="77777777" w:rsidR="00532F0B" w:rsidRPr="00532F0B" w:rsidRDefault="00532F0B" w:rsidP="00532F0B">
      <w:pPr>
        <w:pStyle w:val="Bibliography"/>
      </w:pPr>
      <w:r w:rsidRPr="00532F0B">
        <w:t xml:space="preserve">Zhang, W.-X., Chen, S.-Y., &amp; Liu, C. (2016). Regulation of reproduction by the circadian rhythms. </w:t>
      </w:r>
      <w:r w:rsidRPr="00532F0B">
        <w:rPr>
          <w:i/>
          <w:iCs/>
        </w:rPr>
        <w:t>Sheng Li Xue Bao: [Acta Physiologica Sinica]</w:t>
      </w:r>
      <w:r w:rsidRPr="00532F0B">
        <w:t xml:space="preserve">, </w:t>
      </w:r>
      <w:r w:rsidRPr="00532F0B">
        <w:rPr>
          <w:i/>
          <w:iCs/>
        </w:rPr>
        <w:t>68</w:t>
      </w:r>
      <w:r w:rsidRPr="00532F0B">
        <w:t>(6), 799–808.</w:t>
      </w:r>
    </w:p>
    <w:p w14:paraId="2C151F8A" w14:textId="77777777" w:rsidR="00532F0B" w:rsidRPr="00532F0B" w:rsidRDefault="00532F0B" w:rsidP="00532F0B">
      <w:pPr>
        <w:pStyle w:val="Bibliography"/>
      </w:pPr>
      <w:r w:rsidRPr="00532F0B">
        <w:t xml:space="preserve">Ziaee, V., Kihanidoost, Z., Younesian, M., Akhavirad, M.-B., Bateni, F., Kazemianfar, Z., &amp; Hantoushzadeh, S. (2010). The Effect of Ramadan Fasting on Outcome of Pregnancy. </w:t>
      </w:r>
      <w:r w:rsidRPr="00532F0B">
        <w:rPr>
          <w:i/>
          <w:iCs/>
        </w:rPr>
        <w:t>Iranian Journal of Pediatrics</w:t>
      </w:r>
      <w:r w:rsidRPr="00532F0B">
        <w:t xml:space="preserve">, </w:t>
      </w:r>
      <w:r w:rsidRPr="00532F0B">
        <w:rPr>
          <w:i/>
          <w:iCs/>
        </w:rPr>
        <w:t>20</w:t>
      </w:r>
      <w:r w:rsidRPr="00532F0B">
        <w:t>(2), 181–186.</w:t>
      </w:r>
    </w:p>
    <w:p w14:paraId="5350D662" w14:textId="7DD6768C" w:rsidR="00A06EE7" w:rsidRPr="00A06EE7" w:rsidRDefault="00B115EC" w:rsidP="00532F0B">
      <w:pPr>
        <w:pStyle w:val="Bibliography"/>
        <w:rPr>
          <w:rStyle w:val="SubtleEmphasis"/>
          <w:i w:val="0"/>
        </w:rPr>
      </w:pPr>
      <w:r>
        <w:rPr>
          <w:rStyle w:val="SubtleEmphasis"/>
          <w:i w:val="0"/>
        </w:rPr>
        <w:fldChar w:fldCharType="end"/>
      </w:r>
    </w:p>
    <w:sectPr w:rsidR="00A06EE7" w:rsidRPr="00A06EE7" w:rsidSect="00587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B08E" w14:textId="77777777" w:rsidR="00D07337" w:rsidRDefault="00D07337" w:rsidP="00655367">
      <w:r>
        <w:separator/>
      </w:r>
    </w:p>
  </w:endnote>
  <w:endnote w:type="continuationSeparator" w:id="0">
    <w:p w14:paraId="4E74099C" w14:textId="77777777" w:rsidR="00D07337" w:rsidRDefault="00D07337"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50634" w14:textId="77777777" w:rsidR="00D07337" w:rsidRDefault="00D07337" w:rsidP="00655367">
      <w:r>
        <w:separator/>
      </w:r>
    </w:p>
  </w:footnote>
  <w:footnote w:type="continuationSeparator" w:id="0">
    <w:p w14:paraId="6FDACDB0" w14:textId="77777777" w:rsidR="00D07337" w:rsidRDefault="00D07337"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91A"/>
    <w:rsid w:val="00010B03"/>
    <w:rsid w:val="00016758"/>
    <w:rsid w:val="00016A9F"/>
    <w:rsid w:val="00021622"/>
    <w:rsid w:val="00031589"/>
    <w:rsid w:val="000417FD"/>
    <w:rsid w:val="000453AB"/>
    <w:rsid w:val="0004750C"/>
    <w:rsid w:val="00057976"/>
    <w:rsid w:val="00057FB2"/>
    <w:rsid w:val="00060FEF"/>
    <w:rsid w:val="00073767"/>
    <w:rsid w:val="00074954"/>
    <w:rsid w:val="000751BB"/>
    <w:rsid w:val="000766B0"/>
    <w:rsid w:val="000864AE"/>
    <w:rsid w:val="00087423"/>
    <w:rsid w:val="000B008A"/>
    <w:rsid w:val="000B062D"/>
    <w:rsid w:val="000B6D83"/>
    <w:rsid w:val="000C0F1E"/>
    <w:rsid w:val="000D2AA7"/>
    <w:rsid w:val="000E1D7F"/>
    <w:rsid w:val="000E55D8"/>
    <w:rsid w:val="000F0FE1"/>
    <w:rsid w:val="00101BEE"/>
    <w:rsid w:val="00101F16"/>
    <w:rsid w:val="0010288E"/>
    <w:rsid w:val="001041F5"/>
    <w:rsid w:val="0013437C"/>
    <w:rsid w:val="001403DB"/>
    <w:rsid w:val="00146803"/>
    <w:rsid w:val="00153939"/>
    <w:rsid w:val="00155E45"/>
    <w:rsid w:val="00156EE2"/>
    <w:rsid w:val="00186B53"/>
    <w:rsid w:val="0018772F"/>
    <w:rsid w:val="001916B7"/>
    <w:rsid w:val="00194921"/>
    <w:rsid w:val="001A2B94"/>
    <w:rsid w:val="001B306C"/>
    <w:rsid w:val="001B4906"/>
    <w:rsid w:val="001B5300"/>
    <w:rsid w:val="001B5451"/>
    <w:rsid w:val="001D47FE"/>
    <w:rsid w:val="001D4FEB"/>
    <w:rsid w:val="001E0AFA"/>
    <w:rsid w:val="001E0D8A"/>
    <w:rsid w:val="001E6818"/>
    <w:rsid w:val="001E725D"/>
    <w:rsid w:val="001F0023"/>
    <w:rsid w:val="00200583"/>
    <w:rsid w:val="00205FEA"/>
    <w:rsid w:val="002069B3"/>
    <w:rsid w:val="00214D0C"/>
    <w:rsid w:val="00222C72"/>
    <w:rsid w:val="00223C1D"/>
    <w:rsid w:val="00227796"/>
    <w:rsid w:val="002450CA"/>
    <w:rsid w:val="0026107A"/>
    <w:rsid w:val="002918F3"/>
    <w:rsid w:val="002A360D"/>
    <w:rsid w:val="002B25C7"/>
    <w:rsid w:val="002B4FA5"/>
    <w:rsid w:val="002C32E9"/>
    <w:rsid w:val="002C432C"/>
    <w:rsid w:val="002C66B0"/>
    <w:rsid w:val="002C793C"/>
    <w:rsid w:val="002D7DCD"/>
    <w:rsid w:val="002E1770"/>
    <w:rsid w:val="002E1DE6"/>
    <w:rsid w:val="002F3F8D"/>
    <w:rsid w:val="002F5016"/>
    <w:rsid w:val="003064D9"/>
    <w:rsid w:val="00315613"/>
    <w:rsid w:val="00326B6D"/>
    <w:rsid w:val="00330625"/>
    <w:rsid w:val="003360C6"/>
    <w:rsid w:val="00342A8F"/>
    <w:rsid w:val="00343FF7"/>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062BF"/>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2CF3"/>
    <w:rsid w:val="004F42FB"/>
    <w:rsid w:val="00500183"/>
    <w:rsid w:val="00512A0C"/>
    <w:rsid w:val="005141D7"/>
    <w:rsid w:val="00517344"/>
    <w:rsid w:val="00520E9F"/>
    <w:rsid w:val="00532F0B"/>
    <w:rsid w:val="0053627B"/>
    <w:rsid w:val="00544A0A"/>
    <w:rsid w:val="00547273"/>
    <w:rsid w:val="00552F4F"/>
    <w:rsid w:val="00561DFD"/>
    <w:rsid w:val="0057571A"/>
    <w:rsid w:val="00581B4B"/>
    <w:rsid w:val="00587EB0"/>
    <w:rsid w:val="005938F2"/>
    <w:rsid w:val="0059728B"/>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898"/>
    <w:rsid w:val="00694B30"/>
    <w:rsid w:val="006C2188"/>
    <w:rsid w:val="006C7185"/>
    <w:rsid w:val="006D1DC0"/>
    <w:rsid w:val="006E5903"/>
    <w:rsid w:val="006F7CD8"/>
    <w:rsid w:val="0070023E"/>
    <w:rsid w:val="0071231F"/>
    <w:rsid w:val="00713DF7"/>
    <w:rsid w:val="00714BDF"/>
    <w:rsid w:val="00717393"/>
    <w:rsid w:val="00725CF0"/>
    <w:rsid w:val="007279AC"/>
    <w:rsid w:val="00737F57"/>
    <w:rsid w:val="00762971"/>
    <w:rsid w:val="007641FB"/>
    <w:rsid w:val="0076789D"/>
    <w:rsid w:val="00783E8F"/>
    <w:rsid w:val="007A5566"/>
    <w:rsid w:val="007E58C2"/>
    <w:rsid w:val="007F29C4"/>
    <w:rsid w:val="0080620E"/>
    <w:rsid w:val="00820FC6"/>
    <w:rsid w:val="0082283C"/>
    <w:rsid w:val="0082567D"/>
    <w:rsid w:val="00826EBC"/>
    <w:rsid w:val="00836E79"/>
    <w:rsid w:val="00845798"/>
    <w:rsid w:val="00845D87"/>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6F11"/>
    <w:rsid w:val="0094720A"/>
    <w:rsid w:val="00955141"/>
    <w:rsid w:val="00963924"/>
    <w:rsid w:val="00966DA2"/>
    <w:rsid w:val="00976A3C"/>
    <w:rsid w:val="009837B7"/>
    <w:rsid w:val="00991F1C"/>
    <w:rsid w:val="00993E0B"/>
    <w:rsid w:val="009954FF"/>
    <w:rsid w:val="009B0AFB"/>
    <w:rsid w:val="009B6663"/>
    <w:rsid w:val="009C127A"/>
    <w:rsid w:val="009C66F1"/>
    <w:rsid w:val="009E0819"/>
    <w:rsid w:val="009E22A8"/>
    <w:rsid w:val="009E551F"/>
    <w:rsid w:val="009E780C"/>
    <w:rsid w:val="009F4437"/>
    <w:rsid w:val="00A00607"/>
    <w:rsid w:val="00A06958"/>
    <w:rsid w:val="00A06EE7"/>
    <w:rsid w:val="00A10353"/>
    <w:rsid w:val="00A108C5"/>
    <w:rsid w:val="00A13480"/>
    <w:rsid w:val="00A32A92"/>
    <w:rsid w:val="00A33C49"/>
    <w:rsid w:val="00A358A3"/>
    <w:rsid w:val="00A413DD"/>
    <w:rsid w:val="00A456E6"/>
    <w:rsid w:val="00A50362"/>
    <w:rsid w:val="00A55005"/>
    <w:rsid w:val="00A57F80"/>
    <w:rsid w:val="00A62DF3"/>
    <w:rsid w:val="00A83D7B"/>
    <w:rsid w:val="00A9493C"/>
    <w:rsid w:val="00AB3067"/>
    <w:rsid w:val="00AB5290"/>
    <w:rsid w:val="00AC0193"/>
    <w:rsid w:val="00AC3B0B"/>
    <w:rsid w:val="00AD048B"/>
    <w:rsid w:val="00AE7C3C"/>
    <w:rsid w:val="00AF346B"/>
    <w:rsid w:val="00B047E6"/>
    <w:rsid w:val="00B115EC"/>
    <w:rsid w:val="00B1412F"/>
    <w:rsid w:val="00B211F9"/>
    <w:rsid w:val="00B2624D"/>
    <w:rsid w:val="00B26E24"/>
    <w:rsid w:val="00B4252E"/>
    <w:rsid w:val="00B53AF7"/>
    <w:rsid w:val="00B54324"/>
    <w:rsid w:val="00B61E89"/>
    <w:rsid w:val="00B6593C"/>
    <w:rsid w:val="00B67A65"/>
    <w:rsid w:val="00B84507"/>
    <w:rsid w:val="00BB647C"/>
    <w:rsid w:val="00BB7288"/>
    <w:rsid w:val="00BC5167"/>
    <w:rsid w:val="00BC7138"/>
    <w:rsid w:val="00BD46A4"/>
    <w:rsid w:val="00BE0613"/>
    <w:rsid w:val="00BF51D2"/>
    <w:rsid w:val="00C000F1"/>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07337"/>
    <w:rsid w:val="00D233E7"/>
    <w:rsid w:val="00D267D5"/>
    <w:rsid w:val="00D34749"/>
    <w:rsid w:val="00D357A3"/>
    <w:rsid w:val="00D47D37"/>
    <w:rsid w:val="00D5176F"/>
    <w:rsid w:val="00D52366"/>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D4F7D"/>
    <w:rsid w:val="00DD64F2"/>
    <w:rsid w:val="00DF1B2B"/>
    <w:rsid w:val="00DF6206"/>
    <w:rsid w:val="00E25CB2"/>
    <w:rsid w:val="00E313DC"/>
    <w:rsid w:val="00E33300"/>
    <w:rsid w:val="00E5133C"/>
    <w:rsid w:val="00E55AB4"/>
    <w:rsid w:val="00E55BB9"/>
    <w:rsid w:val="00E67A3C"/>
    <w:rsid w:val="00E7173B"/>
    <w:rsid w:val="00E7221B"/>
    <w:rsid w:val="00E77202"/>
    <w:rsid w:val="00E803D2"/>
    <w:rsid w:val="00E85858"/>
    <w:rsid w:val="00E86229"/>
    <w:rsid w:val="00E91592"/>
    <w:rsid w:val="00E91E9A"/>
    <w:rsid w:val="00EA2AB9"/>
    <w:rsid w:val="00EB378F"/>
    <w:rsid w:val="00EB550A"/>
    <w:rsid w:val="00EC4173"/>
    <w:rsid w:val="00ED0212"/>
    <w:rsid w:val="00ED4FF5"/>
    <w:rsid w:val="00EE3952"/>
    <w:rsid w:val="00EF0FA8"/>
    <w:rsid w:val="00EF245E"/>
    <w:rsid w:val="00EF7EC9"/>
    <w:rsid w:val="00F112B6"/>
    <w:rsid w:val="00F1206C"/>
    <w:rsid w:val="00F14B24"/>
    <w:rsid w:val="00F20ACC"/>
    <w:rsid w:val="00F21DE2"/>
    <w:rsid w:val="00F25AA5"/>
    <w:rsid w:val="00F320DE"/>
    <w:rsid w:val="00F46F28"/>
    <w:rsid w:val="00F5543F"/>
    <w:rsid w:val="00F628D5"/>
    <w:rsid w:val="00F67F60"/>
    <w:rsid w:val="00F70DE1"/>
    <w:rsid w:val="00F866FE"/>
    <w:rsid w:val="00F96DB1"/>
    <w:rsid w:val="00FC1A73"/>
    <w:rsid w:val="00FD08DB"/>
    <w:rsid w:val="00FD1ACA"/>
    <w:rsid w:val="00FD2AF9"/>
    <w:rsid w:val="00FD4F3A"/>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72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 w:type="character" w:customStyle="1" w:styleId="Heading4Char">
    <w:name w:val="Heading 4 Char"/>
    <w:basedOn w:val="DefaultParagraphFont"/>
    <w:link w:val="Heading4"/>
    <w:uiPriority w:val="9"/>
    <w:rsid w:val="005972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17723027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D8FF-8B47-5745-9B58-1A99E639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41868</Words>
  <Characters>238648</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37</cp:revision>
  <dcterms:created xsi:type="dcterms:W3CDTF">2019-12-19T22:07:00Z</dcterms:created>
  <dcterms:modified xsi:type="dcterms:W3CDTF">2019-12-20T21:21:00Z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id="NfkP3bQk"/&gt;&lt;style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