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9E7A"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b/>
        </w:rPr>
        <w:t>Translational Aim 3: Characterize the prevalence and associations of restricted feeding with maternal and child health in humans.</w:t>
      </w:r>
      <w:r w:rsidRPr="00EC4456">
        <w:rPr>
          <w:rFonts w:ascii="Times New Roman" w:hAnsi="Times New Roman" w:cs="Times New Roman"/>
        </w:rPr>
        <w:t xml:space="preserve"> </w:t>
      </w:r>
    </w:p>
    <w:p w14:paraId="172F6B17"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associations of the length of feeding window with perinatal health outcomes including: preterm birth, small for gestational age, intrauterine fetal demise, gestational diabetes, gestational weight gain, and pre-eclampsia. </w:t>
      </w:r>
    </w:p>
    <w:p w14:paraId="6416A59E" w14:textId="77777777" w:rsidR="00AD65AB" w:rsidRDefault="00AD65AB">
      <w:pPr>
        <w:rPr>
          <w:rFonts w:ascii="Times New Roman" w:hAnsi="Times New Roman" w:cs="Times New Roman"/>
          <w:b/>
          <w:u w:val="single"/>
        </w:rPr>
      </w:pPr>
    </w:p>
    <w:p w14:paraId="02E3E36C" w14:textId="70FA0AED" w:rsidR="00454F31" w:rsidRDefault="003A6BF1">
      <w:pPr>
        <w:rPr>
          <w:rFonts w:ascii="Times New Roman" w:hAnsi="Times New Roman" w:cs="Times New Roman"/>
          <w:b/>
          <w:u w:val="single"/>
        </w:rPr>
      </w:pPr>
      <w:r w:rsidRPr="0019289A">
        <w:rPr>
          <w:rFonts w:ascii="Times New Roman" w:hAnsi="Times New Roman" w:cs="Times New Roman"/>
          <w:b/>
          <w:u w:val="single"/>
        </w:rPr>
        <w:t>Background:</w:t>
      </w:r>
    </w:p>
    <w:p w14:paraId="438215AA" w14:textId="3A790EE8" w:rsidR="00BD2DF0" w:rsidRPr="00B10379" w:rsidRDefault="00BD2DF0">
      <w:pPr>
        <w:rPr>
          <w:rFonts w:ascii="Times New Roman" w:hAnsi="Times New Roman" w:cs="Times New Roman"/>
          <w:u w:val="single"/>
        </w:rPr>
      </w:pPr>
      <w:r w:rsidRPr="00B10379">
        <w:rPr>
          <w:rFonts w:ascii="Times New Roman" w:hAnsi="Times New Roman" w:cs="Times New Roman"/>
          <w:u w:val="single"/>
        </w:rPr>
        <w:t>Fasting in pregnancy</w:t>
      </w:r>
    </w:p>
    <w:p w14:paraId="7D0D76C9" w14:textId="68093346" w:rsidR="00B10379" w:rsidRDefault="00B10379">
      <w:pPr>
        <w:rPr>
          <w:rFonts w:ascii="Times New Roman" w:hAnsi="Times New Roman" w:cs="Times New Roman"/>
        </w:rPr>
      </w:pPr>
      <w:r>
        <w:rPr>
          <w:rFonts w:ascii="Times New Roman" w:hAnsi="Times New Roman" w:cs="Times New Roman"/>
        </w:rPr>
        <w:t>Intermittent fasting during pregnancy has not been thoroughly examined in humans. The closest analogue to the TRF paradigm of IF would be fasting in Ramadan. [Insert Ramadan graphic here]</w:t>
      </w:r>
      <w:r w:rsidR="00CE2E11">
        <w:rPr>
          <w:rFonts w:ascii="Times New Roman" w:hAnsi="Times New Roman" w:cs="Times New Roman"/>
        </w:rPr>
        <w:t xml:space="preserve">. In general, Ramadan fasting is not a good mimetic for the TRF paradigm of IF, as it often is accompanied by changes in sleep patterns and food quality, both of which could independently affect disease risk and health. </w:t>
      </w:r>
    </w:p>
    <w:p w14:paraId="329823C3" w14:textId="64110C30" w:rsidR="00BD2DF0" w:rsidRPr="00B10379" w:rsidRDefault="00BD2DF0">
      <w:pPr>
        <w:rPr>
          <w:rFonts w:ascii="Times New Roman" w:hAnsi="Times New Roman" w:cs="Times New Roman"/>
          <w:u w:val="single"/>
        </w:rPr>
      </w:pPr>
      <w:r w:rsidRPr="00B10379">
        <w:rPr>
          <w:rFonts w:ascii="Times New Roman" w:hAnsi="Times New Roman" w:cs="Times New Roman"/>
          <w:u w:val="single"/>
        </w:rPr>
        <w:t>Preterm birth</w:t>
      </w:r>
    </w:p>
    <w:p w14:paraId="34EF2DD7" w14:textId="03CDF149" w:rsidR="00B10379" w:rsidRDefault="00B10379">
      <w:pPr>
        <w:rPr>
          <w:rFonts w:ascii="Times New Roman" w:hAnsi="Times New Roman" w:cs="Times New Roman"/>
        </w:rPr>
      </w:pPr>
      <w:proofErr w:type="gramStart"/>
      <w:r>
        <w:rPr>
          <w:rFonts w:ascii="Times New Roman" w:hAnsi="Times New Roman" w:cs="Times New Roman"/>
        </w:rPr>
        <w:t>Pre term</w:t>
      </w:r>
      <w:proofErr w:type="gramEnd"/>
      <w:r>
        <w:rPr>
          <w:rFonts w:ascii="Times New Roman" w:hAnsi="Times New Roman" w:cs="Times New Roman"/>
        </w:rPr>
        <w:t xml:space="preserve"> birth is a significant health risk for neonates. It has been demonstrated that infants born before term (37 </w:t>
      </w:r>
      <w:proofErr w:type="spellStart"/>
      <w:r>
        <w:rPr>
          <w:rFonts w:ascii="Times New Roman" w:hAnsi="Times New Roman" w:cs="Times New Roman"/>
        </w:rPr>
        <w:t>weeks</w:t>
      </w:r>
      <w:proofErr w:type="spellEnd"/>
      <w:r>
        <w:rPr>
          <w:rFonts w:ascii="Times New Roman" w:hAnsi="Times New Roman" w:cs="Times New Roman"/>
        </w:rPr>
        <w:t xml:space="preserve"> gestation), are at greater lifetime risks for </w:t>
      </w:r>
      <w:r w:rsidR="00BC5240">
        <w:rPr>
          <w:rFonts w:ascii="Times New Roman" w:hAnsi="Times New Roman" w:cs="Times New Roman"/>
        </w:rPr>
        <w:t xml:space="preserve">higher total cholesterol, triglycerides, glucose and insulin as well as high blood pressure </w:t>
      </w:r>
      <w:bookmarkStart w:id="0" w:name="ZOTERO_TEMP_BOOKMARK"/>
      <w:r w:rsidR="000D54D1">
        <w:rPr>
          <w:rFonts w:ascii="Times New Roman" w:hAnsi="Times New Roman" w:cs="Times New Roman"/>
        </w:rPr>
        <w:t>(Suzuki, 2018)</w:t>
      </w:r>
      <w:bookmarkEnd w:id="0"/>
      <w:r w:rsidR="00BC5240">
        <w:rPr>
          <w:rFonts w:ascii="Times New Roman" w:hAnsi="Times New Roman" w:cs="Times New Roman"/>
        </w:rPr>
        <w:fldChar w:fldCharType="begin"/>
      </w:r>
      <w:r w:rsidR="00BC5240">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sidR="00BC5240">
        <w:rPr>
          <w:rFonts w:ascii="Times New Roman" w:hAnsi="Times New Roman" w:cs="Times New Roman"/>
        </w:rPr>
        <w:fldChar w:fldCharType="separate"/>
      </w:r>
      <w:r w:rsidR="00BC5240">
        <w:rPr>
          <w:rFonts w:ascii="Times New Roman" w:hAnsi="Times New Roman" w:cs="Times New Roman"/>
          <w:noProof/>
        </w:rPr>
        <w:t>(Lewandowski Adam J. et al., 2015)</w:t>
      </w:r>
      <w:r w:rsidR="00BC5240">
        <w:rPr>
          <w:rFonts w:ascii="Times New Roman" w:hAnsi="Times New Roman" w:cs="Times New Roman"/>
        </w:rPr>
        <w:fldChar w:fldCharType="end"/>
      </w:r>
      <w:r w:rsidR="00CE2E11">
        <w:rPr>
          <w:rFonts w:ascii="Times New Roman" w:hAnsi="Times New Roman" w:cs="Times New Roman"/>
        </w:rPr>
        <w:t xml:space="preserve">. </w:t>
      </w:r>
      <w:r>
        <w:rPr>
          <w:rFonts w:ascii="Times New Roman" w:hAnsi="Times New Roman" w:cs="Times New Roman"/>
        </w:rPr>
        <w:t xml:space="preserve">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w:t>
      </w:r>
      <w:r w:rsidR="00404585">
        <w:rPr>
          <w:rFonts w:ascii="Times New Roman" w:hAnsi="Times New Roman" w:cs="Times New Roman"/>
        </w:rPr>
        <w:t>Some of these risk facto</w:t>
      </w:r>
      <w:r w:rsidR="00BC5240">
        <w:rPr>
          <w:rFonts w:ascii="Times New Roman" w:hAnsi="Times New Roman" w:cs="Times New Roman"/>
        </w:rPr>
        <w:t>r</w:t>
      </w:r>
      <w:r w:rsidR="00404585">
        <w:rPr>
          <w:rFonts w:ascii="Times New Roman" w:hAnsi="Times New Roman" w:cs="Times New Roman"/>
        </w:rPr>
        <w:t>s can directly be tied to nutritional status, such as diabetes. However,</w:t>
      </w:r>
      <w:r>
        <w:rPr>
          <w:rFonts w:ascii="Times New Roman" w:hAnsi="Times New Roman" w:cs="Times New Roman"/>
        </w:rPr>
        <w:t xml:space="preserve"> many cannot be directly corrected by nutrition, but would likely have consequences for maternal nutritional status, such as increased need for water soluble vitamins in those who smoke, lower fruit and vegetable intakes in those with lower incomes, and</w:t>
      </w:r>
      <w:r w:rsidR="00404585">
        <w:rPr>
          <w:rFonts w:ascii="Times New Roman" w:hAnsi="Times New Roman" w:cs="Times New Roman"/>
        </w:rPr>
        <w:t xml:space="preserve"> lower food security for women who have lower educational attainment. </w:t>
      </w:r>
      <w:r w:rsidR="00BC5240">
        <w:rPr>
          <w:rFonts w:ascii="Times New Roman" w:hAnsi="Times New Roman" w:cs="Times New Roman"/>
        </w:rPr>
        <w:t xml:space="preserve">This can be difficult to disentangle from other conditions that are associated with pre-term birth, such as infant birth weight. </w:t>
      </w:r>
    </w:p>
    <w:p w14:paraId="4C8D33F7" w14:textId="77777777" w:rsidR="00BC5240" w:rsidRDefault="00BC5240">
      <w:pPr>
        <w:rPr>
          <w:rFonts w:ascii="Times New Roman" w:hAnsi="Times New Roman" w:cs="Times New Roman"/>
        </w:rPr>
      </w:pPr>
    </w:p>
    <w:p w14:paraId="04145871" w14:textId="59451C32" w:rsidR="00BD2DF0" w:rsidRDefault="00BD2DF0">
      <w:pPr>
        <w:rPr>
          <w:rFonts w:ascii="Times New Roman" w:hAnsi="Times New Roman" w:cs="Times New Roman"/>
          <w:u w:val="single"/>
        </w:rPr>
      </w:pPr>
      <w:r w:rsidRPr="00BC5240">
        <w:rPr>
          <w:rFonts w:ascii="Times New Roman" w:hAnsi="Times New Roman" w:cs="Times New Roman"/>
          <w:u w:val="single"/>
        </w:rPr>
        <w:t>SGA/low birthweight</w:t>
      </w:r>
    </w:p>
    <w:p w14:paraId="4B579649" w14:textId="63A6333A" w:rsidR="00BC5240" w:rsidRPr="00BC5240" w:rsidRDefault="00BC5240">
      <w:pPr>
        <w:rPr>
          <w:rFonts w:ascii="Times New Roman" w:hAnsi="Times New Roman" w:cs="Times New Roman"/>
        </w:rPr>
      </w:pPr>
      <w:r>
        <w:rPr>
          <w:rFonts w:ascii="Times New Roman" w:hAnsi="Times New Roman" w:cs="Times New Roman"/>
        </w:rPr>
        <w:t xml:space="preserve">Infant birth weight is associated with _____. </w:t>
      </w:r>
    </w:p>
    <w:p w14:paraId="1097401E" w14:textId="6B5D554D" w:rsidR="00BD2DF0" w:rsidRPr="00BC5240" w:rsidRDefault="00BD2DF0">
      <w:pPr>
        <w:rPr>
          <w:rFonts w:ascii="Times New Roman" w:hAnsi="Times New Roman" w:cs="Times New Roman"/>
          <w:u w:val="single"/>
        </w:rPr>
      </w:pPr>
      <w:r w:rsidRPr="00BC5240">
        <w:rPr>
          <w:rFonts w:ascii="Times New Roman" w:hAnsi="Times New Roman" w:cs="Times New Roman"/>
          <w:u w:val="single"/>
        </w:rPr>
        <w:t>Pre-</w:t>
      </w:r>
      <w:proofErr w:type="spellStart"/>
      <w:r w:rsidRPr="00BC5240">
        <w:rPr>
          <w:rFonts w:ascii="Times New Roman" w:hAnsi="Times New Roman" w:cs="Times New Roman"/>
          <w:u w:val="single"/>
        </w:rPr>
        <w:t>ecclampsia</w:t>
      </w:r>
      <w:proofErr w:type="spellEnd"/>
    </w:p>
    <w:p w14:paraId="769E4F86" w14:textId="506A7BF9" w:rsidR="00BD2DF0" w:rsidRPr="00BC5240" w:rsidRDefault="00BD2DF0">
      <w:pPr>
        <w:rPr>
          <w:rFonts w:ascii="Times New Roman" w:hAnsi="Times New Roman" w:cs="Times New Roman"/>
          <w:u w:val="single"/>
        </w:rPr>
      </w:pPr>
      <w:r w:rsidRPr="00BC5240">
        <w:rPr>
          <w:rFonts w:ascii="Times New Roman" w:hAnsi="Times New Roman" w:cs="Times New Roman"/>
          <w:u w:val="single"/>
        </w:rPr>
        <w:t>Gestational diabetes</w:t>
      </w:r>
    </w:p>
    <w:p w14:paraId="2022DA7F" w14:textId="3AF5AC7C" w:rsidR="00BD2DF0" w:rsidRDefault="00BD2DF0">
      <w:pPr>
        <w:rPr>
          <w:rFonts w:ascii="Times New Roman" w:hAnsi="Times New Roman" w:cs="Times New Roman"/>
          <w:u w:val="single"/>
        </w:rPr>
      </w:pPr>
      <w:r w:rsidRPr="00BC5240">
        <w:rPr>
          <w:rFonts w:ascii="Times New Roman" w:hAnsi="Times New Roman" w:cs="Times New Roman"/>
          <w:u w:val="single"/>
        </w:rPr>
        <w:t>Gestational weight gain</w:t>
      </w:r>
    </w:p>
    <w:p w14:paraId="7DE6DB5F" w14:textId="6A9FE6A9" w:rsidR="006A33A0" w:rsidRPr="006A33A0" w:rsidRDefault="006A33A0">
      <w:pPr>
        <w:rPr>
          <w:rFonts w:ascii="Times New Roman" w:hAnsi="Times New Roman" w:cs="Times New Roman"/>
        </w:rPr>
      </w:pPr>
      <w:r>
        <w:rPr>
          <w:rFonts w:ascii="Times New Roman" w:hAnsi="Times New Roman" w:cs="Times New Roman"/>
        </w:rPr>
        <w:t xml:space="preserve"> </w:t>
      </w:r>
      <w:r w:rsidR="00CE2E11">
        <w:rPr>
          <w:rFonts w:ascii="Times New Roman" w:hAnsi="Times New Roman" w:cs="Times New Roman"/>
        </w:rPr>
        <w:t>The appropriate amount of weight that is to be gained for a healthful pregnancy is</w:t>
      </w:r>
      <w:r>
        <w:rPr>
          <w:rFonts w:ascii="Times New Roman" w:hAnsi="Times New Roman" w:cs="Times New Roman"/>
        </w:rPr>
        <w:t xml:space="preserve"> </w:t>
      </w:r>
      <w:r w:rsidR="00CE2E11">
        <w:rPr>
          <w:rFonts w:ascii="Times New Roman" w:hAnsi="Times New Roman" w:cs="Times New Roman"/>
        </w:rPr>
        <w:t xml:space="preserve">drawing </w:t>
      </w:r>
      <w:r>
        <w:rPr>
          <w:rFonts w:ascii="Times New Roman" w:hAnsi="Times New Roman" w:cs="Times New Roman"/>
        </w:rPr>
        <w:t xml:space="preserve">attention </w:t>
      </w:r>
      <w:r w:rsidR="00CE2E11">
        <w:rPr>
          <w:rFonts w:ascii="Times New Roman" w:hAnsi="Times New Roman" w:cs="Times New Roman"/>
        </w:rPr>
        <w:t xml:space="preserve">from both clinicians and researchers </w:t>
      </w:r>
      <w:r>
        <w:rPr>
          <w:rFonts w:ascii="Times New Roman" w:hAnsi="Times New Roman" w:cs="Times New Roman"/>
        </w:rPr>
        <w:t>in recent years, and recommendations have been tailored to pre-pregnancy BMI to optimize offspring health outcomes</w:t>
      </w:r>
      <w:r w:rsidR="00CE2E11">
        <w:rPr>
          <w:rFonts w:ascii="Times New Roman" w:hAnsi="Times New Roman" w:cs="Times New Roman"/>
        </w:rPr>
        <w:t xml:space="preserve"> (INSERT REPORT)</w:t>
      </w:r>
      <w:r>
        <w:rPr>
          <w:rFonts w:ascii="Times New Roman" w:hAnsi="Times New Roman" w:cs="Times New Roman"/>
        </w:rPr>
        <w:t xml:space="preserve">. </w:t>
      </w:r>
      <w:r w:rsidR="00D448E9">
        <w:rPr>
          <w:rFonts w:ascii="Times New Roman" w:hAnsi="Times New Roman" w:cs="Times New Roman"/>
        </w:rPr>
        <w:t xml:space="preserve">Gestational weight gain has been associated with offspring body mass index and risk of obesity from infancy all the way through adulthood </w:t>
      </w:r>
      <w:r w:rsidR="00D448E9">
        <w:rPr>
          <w:rFonts w:ascii="Times New Roman" w:hAnsi="Times New Roman" w:cs="Times New Roman"/>
        </w:rPr>
        <w:fldChar w:fldCharType="begin"/>
      </w:r>
      <w:r w:rsidR="00D448E9">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00D448E9">
        <w:rPr>
          <w:rFonts w:ascii="Times New Roman" w:hAnsi="Times New Roman" w:cs="Times New Roman"/>
        </w:rPr>
        <w:fldChar w:fldCharType="separate"/>
      </w:r>
      <w:r w:rsidR="00D448E9" w:rsidRPr="00D448E9">
        <w:rPr>
          <w:rFonts w:ascii="Times New Roman" w:hAnsi="Times New Roman" w:cs="Times New Roman"/>
        </w:rPr>
        <w:t xml:space="preserve">(Schack-Nielsen, </w:t>
      </w:r>
      <w:proofErr w:type="spellStart"/>
      <w:r w:rsidR="00D448E9" w:rsidRPr="00D448E9">
        <w:rPr>
          <w:rFonts w:ascii="Times New Roman" w:hAnsi="Times New Roman" w:cs="Times New Roman"/>
        </w:rPr>
        <w:t>Michaelsen</w:t>
      </w:r>
      <w:proofErr w:type="spellEnd"/>
      <w:r w:rsidR="00D448E9" w:rsidRPr="00D448E9">
        <w:rPr>
          <w:rFonts w:ascii="Times New Roman" w:hAnsi="Times New Roman" w:cs="Times New Roman"/>
        </w:rPr>
        <w:t xml:space="preserve">, </w:t>
      </w:r>
      <w:proofErr w:type="spellStart"/>
      <w:r w:rsidR="00D448E9" w:rsidRPr="00D448E9">
        <w:rPr>
          <w:rFonts w:ascii="Times New Roman" w:hAnsi="Times New Roman" w:cs="Times New Roman"/>
        </w:rPr>
        <w:t>Gamborg</w:t>
      </w:r>
      <w:proofErr w:type="spellEnd"/>
      <w:r w:rsidR="00D448E9" w:rsidRPr="00D448E9">
        <w:rPr>
          <w:rFonts w:ascii="Times New Roman" w:hAnsi="Times New Roman" w:cs="Times New Roman"/>
        </w:rPr>
        <w:t xml:space="preserve">, Mortensen, &amp; </w:t>
      </w:r>
      <w:proofErr w:type="spellStart"/>
      <w:r w:rsidR="00D448E9" w:rsidRPr="00D448E9">
        <w:rPr>
          <w:rFonts w:ascii="Times New Roman" w:hAnsi="Times New Roman" w:cs="Times New Roman"/>
        </w:rPr>
        <w:t>Sørensen</w:t>
      </w:r>
      <w:proofErr w:type="spellEnd"/>
      <w:r w:rsidR="00D448E9" w:rsidRPr="00D448E9">
        <w:rPr>
          <w:rFonts w:ascii="Times New Roman" w:hAnsi="Times New Roman" w:cs="Times New Roman"/>
        </w:rPr>
        <w:t>, 2010)</w:t>
      </w:r>
      <w:r w:rsidR="00D448E9">
        <w:rPr>
          <w:rFonts w:ascii="Times New Roman" w:hAnsi="Times New Roman" w:cs="Times New Roman"/>
        </w:rPr>
        <w:fldChar w:fldCharType="end"/>
      </w:r>
      <w:r w:rsidR="00D448E9">
        <w:rPr>
          <w:rFonts w:ascii="Times New Roman" w:hAnsi="Times New Roman" w:cs="Times New Roman"/>
        </w:rPr>
        <w:t xml:space="preserve"> .</w:t>
      </w:r>
    </w:p>
    <w:p w14:paraId="19E7E936" w14:textId="77777777" w:rsidR="00BD2DF0" w:rsidRPr="00BD2DF0" w:rsidRDefault="00BD2DF0">
      <w:pPr>
        <w:rPr>
          <w:rFonts w:ascii="Times New Roman" w:hAnsi="Times New Roman" w:cs="Times New Roman"/>
        </w:rPr>
      </w:pPr>
    </w:p>
    <w:p w14:paraId="628B3C7C" w14:textId="176B8F48" w:rsidR="0063377B" w:rsidRPr="0019289A" w:rsidRDefault="003A6BF1">
      <w:pPr>
        <w:rPr>
          <w:rFonts w:ascii="Times New Roman" w:hAnsi="Times New Roman" w:cs="Times New Roman"/>
          <w:b/>
          <w:u w:val="single"/>
        </w:rPr>
      </w:pPr>
      <w:r w:rsidRPr="0019289A">
        <w:rPr>
          <w:rFonts w:ascii="Times New Roman" w:hAnsi="Times New Roman" w:cs="Times New Roman"/>
          <w:b/>
          <w:u w:val="single"/>
        </w:rPr>
        <w:t>Method</w:t>
      </w:r>
      <w:r w:rsidR="00443A77">
        <w:rPr>
          <w:rFonts w:ascii="Times New Roman" w:hAnsi="Times New Roman" w:cs="Times New Roman"/>
          <w:b/>
          <w:u w:val="single"/>
        </w:rPr>
        <w:t>s</w:t>
      </w:r>
      <w:r w:rsidRPr="0019289A">
        <w:rPr>
          <w:rFonts w:ascii="Times New Roman" w:hAnsi="Times New Roman" w:cs="Times New Roman"/>
          <w:b/>
          <w:u w:val="single"/>
        </w:rPr>
        <w:t>:</w:t>
      </w:r>
    </w:p>
    <w:p w14:paraId="41F02E13" w14:textId="77777777" w:rsidR="00391167" w:rsidRDefault="00391167" w:rsidP="00391167">
      <w:pPr>
        <w:rPr>
          <w:rFonts w:ascii="Times New Roman" w:hAnsi="Times New Roman" w:cs="Times New Roman"/>
        </w:rPr>
      </w:pPr>
      <w:r w:rsidRPr="00391167">
        <w:rPr>
          <w:rFonts w:ascii="Times New Roman" w:hAnsi="Times New Roman" w:cs="Times New Roman"/>
        </w:rPr>
        <w:t>Study population</w:t>
      </w:r>
      <w:r w:rsidRPr="00391167">
        <w:rPr>
          <w:rFonts w:ascii="Times New Roman" w:hAnsi="Times New Roman" w:cs="Times New Roman"/>
        </w:rPr>
        <w:br/>
        <w:t>Assessment of the eating window</w:t>
      </w:r>
      <w:r w:rsidRPr="00391167">
        <w:rPr>
          <w:rFonts w:ascii="Times New Roman" w:hAnsi="Times New Roman" w:cs="Times New Roman"/>
        </w:rPr>
        <w:br/>
        <w:t>Data Analysis</w:t>
      </w:r>
    </w:p>
    <w:p w14:paraId="61BC4530" w14:textId="6D7619A9" w:rsidR="00391167" w:rsidRDefault="00391167" w:rsidP="00391167">
      <w:pPr>
        <w:pStyle w:val="ListParagraph"/>
        <w:numPr>
          <w:ilvl w:val="0"/>
          <w:numId w:val="6"/>
        </w:numPr>
        <w:rPr>
          <w:rFonts w:ascii="Times New Roman" w:hAnsi="Times New Roman" w:cs="Times New Roman"/>
        </w:rPr>
      </w:pPr>
      <w:r>
        <w:rPr>
          <w:rFonts w:ascii="Times New Roman" w:hAnsi="Times New Roman" w:cs="Times New Roman"/>
        </w:rPr>
        <w:lastRenderedPageBreak/>
        <w:t>Multi – what method will I use?</w:t>
      </w:r>
    </w:p>
    <w:p w14:paraId="66C34FB8" w14:textId="5DE59703" w:rsidR="00896452" w:rsidRPr="00391167" w:rsidRDefault="00896452" w:rsidP="00896452">
      <w:pPr>
        <w:pStyle w:val="ListParagraph"/>
        <w:numPr>
          <w:ilvl w:val="1"/>
          <w:numId w:val="6"/>
        </w:numPr>
        <w:rPr>
          <w:rFonts w:ascii="Times New Roman" w:hAnsi="Times New Roman" w:cs="Times New Roman"/>
        </w:rPr>
      </w:pPr>
      <w:r>
        <w:rPr>
          <w:rFonts w:ascii="Times New Roman" w:hAnsi="Times New Roman" w:cs="Times New Roman"/>
        </w:rPr>
        <w:t>Should I use Logistic regression</w:t>
      </w:r>
      <w:r w:rsidR="00443A77">
        <w:rPr>
          <w:rFonts w:ascii="Times New Roman" w:hAnsi="Times New Roman" w:cs="Times New Roman"/>
        </w:rPr>
        <w:t xml:space="preserve"> for preterm birth, gestational diabetes, preeclampsia</w:t>
      </w:r>
      <w:r w:rsidR="00852045">
        <w:rPr>
          <w:rFonts w:ascii="Times New Roman" w:hAnsi="Times New Roman" w:cs="Times New Roman"/>
        </w:rPr>
        <w:t xml:space="preserve"> because its yes no?</w:t>
      </w:r>
      <w:bookmarkStart w:id="1" w:name="_GoBack"/>
      <w:bookmarkEnd w:id="1"/>
    </w:p>
    <w:p w14:paraId="6D482D27" w14:textId="77777777" w:rsidR="00170AA3" w:rsidRPr="00EC4456" w:rsidRDefault="00170AA3">
      <w:pPr>
        <w:rPr>
          <w:rFonts w:ascii="Times New Roman" w:hAnsi="Times New Roman" w:cs="Times New Roman"/>
        </w:rPr>
      </w:pPr>
    </w:p>
    <w:p w14:paraId="665CDE18" w14:textId="44936B27" w:rsidR="003A6BF1" w:rsidRPr="00EC4456" w:rsidRDefault="00AF4FEC">
      <w:pPr>
        <w:rPr>
          <w:rFonts w:ascii="Times New Roman" w:hAnsi="Times New Roman" w:cs="Times New Roman"/>
          <w:b/>
        </w:rPr>
      </w:pPr>
      <w:r w:rsidRPr="00EC4456">
        <w:rPr>
          <w:rFonts w:ascii="Times New Roman" w:hAnsi="Times New Roman" w:cs="Times New Roman"/>
          <w:b/>
        </w:rPr>
        <w:t>Aim 3.1</w:t>
      </w:r>
      <w:r w:rsidR="003A6BF1" w:rsidRPr="00EC4456">
        <w:rPr>
          <w:rFonts w:ascii="Times New Roman" w:hAnsi="Times New Roman" w:cs="Times New Roman"/>
          <w:b/>
        </w:rPr>
        <w:t>:</w:t>
      </w:r>
      <w:r w:rsidRPr="00EC4456">
        <w:rPr>
          <w:rFonts w:ascii="Times New Roman" w:hAnsi="Times New Roman" w:cs="Times New Roman"/>
          <w:b/>
        </w:rPr>
        <w:t xml:space="preserve"> </w:t>
      </w:r>
      <w:r w:rsidR="00B34C3C" w:rsidRPr="00EC4456">
        <w:rPr>
          <w:rFonts w:ascii="Times New Roman" w:hAnsi="Times New Roman" w:cs="Times New Roman"/>
          <w:b/>
        </w:rPr>
        <w:t>Examine the baseline characteristics of the BUMP cohort</w:t>
      </w:r>
    </w:p>
    <w:p w14:paraId="66828AA3" w14:textId="55B48525" w:rsidR="00B34C3C" w:rsidRPr="00EC4456" w:rsidRDefault="00B34C3C">
      <w:pPr>
        <w:rPr>
          <w:rFonts w:ascii="Times New Roman" w:hAnsi="Times New Roman" w:cs="Times New Roman"/>
          <w:u w:val="single"/>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r w:rsidRPr="00EC4456">
        <w:rPr>
          <w:rFonts w:ascii="Times New Roman" w:hAnsi="Times New Roman" w:cs="Times New Roman"/>
        </w:rPr>
        <w:br/>
      </w:r>
      <w:r w:rsidR="00CE2E11">
        <w:rPr>
          <w:rFonts w:ascii="Times New Roman" w:hAnsi="Times New Roman" w:cs="Times New Roman"/>
          <w:u w:val="single"/>
        </w:rPr>
        <w:t>Study Population:</w:t>
      </w:r>
      <w:r w:rsidR="00EA6700">
        <w:rPr>
          <w:rFonts w:ascii="Times New Roman" w:hAnsi="Times New Roman" w:cs="Times New Roman"/>
          <w:u w:val="single"/>
        </w:rPr>
        <w:t xml:space="preserve">  </w:t>
      </w:r>
    </w:p>
    <w:p w14:paraId="686DE279" w14:textId="72787295"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 xml:space="preserve">gives the participant the questionnaire seen in appendix 1. </w:t>
      </w:r>
    </w:p>
    <w:p w14:paraId="13437F84" w14:textId="05834B5A" w:rsidR="000C77A4" w:rsidRDefault="003F0D5C">
      <w:pPr>
        <w:rPr>
          <w:rFonts w:ascii="Times New Roman" w:hAnsi="Times New Roman" w:cs="Times New Roman"/>
          <w:u w:val="single"/>
        </w:rPr>
      </w:pPr>
      <w:r>
        <w:rPr>
          <w:rFonts w:ascii="Times New Roman" w:hAnsi="Times New Roman" w:cs="Times New Roman"/>
        </w:rPr>
        <w:t>Inclusion criteria will be women with live, singleton births who completed at least 2 of the 3 collections during pregnanc</w:t>
      </w:r>
      <w:r w:rsidR="009E2604">
        <w:rPr>
          <w:rFonts w:ascii="Times New Roman" w:hAnsi="Times New Roman" w:cs="Times New Roman"/>
        </w:rPr>
        <w:t>y</w:t>
      </w:r>
      <w:r>
        <w:rPr>
          <w:rFonts w:ascii="Times New Roman" w:hAnsi="Times New Roman" w:cs="Times New Roman"/>
        </w:rPr>
        <w:t>. Pregnancies complicated by fetal anomaly, congen</w:t>
      </w:r>
      <w:r w:rsidR="004A5D7C">
        <w:rPr>
          <w:rFonts w:ascii="Times New Roman" w:hAnsi="Times New Roman" w:cs="Times New Roman"/>
        </w:rPr>
        <w:t>ita</w:t>
      </w:r>
      <w:r>
        <w:rPr>
          <w:rFonts w:ascii="Times New Roman" w:hAnsi="Times New Roman" w:cs="Times New Roman"/>
        </w:rPr>
        <w:t>l birth defects, or poor placentation/placental defects</w:t>
      </w:r>
      <w:r w:rsidR="00235EB4">
        <w:rPr>
          <w:rFonts w:ascii="Times New Roman" w:hAnsi="Times New Roman" w:cs="Times New Roman"/>
        </w:rPr>
        <w:t>, or multiple gestation will be excluded</w:t>
      </w:r>
      <w:r>
        <w:rPr>
          <w:rFonts w:ascii="Times New Roman" w:hAnsi="Times New Roman" w:cs="Times New Roman"/>
        </w:rPr>
        <w:t xml:space="preserve">. This will </w:t>
      </w:r>
      <w:r w:rsidR="009E2604">
        <w:rPr>
          <w:rFonts w:ascii="Times New Roman" w:hAnsi="Times New Roman" w:cs="Times New Roman"/>
        </w:rPr>
        <w:t>result in a population of</w:t>
      </w:r>
      <w:r>
        <w:rPr>
          <w:rFonts w:ascii="Times New Roman" w:hAnsi="Times New Roman" w:cs="Times New Roman"/>
        </w:rPr>
        <w:t xml:space="preserve"> women </w:t>
      </w:r>
      <w:r w:rsidR="009E2604">
        <w:rPr>
          <w:rFonts w:ascii="Times New Roman" w:hAnsi="Times New Roman" w:cs="Times New Roman"/>
        </w:rPr>
        <w:t xml:space="preserve">that could be quite heterogeneous; </w:t>
      </w:r>
      <w:r>
        <w:rPr>
          <w:rFonts w:ascii="Times New Roman" w:hAnsi="Times New Roman" w:cs="Times New Roman"/>
        </w:rPr>
        <w:t xml:space="preserve">who may or may not have obesity, may or may not have experienced gestational hypertension, gestational diabetes, preterm birth, cesarean delivery, or taken glucocorticoid drugs during the course of their pregnancy.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Pr>
          <w:rFonts w:ascii="Times New Roman" w:hAnsi="Times New Roman" w:cs="Times New Roman"/>
          <w:u w:val="single"/>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frozen and kept at the 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w:t>
      </w:r>
      <w:proofErr w:type="spellStart"/>
      <w:r w:rsidR="001009B3">
        <w:rPr>
          <w:rFonts w:ascii="Times New Roman" w:hAnsi="Times New Roman" w:cs="Times New Roman"/>
        </w:rPr>
        <w:t>RNAlater</w:t>
      </w:r>
      <w:proofErr w:type="spellEnd"/>
      <w:r w:rsidR="001009B3">
        <w:rPr>
          <w:rFonts w:ascii="Times New Roman" w:hAnsi="Times New Roman" w:cs="Times New Roman"/>
        </w:rPr>
        <w:t xml:space="preserve">,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524EE5">
      <w:pPr>
        <w:rPr>
          <w:rFonts w:ascii="Times New Roman" w:hAnsi="Times New Roman" w:cs="Times New Roman"/>
          <w:u w:val="single"/>
        </w:rPr>
      </w:pPr>
      <w:r w:rsidRPr="0030552D">
        <w:rPr>
          <w:rFonts w:ascii="Times New Roman" w:hAnsi="Times New Roman" w:cs="Times New Roman"/>
          <w:u w:val="single"/>
        </w:rPr>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pPr>
        <w:rPr>
          <w:rFonts w:ascii="Times New Roman" w:hAnsi="Times New Roman" w:cs="Times New Roman"/>
          <w:u w:val="single"/>
        </w:rPr>
      </w:pPr>
      <w:r>
        <w:rPr>
          <w:rFonts w:ascii="Times New Roman" w:hAnsi="Times New Roman" w:cs="Times New Roman"/>
          <w:u w:val="single"/>
        </w:rPr>
        <w:t>Assessment of Feeding Window</w:t>
      </w:r>
    </w:p>
    <w:p w14:paraId="26B545D3" w14:textId="5B10888E" w:rsidR="0080130E" w:rsidRPr="00EC4456" w:rsidRDefault="0080130E" w:rsidP="0080130E">
      <w:pPr>
        <w:rPr>
          <w:rFonts w:ascii="Times New Roman" w:hAnsi="Times New Roman" w:cs="Times New Roman"/>
        </w:rPr>
      </w:pPr>
      <w:r>
        <w:rPr>
          <w:rFonts w:ascii="Times New Roman" w:hAnsi="Times New Roman" w:cs="Times New Roman"/>
        </w:rPr>
        <w:t xml:space="preserve">In order to ascertain the window within each participant consumes their meals each day, the following questions were added to the intake questionnaire, “On a typical day during your pregnancy, when was the first time in the day you had something to eat?” to </w:t>
      </w:r>
      <w:r>
        <w:rPr>
          <w:rFonts w:ascii="Times New Roman" w:hAnsi="Times New Roman" w:cs="Times New Roman"/>
        </w:rPr>
        <w:t>determine</w:t>
      </w:r>
      <w:r>
        <w:rPr>
          <w:rFonts w:ascii="Times New Roman" w:hAnsi="Times New Roman" w:cs="Times New Roman"/>
        </w:rPr>
        <w:t xml:space="preserve"> the beginning of the feeding period, and “On a typical day during your pregnancy, when was the last time you had something to eat before going to bed?” to assess the closing of the </w:t>
      </w:r>
      <w:r>
        <w:rPr>
          <w:rFonts w:ascii="Times New Roman" w:hAnsi="Times New Roman" w:cs="Times New Roman"/>
        </w:rPr>
        <w:t>feed</w:t>
      </w:r>
      <w:r>
        <w:rPr>
          <w:rFonts w:ascii="Times New Roman" w:hAnsi="Times New Roman" w:cs="Times New Roman"/>
        </w:rPr>
        <w:t xml:space="preserve">ing period. </w:t>
      </w:r>
      <w:r>
        <w:rPr>
          <w:rFonts w:ascii="Times New Roman" w:hAnsi="Times New Roman" w:cs="Times New Roman"/>
        </w:rPr>
        <w:t>Ideally, t</w:t>
      </w:r>
      <w:r>
        <w:rPr>
          <w:rFonts w:ascii="Times New Roman" w:hAnsi="Times New Roman" w:cs="Times New Roman"/>
        </w:rPr>
        <w:t xml:space="preserve">he responses will be grouped into a categorical variable consisting of </w:t>
      </w:r>
      <w:proofErr w:type="gramStart"/>
      <w:r>
        <w:rPr>
          <w:rFonts w:ascii="Times New Roman" w:hAnsi="Times New Roman" w:cs="Times New Roman"/>
        </w:rPr>
        <w:t>2 hour</w:t>
      </w:r>
      <w:proofErr w:type="gramEnd"/>
      <w:r>
        <w:rPr>
          <w:rFonts w:ascii="Times New Roman" w:hAnsi="Times New Roman" w:cs="Times New Roman"/>
        </w:rPr>
        <w:t xml:space="preserve"> differences in length of the feeding window</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br/>
        <w:t xml:space="preserve">&gt;12 hours, 10-12 hours, 8-10 hours, 6-8 hours, and &lt;6 hours. These feeding windows are all reflected in the TRF literature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(Rothschild, Hoddy, Jambazian, &amp; Varady, 2014)</w:t>
      </w:r>
      <w:r>
        <w:rPr>
          <w:rFonts w:ascii="Times New Roman" w:hAnsi="Times New Roman" w:cs="Times New Roman"/>
        </w:rPr>
        <w:fldChar w:fldCharType="end"/>
      </w:r>
      <w:r>
        <w:rPr>
          <w:rFonts w:ascii="Times New Roman" w:hAnsi="Times New Roman" w:cs="Times New Roman"/>
        </w:rPr>
        <w:t xml:space="preserve">. </w:t>
      </w:r>
    </w:p>
    <w:p w14:paraId="7F9588FD" w14:textId="77777777" w:rsidR="0080130E" w:rsidRPr="0080130E" w:rsidRDefault="0080130E">
      <w:pPr>
        <w:rPr>
          <w:rFonts w:ascii="Times New Roman" w:hAnsi="Times New Roman" w:cs="Times New Roman"/>
        </w:rPr>
      </w:pPr>
    </w:p>
    <w:p w14:paraId="3B8D8A32" w14:textId="3FFB7210" w:rsidR="006B6F41" w:rsidRDefault="006B6F41">
      <w:pPr>
        <w:rPr>
          <w:rFonts w:ascii="Times New Roman" w:hAnsi="Times New Roman" w:cs="Times New Roman"/>
        </w:rPr>
      </w:pPr>
    </w:p>
    <w:p w14:paraId="2C5397BF" w14:textId="161C4BAE" w:rsidR="006B6F41" w:rsidRDefault="006B6F41">
      <w:pPr>
        <w:rPr>
          <w:rFonts w:ascii="Times New Roman" w:hAnsi="Times New Roman" w:cs="Times New Roman"/>
          <w:u w:val="single"/>
        </w:rPr>
      </w:pPr>
      <w:r>
        <w:rPr>
          <w:rFonts w:ascii="Times New Roman" w:hAnsi="Times New Roman" w:cs="Times New Roman"/>
          <w:u w:val="single"/>
        </w:rPr>
        <w:t xml:space="preserve">Univariate </w:t>
      </w:r>
      <w:r w:rsidR="000661AC">
        <w:rPr>
          <w:rFonts w:ascii="Times New Roman" w:hAnsi="Times New Roman" w:cs="Times New Roman"/>
          <w:u w:val="single"/>
        </w:rPr>
        <w:t>and Bivariate Analyses</w:t>
      </w:r>
    </w:p>
    <w:p w14:paraId="3873E29B" w14:textId="7D3BC6C8" w:rsidR="000A7B2F" w:rsidRPr="000A7B2F" w:rsidRDefault="000661AC">
      <w:pPr>
        <w:rPr>
          <w:rFonts w:ascii="Times New Roman" w:hAnsi="Times New Roman" w:cs="Times New Roman"/>
        </w:rPr>
      </w:pPr>
      <w:r>
        <w:rPr>
          <w:rFonts w:ascii="Times New Roman" w:hAnsi="Times New Roman" w:cs="Times New Roman"/>
        </w:rPr>
        <w:t>In order to assess the distribut</w:t>
      </w:r>
      <w:r w:rsidR="009460F0">
        <w:rPr>
          <w:rFonts w:ascii="Times New Roman" w:hAnsi="Times New Roman" w:cs="Times New Roman"/>
        </w:rPr>
        <w:t xml:space="preserve">ions of the maternal feeding window data and gestational and infant outcomes, </w:t>
      </w:r>
      <w:r w:rsidR="00D56E95">
        <w:rPr>
          <w:rFonts w:ascii="Times New Roman" w:hAnsi="Times New Roman" w:cs="Times New Roman"/>
        </w:rPr>
        <w:t>I will conduct a univariate analysis of each variable independently. This will determine whether or not these variables need to be normalized for use in multiple regression and will determine cutoffs for the categorical variable for feeding window length.</w:t>
      </w:r>
      <w:r w:rsidR="00D56E95">
        <w:rPr>
          <w:rFonts w:ascii="Times New Roman" w:hAnsi="Times New Roman" w:cs="Times New Roman"/>
        </w:rPr>
        <w:br/>
      </w:r>
      <w:r w:rsidR="00D56E95">
        <w:rPr>
          <w:rFonts w:ascii="Times New Roman" w:hAnsi="Times New Roman" w:cs="Times New Roman"/>
        </w:rPr>
        <w:br/>
        <w:t xml:space="preserve">Bivariate analyses will then be conducted by examining the distributions of the outcome variables across socio-demographic and maternal health indices. This will identify variable that should be considered confounders in the relationship </w:t>
      </w:r>
      <w:r w:rsidR="00752734">
        <w:rPr>
          <w:rFonts w:ascii="Times New Roman" w:hAnsi="Times New Roman" w:cs="Times New Roman"/>
        </w:rPr>
        <w:t xml:space="preserve">between the feeding window during pregnancy and maternal and child health outcomes. </w:t>
      </w:r>
    </w:p>
    <w:p w14:paraId="2E4EDB2B" w14:textId="77777777" w:rsidR="0030552D" w:rsidRDefault="0030552D">
      <w:pPr>
        <w:rPr>
          <w:rFonts w:ascii="Times New Roman" w:hAnsi="Times New Roman" w:cs="Times New Roman"/>
        </w:rPr>
      </w:pPr>
    </w:p>
    <w:p w14:paraId="42AD22FE" w14:textId="5F270959" w:rsidR="004A09BB" w:rsidRPr="005F085A" w:rsidRDefault="004A09BB">
      <w:pPr>
        <w:rPr>
          <w:rFonts w:ascii="Times New Roman" w:hAnsi="Times New Roman" w:cs="Times New Roman"/>
          <w:i/>
        </w:rPr>
      </w:pPr>
      <w:r w:rsidRPr="005F085A">
        <w:rPr>
          <w:rFonts w:ascii="Times New Roman" w:hAnsi="Times New Roman" w:cs="Times New Roman"/>
          <w:i/>
        </w:rPr>
        <w:t>Predicted confounders for bivariate analysis:</w:t>
      </w:r>
    </w:p>
    <w:p w14:paraId="779E837B" w14:textId="6958F34D" w:rsidR="004A09BB" w:rsidRDefault="004A09BB">
      <w:pPr>
        <w:rPr>
          <w:rFonts w:ascii="Times New Roman" w:hAnsi="Times New Roman" w:cs="Times New Roman"/>
        </w:rPr>
      </w:pPr>
      <w:r>
        <w:rPr>
          <w:rFonts w:ascii="Times New Roman" w:hAnsi="Times New Roman" w:cs="Times New Roman"/>
        </w:rPr>
        <w:t>Maternal gest age at enrollment</w:t>
      </w:r>
      <w:r>
        <w:rPr>
          <w:rFonts w:ascii="Times New Roman" w:hAnsi="Times New Roman" w:cs="Times New Roman"/>
        </w:rPr>
        <w:br/>
        <w:t>Maternal race/ethnicity</w:t>
      </w:r>
      <w:r>
        <w:rPr>
          <w:rFonts w:ascii="Times New Roman" w:hAnsi="Times New Roman" w:cs="Times New Roman"/>
        </w:rPr>
        <w:br/>
        <w:t>Household Income</w:t>
      </w:r>
      <w:r>
        <w:rPr>
          <w:rFonts w:ascii="Times New Roman" w:hAnsi="Times New Roman" w:cs="Times New Roman"/>
        </w:rPr>
        <w:br/>
        <w:t>pre-pregnancy BMI</w:t>
      </w:r>
      <w:r>
        <w:rPr>
          <w:rFonts w:ascii="Times New Roman" w:hAnsi="Times New Roman" w:cs="Times New Roman"/>
        </w:rPr>
        <w:br/>
        <w:t>Gestational Weight Gain</w:t>
      </w:r>
    </w:p>
    <w:p w14:paraId="147ACD82" w14:textId="696F66B3" w:rsidR="004A09BB" w:rsidRDefault="004A09BB">
      <w:pPr>
        <w:rPr>
          <w:rFonts w:ascii="Times New Roman" w:hAnsi="Times New Roman" w:cs="Times New Roman"/>
        </w:rPr>
      </w:pPr>
      <w:r>
        <w:rPr>
          <w:rFonts w:ascii="Times New Roman" w:hAnsi="Times New Roman" w:cs="Times New Roman"/>
        </w:rPr>
        <w:t>Smoking Status</w:t>
      </w:r>
    </w:p>
    <w:p w14:paraId="71C3DDC8" w14:textId="0995D8F0" w:rsidR="004A09BB" w:rsidRDefault="004A09BB">
      <w:pPr>
        <w:rPr>
          <w:rFonts w:ascii="Times New Roman" w:hAnsi="Times New Roman" w:cs="Times New Roman"/>
        </w:rPr>
      </w:pPr>
      <w:r>
        <w:rPr>
          <w:rFonts w:ascii="Times New Roman" w:hAnsi="Times New Roman" w:cs="Times New Roman"/>
        </w:rPr>
        <w:t>Sleep quality</w:t>
      </w:r>
    </w:p>
    <w:p w14:paraId="54B014F3" w14:textId="4714FE15" w:rsidR="001C5F4B" w:rsidRDefault="001C5F4B">
      <w:pPr>
        <w:rPr>
          <w:rFonts w:ascii="Times New Roman" w:hAnsi="Times New Roman" w:cs="Times New Roman"/>
        </w:rPr>
      </w:pPr>
      <w:r>
        <w:rPr>
          <w:rFonts w:ascii="Times New Roman" w:hAnsi="Times New Roman" w:cs="Times New Roman"/>
        </w:rPr>
        <w:t>Offspring Sex</w:t>
      </w:r>
    </w:p>
    <w:p w14:paraId="7A37F4A8" w14:textId="77777777" w:rsidR="004A09BB" w:rsidRPr="00EC4456" w:rsidRDefault="004A09BB">
      <w:pPr>
        <w:rPr>
          <w:rFonts w:ascii="Times New Roman" w:hAnsi="Times New Roman" w:cs="Times New Roman"/>
        </w:rPr>
      </w:pPr>
    </w:p>
    <w:p w14:paraId="14555095" w14:textId="379690DB" w:rsidR="00AF4FEC" w:rsidRPr="00003BC5" w:rsidRDefault="00AF4FEC" w:rsidP="00AF4FEC">
      <w:pPr>
        <w:rPr>
          <w:rFonts w:ascii="Times New Roman" w:hAnsi="Times New Roman" w:cs="Times New Roman"/>
          <w:b/>
          <w:u w:val="single"/>
        </w:rPr>
      </w:pPr>
      <w:r w:rsidRPr="00003BC5">
        <w:rPr>
          <w:rFonts w:ascii="Times New Roman" w:hAnsi="Times New Roman" w:cs="Times New Roman"/>
          <w:b/>
          <w:u w:val="single"/>
        </w:rPr>
        <w:t>Aim 3.2.</w:t>
      </w:r>
      <w:r w:rsidR="00B34C3C" w:rsidRPr="00003BC5">
        <w:rPr>
          <w:rFonts w:ascii="Times New Roman" w:hAnsi="Times New Roman" w:cs="Times New Roman"/>
          <w:b/>
          <w:u w:val="single"/>
        </w:rPr>
        <w:t xml:space="preserve"> Investigate the </w:t>
      </w:r>
      <w:r w:rsidR="009F7140" w:rsidRPr="00003BC5">
        <w:rPr>
          <w:rFonts w:ascii="Times New Roman" w:hAnsi="Times New Roman" w:cs="Times New Roman"/>
          <w:b/>
          <w:u w:val="single"/>
        </w:rPr>
        <w:t xml:space="preserve">associations of </w:t>
      </w:r>
      <w:r w:rsidR="005F085A" w:rsidRPr="00003BC5">
        <w:rPr>
          <w:rFonts w:ascii="Times New Roman" w:hAnsi="Times New Roman" w:cs="Times New Roman"/>
          <w:b/>
          <w:u w:val="single"/>
        </w:rPr>
        <w:t>feeding window length on maternal and child health outcomes</w:t>
      </w:r>
    </w:p>
    <w:p w14:paraId="5F7FEC11" w14:textId="37FCFDA4" w:rsidR="00AF4FEC" w:rsidRPr="00BA7939"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 xml:space="preserve">continuous outcomes,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C747D50" w14:textId="11A7FDA0" w:rsidR="00AF4FEC" w:rsidRPr="00F9070B" w:rsidRDefault="00212D1E" w:rsidP="00212D1E">
      <w:pPr>
        <w:rPr>
          <w:rFonts w:ascii="Times New Roman" w:hAnsi="Times New Roman" w:cs="Times New Roman"/>
          <w:b/>
          <w:u w:val="single"/>
        </w:rPr>
      </w:pPr>
      <w:r w:rsidRPr="00F9070B">
        <w:rPr>
          <w:rFonts w:ascii="Times New Roman" w:hAnsi="Times New Roman" w:cs="Times New Roman"/>
          <w:b/>
          <w:u w:val="single"/>
        </w:rPr>
        <w:t xml:space="preserve">Aim 3.3 </w:t>
      </w:r>
      <w:r w:rsidR="000E6934">
        <w:rPr>
          <w:rFonts w:ascii="Times New Roman" w:hAnsi="Times New Roman" w:cs="Times New Roman"/>
          <w:b/>
          <w:u w:val="single"/>
        </w:rPr>
        <w:t xml:space="preserve">Examine biological samples for </w:t>
      </w:r>
    </w:p>
    <w:p w14:paraId="54F1EC80" w14:textId="1AA7A8ED" w:rsidR="00BD2DF0" w:rsidRPr="00EC4456" w:rsidRDefault="00BD2DF0" w:rsidP="00BD2DF0">
      <w:pPr>
        <w:jc w:val="both"/>
        <w:rPr>
          <w:rFonts w:ascii="Times New Roman" w:hAnsi="Times New Roman" w:cs="Times New Roman"/>
        </w:rPr>
      </w:pPr>
      <w:r>
        <w:rPr>
          <w:rFonts w:ascii="Times New Roman" w:hAnsi="Times New Roman" w:cs="Times New Roman"/>
        </w:rPr>
        <w:t xml:space="preserve">The BUMP cohort not only has chart data available, but also has a series of biological samples for use that will help us to derive more mechanistic answers to our questions about the associations with shorter feeding periods and maternal and child health outcomes. Among the chart information that we would like to assess the association of feeding with are: </w:t>
      </w:r>
      <w:r w:rsidRPr="00EC4456">
        <w:rPr>
          <w:rFonts w:ascii="Times New Roman" w:hAnsi="Times New Roman" w:cs="Times New Roman"/>
        </w:rPr>
        <w:t xml:space="preserve">preterm birth, small for gestational age, intrauterine fetal demise, gestational diabetes, gestational weight gain, and pre-eclampsia. </w:t>
      </w:r>
    </w:p>
    <w:p w14:paraId="2BD705EF" w14:textId="01EBFA67" w:rsidR="00F9070B" w:rsidRDefault="00F9070B" w:rsidP="00AF4FEC">
      <w:pPr>
        <w:ind w:firstLine="360"/>
        <w:rPr>
          <w:rFonts w:ascii="Times New Roman" w:hAnsi="Times New Roman" w:cs="Times New Roman"/>
        </w:rPr>
      </w:pPr>
    </w:p>
    <w:p w14:paraId="1FC8DE21" w14:textId="37FACEA9" w:rsidR="00AF4FEC" w:rsidRDefault="00AF4FEC" w:rsidP="00AF4FEC">
      <w:pPr>
        <w:ind w:firstLine="360"/>
        <w:rPr>
          <w:rFonts w:ascii="Times New Roman" w:hAnsi="Times New Roman" w:cs="Times New Roman"/>
        </w:rPr>
      </w:pPr>
      <w:r w:rsidRPr="00EC4456">
        <w:rPr>
          <w:rFonts w:ascii="Times New Roman" w:hAnsi="Times New Roman" w:cs="Times New Roman"/>
        </w:rPr>
        <w:t>ID biomarkers I’d like to address in urine/blood of these mamas – should reflect animal portion</w:t>
      </w:r>
    </w:p>
    <w:p w14:paraId="7C4B9F13" w14:textId="61FE4D18" w:rsidR="00782C3A" w:rsidRDefault="00782C3A">
      <w:pPr>
        <w:rPr>
          <w:sz w:val="20"/>
          <w:szCs w:val="20"/>
        </w:rPr>
      </w:pPr>
      <w:r>
        <w:rPr>
          <w:sz w:val="20"/>
          <w:szCs w:val="20"/>
        </w:rPr>
        <w:br w:type="page"/>
      </w:r>
    </w:p>
    <w:p w14:paraId="73E084BB" w14:textId="34C9D36B" w:rsidR="00391167" w:rsidRPr="000628F8" w:rsidRDefault="00391167">
      <w:pPr>
        <w:rPr>
          <w:rFonts w:ascii="Times New Roman" w:hAnsi="Times New Roman" w:cs="Times New Roman"/>
          <w:b/>
          <w:u w:val="single"/>
        </w:rPr>
      </w:pPr>
      <w:r w:rsidRPr="000628F8">
        <w:rPr>
          <w:rFonts w:ascii="Times New Roman" w:hAnsi="Times New Roman" w:cs="Times New Roman"/>
          <w:b/>
          <w:u w:val="single"/>
        </w:rPr>
        <w:lastRenderedPageBreak/>
        <w:t>Potential Pitfalls and alternative approaches:</w:t>
      </w:r>
    </w:p>
    <w:p w14:paraId="34B675E3" w14:textId="66990D9E" w:rsidR="00EA6700" w:rsidRPr="000628F8" w:rsidRDefault="006D4B8D" w:rsidP="00EA6700">
      <w:pPr>
        <w:rPr>
          <w:rFonts w:ascii="Times New Roman" w:hAnsi="Times New Roman" w:cs="Times New Roman"/>
        </w:rPr>
      </w:pPr>
      <w:r w:rsidRPr="000628F8">
        <w:rPr>
          <w:rFonts w:ascii="Times New Roman" w:hAnsi="Times New Roman" w:cs="Times New Roman"/>
        </w:rPr>
        <w:t>Low recruitment/underpowered</w:t>
      </w:r>
      <w:r w:rsidR="00311456" w:rsidRPr="000628F8">
        <w:rPr>
          <w:rFonts w:ascii="Times New Roman" w:hAnsi="Times New Roman" w:cs="Times New Roman"/>
        </w:rPr>
        <w:t xml:space="preserve"> in the feeding windows</w:t>
      </w:r>
    </w:p>
    <w:p w14:paraId="40F34C89" w14:textId="5A5A60A1" w:rsidR="006D0C87" w:rsidRPr="000628F8" w:rsidRDefault="006D0C87" w:rsidP="00EA6700">
      <w:pPr>
        <w:rPr>
          <w:rFonts w:ascii="Times New Roman" w:hAnsi="Times New Roman" w:cs="Times New Roman"/>
        </w:rPr>
      </w:pPr>
      <w:r w:rsidRPr="000628F8">
        <w:rPr>
          <w:rFonts w:ascii="Times New Roman" w:hAnsi="Times New Roman" w:cs="Times New Roman"/>
        </w:rPr>
        <w:tab/>
        <w:t>Could evaluate as a continuous vs categorical variable.</w:t>
      </w:r>
    </w:p>
    <w:p w14:paraId="6F47611E" w14:textId="3FD6659B" w:rsidR="006D4B8D" w:rsidRPr="000628F8" w:rsidRDefault="006D0C87" w:rsidP="00EA6700">
      <w:pPr>
        <w:rPr>
          <w:rFonts w:ascii="Times New Roman" w:hAnsi="Times New Roman" w:cs="Times New Roman"/>
        </w:rPr>
      </w:pPr>
      <w:r w:rsidRPr="000628F8">
        <w:rPr>
          <w:rFonts w:ascii="Times New Roman" w:hAnsi="Times New Roman" w:cs="Times New Roman"/>
        </w:rPr>
        <w:t>Limited amount of repeat samples</w:t>
      </w:r>
    </w:p>
    <w:p w14:paraId="239670EB" w14:textId="77777777" w:rsidR="00311456" w:rsidRPr="000628F8" w:rsidRDefault="006D0C87" w:rsidP="00EA6700">
      <w:pPr>
        <w:rPr>
          <w:rFonts w:ascii="Times New Roman" w:hAnsi="Times New Roman" w:cs="Times New Roman"/>
        </w:rPr>
      </w:pPr>
      <w:r w:rsidRPr="000628F8">
        <w:rPr>
          <w:rFonts w:ascii="Times New Roman" w:hAnsi="Times New Roman" w:cs="Times New Roman"/>
        </w:rPr>
        <w:tab/>
        <w:t xml:space="preserve">Use multiple linear regression instead of </w:t>
      </w:r>
      <w:r w:rsidR="00311456" w:rsidRPr="000628F8">
        <w:rPr>
          <w:rFonts w:ascii="Times New Roman" w:hAnsi="Times New Roman" w:cs="Times New Roman"/>
        </w:rPr>
        <w:t>MLMs</w:t>
      </w:r>
    </w:p>
    <w:p w14:paraId="165C537A" w14:textId="77777777" w:rsidR="000628F8" w:rsidRPr="000628F8" w:rsidRDefault="00311456" w:rsidP="00EA6700">
      <w:pPr>
        <w:rPr>
          <w:rFonts w:ascii="Times New Roman" w:hAnsi="Times New Roman" w:cs="Times New Roman"/>
        </w:rPr>
      </w:pPr>
      <w:r w:rsidRPr="000628F8">
        <w:rPr>
          <w:rFonts w:ascii="Times New Roman" w:hAnsi="Times New Roman" w:cs="Times New Roman"/>
        </w:rPr>
        <w:t xml:space="preserve">Lower or unrepresentative incidence of </w:t>
      </w:r>
      <w:r w:rsidR="000628F8" w:rsidRPr="000628F8">
        <w:rPr>
          <w:rFonts w:ascii="Times New Roman" w:hAnsi="Times New Roman" w:cs="Times New Roman"/>
        </w:rPr>
        <w:t>disease states</w:t>
      </w:r>
    </w:p>
    <w:p w14:paraId="403E5E0E" w14:textId="77777777" w:rsidR="000628F8" w:rsidRPr="000628F8" w:rsidRDefault="000628F8" w:rsidP="00EA6700">
      <w:pPr>
        <w:rPr>
          <w:rFonts w:ascii="Times New Roman" w:hAnsi="Times New Roman" w:cs="Times New Roman"/>
        </w:rPr>
      </w:pPr>
      <w:r w:rsidRPr="000628F8">
        <w:rPr>
          <w:rFonts w:ascii="Times New Roman" w:hAnsi="Times New Roman" w:cs="Times New Roman"/>
        </w:rPr>
        <w:tab/>
        <w:t>Be cautious in interpretations</w:t>
      </w:r>
    </w:p>
    <w:p w14:paraId="1F04BC4F" w14:textId="14A97C46" w:rsidR="006D0C87" w:rsidRPr="000628F8" w:rsidRDefault="000628F8" w:rsidP="00EA6700">
      <w:pPr>
        <w:rPr>
          <w:sz w:val="20"/>
          <w:szCs w:val="20"/>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r w:rsidR="00311456"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450EF116" w:rsidR="00336C4A" w:rsidRPr="006433D4" w:rsidRDefault="00336C4A" w:rsidP="006433D4">
      <w:pPr>
        <w:pStyle w:val="Bibliography"/>
        <w:jc w:val="center"/>
        <w:rPr>
          <w:b/>
          <w:sz w:val="20"/>
          <w:szCs w:val="20"/>
        </w:rPr>
      </w:pPr>
      <w:r w:rsidRPr="006433D4">
        <w:rPr>
          <w:b/>
          <w:sz w:val="20"/>
          <w:szCs w:val="20"/>
        </w:rPr>
        <w:lastRenderedPageBreak/>
        <w:t>Works Consulted</w:t>
      </w:r>
    </w:p>
    <w:p w14:paraId="7BF1E42F" w14:textId="77777777" w:rsidR="00D448E9" w:rsidRPr="00D448E9" w:rsidRDefault="00336C4A" w:rsidP="00D448E9">
      <w:pPr>
        <w:pStyle w:val="Bibliography"/>
        <w:rPr>
          <w:rFonts w:ascii="Calibri" w:cs="Calibri"/>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00D448E9" w:rsidRPr="00D448E9">
        <w:rPr>
          <w:rFonts w:ascii="Calibri" w:cs="Calibri"/>
          <w:sz w:val="20"/>
        </w:rPr>
        <w:t xml:space="preserve">Kramer, M. S., McLean, F. H., Eason, E. L., &amp; Usher, R. H. (1992). Maternal Nutrition and Spontaneous Preterm Birth. </w:t>
      </w:r>
      <w:r w:rsidR="00D448E9" w:rsidRPr="00D448E9">
        <w:rPr>
          <w:rFonts w:ascii="Calibri" w:cs="Calibri"/>
          <w:i/>
          <w:iCs/>
          <w:sz w:val="20"/>
        </w:rPr>
        <w:t>American Journal of Epidemiology</w:t>
      </w:r>
      <w:r w:rsidR="00D448E9" w:rsidRPr="00D448E9">
        <w:rPr>
          <w:rFonts w:ascii="Calibri" w:cs="Calibri"/>
          <w:sz w:val="20"/>
        </w:rPr>
        <w:t xml:space="preserve">, </w:t>
      </w:r>
      <w:r w:rsidR="00D448E9" w:rsidRPr="00D448E9">
        <w:rPr>
          <w:rFonts w:ascii="Calibri" w:cs="Calibri"/>
          <w:i/>
          <w:iCs/>
          <w:sz w:val="20"/>
        </w:rPr>
        <w:t>136</w:t>
      </w:r>
      <w:r w:rsidR="00D448E9" w:rsidRPr="00D448E9">
        <w:rPr>
          <w:rFonts w:ascii="Calibri" w:cs="Calibri"/>
          <w:sz w:val="20"/>
        </w:rPr>
        <w:t>(5), 574–583. https://doi.org/10.1093/oxfordjournals.aje.a116535</w:t>
      </w:r>
    </w:p>
    <w:p w14:paraId="09CBC667" w14:textId="77777777" w:rsidR="00D448E9" w:rsidRPr="00D448E9" w:rsidRDefault="00D448E9" w:rsidP="00D448E9">
      <w:pPr>
        <w:pStyle w:val="Bibliography"/>
        <w:rPr>
          <w:rFonts w:ascii="Calibri" w:cs="Calibri"/>
          <w:sz w:val="20"/>
        </w:rPr>
      </w:pPr>
      <w:r w:rsidRPr="00D448E9">
        <w:rPr>
          <w:rFonts w:ascii="Calibri" w:cs="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D448E9">
        <w:rPr>
          <w:rFonts w:ascii="Calibri" w:cs="Calibri"/>
          <w:i/>
          <w:iCs/>
          <w:sz w:val="20"/>
        </w:rPr>
        <w:t>Hypertension</w:t>
      </w:r>
      <w:r w:rsidRPr="00D448E9">
        <w:rPr>
          <w:rFonts w:ascii="Calibri" w:cs="Calibri"/>
          <w:sz w:val="20"/>
        </w:rPr>
        <w:t xml:space="preserve">, </w:t>
      </w:r>
      <w:r w:rsidRPr="00D448E9">
        <w:rPr>
          <w:rFonts w:ascii="Calibri" w:cs="Calibri"/>
          <w:i/>
          <w:iCs/>
          <w:sz w:val="20"/>
        </w:rPr>
        <w:t>65</w:t>
      </w:r>
      <w:r w:rsidRPr="00D448E9">
        <w:rPr>
          <w:rFonts w:ascii="Calibri" w:cs="Calibri"/>
          <w:sz w:val="20"/>
        </w:rPr>
        <w:t>(3), 607–614. https://doi.org/10.1161/HYPERTENSIONAHA.114.04662</w:t>
      </w:r>
    </w:p>
    <w:p w14:paraId="69872379" w14:textId="77777777" w:rsidR="00D448E9" w:rsidRPr="00D448E9" w:rsidRDefault="00D448E9" w:rsidP="00D448E9">
      <w:pPr>
        <w:pStyle w:val="Bibliography"/>
        <w:rPr>
          <w:rFonts w:ascii="Calibri" w:cs="Calibri"/>
          <w:sz w:val="20"/>
        </w:rPr>
      </w:pPr>
      <w:r w:rsidRPr="00D448E9">
        <w:rPr>
          <w:rFonts w:ascii="Calibri" w:cs="Calibri"/>
          <w:sz w:val="20"/>
        </w:rPr>
        <w:t xml:space="preserve">Randel, A. (2014). ACOG Releases Guideline on Gestational Diabetes. </w:t>
      </w:r>
      <w:r w:rsidRPr="00D448E9">
        <w:rPr>
          <w:rFonts w:ascii="Calibri" w:cs="Calibri"/>
          <w:i/>
          <w:iCs/>
          <w:sz w:val="20"/>
        </w:rPr>
        <w:t>American Family Physician</w:t>
      </w:r>
      <w:r w:rsidRPr="00D448E9">
        <w:rPr>
          <w:rFonts w:ascii="Calibri" w:cs="Calibri"/>
          <w:sz w:val="20"/>
        </w:rPr>
        <w:t xml:space="preserve">, </w:t>
      </w:r>
      <w:r w:rsidRPr="00D448E9">
        <w:rPr>
          <w:rFonts w:ascii="Calibri" w:cs="Calibri"/>
          <w:i/>
          <w:iCs/>
          <w:sz w:val="20"/>
        </w:rPr>
        <w:t>90</w:t>
      </w:r>
      <w:r w:rsidRPr="00D448E9">
        <w:rPr>
          <w:rFonts w:ascii="Calibri" w:cs="Calibri"/>
          <w:sz w:val="20"/>
        </w:rPr>
        <w:t>(6), 416–417.</w:t>
      </w:r>
    </w:p>
    <w:p w14:paraId="0068D2CB" w14:textId="77777777" w:rsidR="00D448E9" w:rsidRPr="00D448E9" w:rsidRDefault="00D448E9" w:rsidP="00D448E9">
      <w:pPr>
        <w:pStyle w:val="Bibliography"/>
        <w:rPr>
          <w:rFonts w:ascii="Calibri" w:cs="Calibri"/>
          <w:sz w:val="20"/>
        </w:rPr>
      </w:pPr>
      <w:r w:rsidRPr="00D448E9">
        <w:rPr>
          <w:rFonts w:ascii="Calibri" w:cs="Calibri"/>
          <w:sz w:val="20"/>
        </w:rPr>
        <w:t xml:space="preserve">Rothschild, J., </w:t>
      </w:r>
      <w:proofErr w:type="spellStart"/>
      <w:r w:rsidRPr="00D448E9">
        <w:rPr>
          <w:rFonts w:ascii="Calibri" w:cs="Calibri"/>
          <w:sz w:val="20"/>
        </w:rPr>
        <w:t>Hoddy</w:t>
      </w:r>
      <w:proofErr w:type="spellEnd"/>
      <w:r w:rsidRPr="00D448E9">
        <w:rPr>
          <w:rFonts w:ascii="Calibri" w:cs="Calibri"/>
          <w:sz w:val="20"/>
        </w:rPr>
        <w:t xml:space="preserve">, K. K., </w:t>
      </w:r>
      <w:proofErr w:type="spellStart"/>
      <w:r w:rsidRPr="00D448E9">
        <w:rPr>
          <w:rFonts w:ascii="Calibri" w:cs="Calibri"/>
          <w:sz w:val="20"/>
        </w:rPr>
        <w:t>Jambazian</w:t>
      </w:r>
      <w:proofErr w:type="spellEnd"/>
      <w:r w:rsidRPr="00D448E9">
        <w:rPr>
          <w:rFonts w:ascii="Calibri" w:cs="Calibri"/>
          <w:sz w:val="20"/>
        </w:rPr>
        <w:t xml:space="preserve">, P., &amp; </w:t>
      </w:r>
      <w:proofErr w:type="spellStart"/>
      <w:r w:rsidRPr="00D448E9">
        <w:rPr>
          <w:rFonts w:ascii="Calibri" w:cs="Calibri"/>
          <w:sz w:val="20"/>
        </w:rPr>
        <w:t>Varady</w:t>
      </w:r>
      <w:proofErr w:type="spellEnd"/>
      <w:r w:rsidRPr="00D448E9">
        <w:rPr>
          <w:rFonts w:ascii="Calibri" w:cs="Calibri"/>
          <w:sz w:val="20"/>
        </w:rPr>
        <w:t xml:space="preserve">, K. A. (2014). Time-restricted feeding and risk of metabolic disease: A review of human and animal studies. </w:t>
      </w:r>
      <w:r w:rsidRPr="00D448E9">
        <w:rPr>
          <w:rFonts w:ascii="Calibri" w:cs="Calibri"/>
          <w:i/>
          <w:iCs/>
          <w:sz w:val="20"/>
        </w:rPr>
        <w:t>Nutrition Reviews</w:t>
      </w:r>
      <w:r w:rsidRPr="00D448E9">
        <w:rPr>
          <w:rFonts w:ascii="Calibri" w:cs="Calibri"/>
          <w:sz w:val="20"/>
        </w:rPr>
        <w:t xml:space="preserve">, </w:t>
      </w:r>
      <w:r w:rsidRPr="00D448E9">
        <w:rPr>
          <w:rFonts w:ascii="Calibri" w:cs="Calibri"/>
          <w:i/>
          <w:iCs/>
          <w:sz w:val="20"/>
        </w:rPr>
        <w:t>72</w:t>
      </w:r>
      <w:r w:rsidRPr="00D448E9">
        <w:rPr>
          <w:rFonts w:ascii="Calibri" w:cs="Calibri"/>
          <w:sz w:val="20"/>
        </w:rPr>
        <w:t>(5), 308–318. https://doi.org/10.1111/nure.12104</w:t>
      </w:r>
    </w:p>
    <w:p w14:paraId="506B768F" w14:textId="77777777" w:rsidR="00D448E9" w:rsidRPr="00D448E9" w:rsidRDefault="00D448E9" w:rsidP="00D448E9">
      <w:pPr>
        <w:pStyle w:val="Bibliography"/>
        <w:rPr>
          <w:rFonts w:ascii="Calibri" w:cs="Calibri"/>
          <w:sz w:val="20"/>
        </w:rPr>
      </w:pPr>
      <w:r w:rsidRPr="00D448E9">
        <w:rPr>
          <w:rFonts w:ascii="Calibri" w:cs="Calibri"/>
          <w:sz w:val="20"/>
        </w:rPr>
        <w:t xml:space="preserve">Schack-Nielsen, L., </w:t>
      </w:r>
      <w:proofErr w:type="spellStart"/>
      <w:r w:rsidRPr="00D448E9">
        <w:rPr>
          <w:rFonts w:ascii="Calibri" w:cs="Calibri"/>
          <w:sz w:val="20"/>
        </w:rPr>
        <w:t>Michaelsen</w:t>
      </w:r>
      <w:proofErr w:type="spellEnd"/>
      <w:r w:rsidRPr="00D448E9">
        <w:rPr>
          <w:rFonts w:ascii="Calibri" w:cs="Calibri"/>
          <w:sz w:val="20"/>
        </w:rPr>
        <w:t xml:space="preserve">, K. F., </w:t>
      </w:r>
      <w:proofErr w:type="spellStart"/>
      <w:r w:rsidRPr="00D448E9">
        <w:rPr>
          <w:rFonts w:ascii="Calibri" w:cs="Calibri"/>
          <w:sz w:val="20"/>
        </w:rPr>
        <w:t>Gamborg</w:t>
      </w:r>
      <w:proofErr w:type="spellEnd"/>
      <w:r w:rsidRPr="00D448E9">
        <w:rPr>
          <w:rFonts w:ascii="Calibri" w:cs="Calibri"/>
          <w:sz w:val="20"/>
        </w:rPr>
        <w:t xml:space="preserve">, M., Mortensen, E. L., &amp; </w:t>
      </w:r>
      <w:proofErr w:type="spellStart"/>
      <w:r w:rsidRPr="00D448E9">
        <w:rPr>
          <w:rFonts w:ascii="Calibri" w:cs="Calibri"/>
          <w:sz w:val="20"/>
        </w:rPr>
        <w:t>Sørensen</w:t>
      </w:r>
      <w:proofErr w:type="spellEnd"/>
      <w:r w:rsidRPr="00D448E9">
        <w:rPr>
          <w:rFonts w:ascii="Calibri" w:cs="Calibri"/>
          <w:sz w:val="20"/>
        </w:rPr>
        <w:t xml:space="preserve">, T. I. A. (2010). Gestational weight gain in relation to offspring body mass index and obesity from infancy through adulthood. </w:t>
      </w:r>
      <w:r w:rsidRPr="00D448E9">
        <w:rPr>
          <w:rFonts w:ascii="Calibri" w:cs="Calibri"/>
          <w:i/>
          <w:iCs/>
          <w:sz w:val="20"/>
        </w:rPr>
        <w:t>International Journal of Obesity</w:t>
      </w:r>
      <w:r w:rsidRPr="00D448E9">
        <w:rPr>
          <w:rFonts w:ascii="Calibri" w:cs="Calibri"/>
          <w:sz w:val="20"/>
        </w:rPr>
        <w:t xml:space="preserve">, </w:t>
      </w:r>
      <w:r w:rsidRPr="00D448E9">
        <w:rPr>
          <w:rFonts w:ascii="Calibri" w:cs="Calibri"/>
          <w:i/>
          <w:iCs/>
          <w:sz w:val="20"/>
        </w:rPr>
        <w:t>34</w:t>
      </w:r>
      <w:r w:rsidRPr="00D448E9">
        <w:rPr>
          <w:rFonts w:ascii="Calibri" w:cs="Calibri"/>
          <w:sz w:val="20"/>
        </w:rPr>
        <w:t>(1), 67–74. https://doi.org/10.1038/ijo.2009.206</w:t>
      </w:r>
    </w:p>
    <w:p w14:paraId="10D725B0" w14:textId="45B02A5C"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BC9A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45C65"/>
    <w:rsid w:val="000628F8"/>
    <w:rsid w:val="000661AC"/>
    <w:rsid w:val="000A7B2F"/>
    <w:rsid w:val="000C77A4"/>
    <w:rsid w:val="000D54D1"/>
    <w:rsid w:val="000E6934"/>
    <w:rsid w:val="001009B3"/>
    <w:rsid w:val="0011720E"/>
    <w:rsid w:val="00170AA3"/>
    <w:rsid w:val="001761CF"/>
    <w:rsid w:val="00186B53"/>
    <w:rsid w:val="00190A56"/>
    <w:rsid w:val="0019289A"/>
    <w:rsid w:val="001976D3"/>
    <w:rsid w:val="001A104A"/>
    <w:rsid w:val="001C5F4B"/>
    <w:rsid w:val="002047D2"/>
    <w:rsid w:val="00212D1E"/>
    <w:rsid w:val="0021427A"/>
    <w:rsid w:val="00234CF5"/>
    <w:rsid w:val="00235EB4"/>
    <w:rsid w:val="002D7724"/>
    <w:rsid w:val="0030552D"/>
    <w:rsid w:val="00311456"/>
    <w:rsid w:val="00336C4A"/>
    <w:rsid w:val="00391167"/>
    <w:rsid w:val="003A6BF1"/>
    <w:rsid w:val="003B39F4"/>
    <w:rsid w:val="003F0D5C"/>
    <w:rsid w:val="00404585"/>
    <w:rsid w:val="00443A77"/>
    <w:rsid w:val="00454F31"/>
    <w:rsid w:val="004A09BB"/>
    <w:rsid w:val="004A5D7C"/>
    <w:rsid w:val="00524EE5"/>
    <w:rsid w:val="005658CA"/>
    <w:rsid w:val="00587EB0"/>
    <w:rsid w:val="005F085A"/>
    <w:rsid w:val="006158C3"/>
    <w:rsid w:val="0063377B"/>
    <w:rsid w:val="006433D4"/>
    <w:rsid w:val="00675BEA"/>
    <w:rsid w:val="006A33A0"/>
    <w:rsid w:val="006B6F41"/>
    <w:rsid w:val="006D0C87"/>
    <w:rsid w:val="006D4B8D"/>
    <w:rsid w:val="006E2457"/>
    <w:rsid w:val="00752734"/>
    <w:rsid w:val="0077375D"/>
    <w:rsid w:val="00782C3A"/>
    <w:rsid w:val="0080130E"/>
    <w:rsid w:val="00836B61"/>
    <w:rsid w:val="00837E12"/>
    <w:rsid w:val="00852045"/>
    <w:rsid w:val="00896452"/>
    <w:rsid w:val="009460F0"/>
    <w:rsid w:val="009E2604"/>
    <w:rsid w:val="009E7211"/>
    <w:rsid w:val="009F5166"/>
    <w:rsid w:val="009F7140"/>
    <w:rsid w:val="00A72CDB"/>
    <w:rsid w:val="00A81367"/>
    <w:rsid w:val="00AD65AB"/>
    <w:rsid w:val="00AF4FEC"/>
    <w:rsid w:val="00B10379"/>
    <w:rsid w:val="00B34C3C"/>
    <w:rsid w:val="00BA5C18"/>
    <w:rsid w:val="00BA7939"/>
    <w:rsid w:val="00BC503B"/>
    <w:rsid w:val="00BC5240"/>
    <w:rsid w:val="00BD2DF0"/>
    <w:rsid w:val="00BE7432"/>
    <w:rsid w:val="00CE2E11"/>
    <w:rsid w:val="00D448E9"/>
    <w:rsid w:val="00D47344"/>
    <w:rsid w:val="00D56E95"/>
    <w:rsid w:val="00D710F4"/>
    <w:rsid w:val="00DC69E0"/>
    <w:rsid w:val="00E75FD7"/>
    <w:rsid w:val="00E87F8A"/>
    <w:rsid w:val="00E9677A"/>
    <w:rsid w:val="00EA6700"/>
    <w:rsid w:val="00EC4456"/>
    <w:rsid w:val="00F75B80"/>
    <w:rsid w:val="00F9070B"/>
    <w:rsid w:val="00FA63D8"/>
    <w:rsid w:val="00FE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68</cp:revision>
  <dcterms:created xsi:type="dcterms:W3CDTF">2019-12-11T21:32:00Z</dcterms:created>
  <dcterms:modified xsi:type="dcterms:W3CDTF">2019-12-16T03:32:00Z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id="1i1kh7W2"/&gt;&lt;style id="http://www.zotero.org/styles/apa" locale="en-US" hasBibliography="1" bibliographyStyleHasBeenSet="1"/&gt;&lt;prefs&gt;&lt;pref name="fieldType" value="Field"/&gt;&lt;/prefs&gt;&lt;/data&gt;</vt:lpwstr>
  </property>
  <property fmtid="{D5CDD505-2E9C-101B-9397-08002B2CF9AE}" pid="3" name="ZOTERO_PREF_2">
    <vt:lpwstr/>
  </property>
</Properties>
</file>