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4938" w14:textId="77777777" w:rsidR="00F10D03" w:rsidRPr="00EC4456" w:rsidRDefault="00F10D03" w:rsidP="00F10D03">
      <w:pPr>
        <w:pStyle w:val="Heading1"/>
      </w:pPr>
      <w:r w:rsidRPr="00EC4456">
        <w:t xml:space="preserve">Translational Aim 3: Characterize the prevalence and associations of restricted feeding with maternal and child health in humans. </w:t>
      </w:r>
    </w:p>
    <w:p w14:paraId="5EF678CC" w14:textId="32C89867" w:rsidR="005A77D1" w:rsidRDefault="005A77D1" w:rsidP="0063377B">
      <w:pPr>
        <w:jc w:val="both"/>
        <w:rPr>
          <w:rFonts w:ascii="Times New Roman" w:hAnsi="Times New Roman" w:cs="Times New Roman"/>
          <w:b/>
        </w:rPr>
      </w:pPr>
    </w:p>
    <w:p w14:paraId="060A5CBD" w14:textId="77777777" w:rsidR="006573D4" w:rsidRPr="00883BA9" w:rsidRDefault="006573D4" w:rsidP="001558C3">
      <w:pPr>
        <w:pStyle w:val="Heading2"/>
      </w:pPr>
      <w:r w:rsidRPr="00883BA9">
        <w:t>Background:</w:t>
      </w:r>
    </w:p>
    <w:p w14:paraId="18F64C97" w14:textId="7B0C8F74" w:rsidR="00F10D03" w:rsidRDefault="00F10D03" w:rsidP="001558C3">
      <w:pPr>
        <w:pStyle w:val="Heading3"/>
      </w:pPr>
      <w:r>
        <w:t>Intermittent fasting and time-restricted feeding</w:t>
      </w:r>
    </w:p>
    <w:p w14:paraId="76CA0B27" w14:textId="3A0F1D00" w:rsidR="00F10D03" w:rsidRPr="00F66111" w:rsidRDefault="00F10D03" w:rsidP="00F10D03">
      <w:pPr>
        <w:rPr>
          <w:rFonts w:ascii="Times New Roman" w:hAnsi="Times New Roman" w:cs="Times New Roman"/>
        </w:rPr>
      </w:pPr>
      <w:r w:rsidRPr="00F66111">
        <w:rPr>
          <w:rFonts w:ascii="Times New Roman" w:hAnsi="Times New Roman" w:cs="Times New Roman"/>
        </w:rPr>
        <w:t>Time-restricted feeding</w:t>
      </w:r>
      <w:r w:rsidRPr="00F66111">
        <w:rPr>
          <w:rFonts w:ascii="Times New Roman" w:hAnsi="Times New Roman" w:cs="Times New Roman"/>
        </w:rPr>
        <w:t xml:space="preserve"> (TRF)</w:t>
      </w:r>
      <w:r w:rsidRPr="00F66111">
        <w:rPr>
          <w:rFonts w:ascii="Times New Roman" w:hAnsi="Times New Roman" w:cs="Times New Roman"/>
        </w:rPr>
        <w:t>, meaning a designated and condensed period in which one consumes their daily calories (usually between 6-10 hours in length)</w:t>
      </w:r>
      <w:r w:rsidRPr="00F66111">
        <w:rPr>
          <w:rFonts w:ascii="Times New Roman" w:hAnsi="Times New Roman" w:cs="Times New Roman"/>
        </w:rPr>
        <w:t>.</w:t>
      </w:r>
      <w:r w:rsidRPr="00F66111">
        <w:rPr>
          <w:rFonts w:ascii="Times New Roman" w:hAnsi="Times New Roman" w:cs="Times New Roman"/>
        </w:rPr>
        <w:t xml:space="preserve">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(Stockman, Thomas, Burke, &amp; Apovian, 2018)</w:t>
      </w:r>
      <w:r w:rsidRPr="00F66111">
        <w:rPr>
          <w:rFonts w:ascii="Times New Roman" w:hAnsi="Times New Roman" w:cs="Times New Roman"/>
        </w:rPr>
        <w:fldChar w:fldCharType="end"/>
      </w:r>
      <w:r w:rsidRPr="00F66111">
        <w:rPr>
          <w:rFonts w:ascii="Times New Roman" w:hAnsi="Times New Roman" w:cs="Times New Roman"/>
        </w:rPr>
        <w:t xml:space="preserve">. Studies in </w:t>
      </w:r>
      <w:r w:rsidR="004B32ED" w:rsidRPr="00F66111">
        <w:rPr>
          <w:rFonts w:ascii="Times New Roman" w:hAnsi="Times New Roman" w:cs="Times New Roman"/>
        </w:rPr>
        <w:t xml:space="preserve">adult </w:t>
      </w:r>
      <w:r w:rsidRPr="00F66111">
        <w:rPr>
          <w:rFonts w:ascii="Times New Roman" w:hAnsi="Times New Roman" w:cs="Times New Roman"/>
        </w:rPr>
        <w:t xml:space="preserve">humans </w:t>
      </w:r>
      <w:r w:rsidR="004B32ED" w:rsidRPr="00F66111">
        <w:rPr>
          <w:rFonts w:ascii="Times New Roman" w:hAnsi="Times New Roman" w:cs="Times New Roman"/>
        </w:rPr>
        <w:t>show</w:t>
      </w:r>
      <w:r w:rsidRPr="00F66111">
        <w:rPr>
          <w:rFonts w:ascii="Times New Roman" w:hAnsi="Times New Roman" w:cs="Times New Roman"/>
        </w:rPr>
        <w:t xml:space="preserve"> improvements in insulin sensitivity, hypertension, as well as other molecular markers of health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(Halberg et al., 2005; Hatori et al., 2012; Kahleova, Lloren, Mashchak, Hill, &amp; Fraser, 2017; Liu et al., 2019; n.d.; Ravussin, Beyl, Poggiogalle, Hsia, &amp; Peterson,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xml:space="preserve">. </w:t>
      </w:r>
      <w:r w:rsidR="004B32ED" w:rsidRPr="00F66111">
        <w:rPr>
          <w:rFonts w:ascii="Times New Roman" w:hAnsi="Times New Roman" w:cs="Times New Roman"/>
        </w:rPr>
        <w:t>There is evidence that these metabolic improvements can be achieved without weight loss or caloric restriction in both humans</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(Sutton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and animals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(Hatori et al., 2012)</w:t>
      </w:r>
      <w:r w:rsidR="004B32ED" w:rsidRPr="00F66111">
        <w:rPr>
          <w:rFonts w:ascii="Times New Roman" w:hAnsi="Times New Roman" w:cs="Times New Roman"/>
        </w:rPr>
        <w:fldChar w:fldCharType="end"/>
      </w:r>
      <w:r w:rsidR="004B32ED" w:rsidRPr="00F66111">
        <w:rPr>
          <w:rFonts w:ascii="Times New Roman" w:hAnsi="Times New Roman" w:cs="Times New Roman"/>
        </w:rPr>
        <w:t>.</w:t>
      </w:r>
      <w:r w:rsidRPr="00F66111">
        <w:rPr>
          <w:rFonts w:ascii="Times New Roman" w:hAnsi="Times New Roman" w:cs="Times New Roman"/>
        </w:rPr>
        <w:t xml:space="preserve"> This suggests that time-restricted feeding may be an appropriate strategy for use in insulin resistant pregnant women. </w:t>
      </w:r>
      <w:r w:rsidR="00C23BEB" w:rsidRPr="00F66111">
        <w:rPr>
          <w:rFonts w:ascii="Times New Roman" w:hAnsi="Times New Roman" w:cs="Times New Roman"/>
        </w:rPr>
        <w:t xml:space="preserve">Although it should be said that IF is a controversial dietary practice, which could contribute to the lack of research of this practice in pregnant women. The goal </w:t>
      </w:r>
      <w:r w:rsidR="002056EA" w:rsidRPr="00F66111">
        <w:rPr>
          <w:rFonts w:ascii="Times New Roman" w:hAnsi="Times New Roman" w:cs="Times New Roman"/>
        </w:rPr>
        <w:t>of this portion of the proposed dissertation work is to observe eating practices without assigning an intervention, be begin the lengthy process of understanding whether or not this could be applied to expectant female humans.</w:t>
      </w:r>
    </w:p>
    <w:p w14:paraId="5A6E8CD5" w14:textId="77777777" w:rsidR="00F10D03" w:rsidRPr="00F66111" w:rsidRDefault="00F10D03" w:rsidP="006573D4">
      <w:pPr>
        <w:rPr>
          <w:rFonts w:ascii="Times New Roman" w:hAnsi="Times New Roman" w:cs="Times New Roman"/>
          <w:u w:val="single"/>
        </w:rPr>
      </w:pPr>
    </w:p>
    <w:p w14:paraId="56948039" w14:textId="5A096F7B" w:rsidR="006573D4" w:rsidRPr="00B10379" w:rsidRDefault="006573D4" w:rsidP="001558C3">
      <w:pPr>
        <w:pStyle w:val="Heading3"/>
      </w:pPr>
      <w:r w:rsidRPr="00B10379">
        <w:t xml:space="preserve">Fasting </w:t>
      </w:r>
      <w:r w:rsidR="001558C3">
        <w:t xml:space="preserve">and </w:t>
      </w:r>
      <w:r w:rsidRPr="00B10379">
        <w:t>in pregnancy</w:t>
      </w:r>
    </w:p>
    <w:p w14:paraId="4483AFC1" w14:textId="0660346F" w:rsidR="00F10D03" w:rsidRPr="00F66111" w:rsidRDefault="006573D4" w:rsidP="00F10D03">
      <w:pPr>
        <w:rPr>
          <w:rFonts w:ascii="Times New Roman" w:hAnsi="Times New Roman" w:cs="Times New Roman"/>
        </w:rPr>
      </w:pPr>
      <w:r w:rsidRPr="00F66111">
        <w:rPr>
          <w:rFonts w:ascii="Times New Roman" w:hAnsi="Times New Roman" w:cs="Times New Roman"/>
        </w:rPr>
        <w:t>Intermittent fasting during pregnancy has not been</w:t>
      </w:r>
      <w:r w:rsidR="004B32ED" w:rsidRPr="00F66111">
        <w:rPr>
          <w:rFonts w:ascii="Times New Roman" w:hAnsi="Times New Roman" w:cs="Times New Roman"/>
        </w:rPr>
        <w:t xml:space="preserve"> </w:t>
      </w:r>
      <w:r w:rsidRPr="00F66111">
        <w:rPr>
          <w:rFonts w:ascii="Times New Roman" w:hAnsi="Times New Roman" w:cs="Times New Roman"/>
        </w:rPr>
        <w:t>examined in humans</w:t>
      </w:r>
      <w:r w:rsidR="004B32ED" w:rsidRPr="00F66111">
        <w:rPr>
          <w:rFonts w:ascii="Times New Roman" w:hAnsi="Times New Roman" w:cs="Times New Roman"/>
        </w:rPr>
        <w:t>, even at the observational level</w:t>
      </w:r>
      <w:r w:rsidRPr="00F66111">
        <w:rPr>
          <w:rFonts w:ascii="Times New Roman" w:hAnsi="Times New Roman" w:cs="Times New Roman"/>
        </w:rPr>
        <w:t xml:space="preserve">. The closest analogue to the TRF paradigm of IF would be fasting in Ramadan. </w:t>
      </w:r>
      <w:r w:rsidR="001558C3" w:rsidRPr="00F66111">
        <w:rPr>
          <w:rFonts w:ascii="Times New Roman" w:hAnsi="Times New Roman" w:cs="Times New Roman"/>
        </w:rPr>
        <w:t>Ramadan fasting takes place over the course of a month in the Islam calendar. During Ramadan, all food and water consumption if confined to after sunset and before morning prayer (1 hour before sunrise).</w:t>
      </w:r>
      <w:r w:rsidR="001558C3" w:rsidRPr="00F66111">
        <w:rPr>
          <w:rFonts w:ascii="Times New Roman" w:eastAsia="Times New Roman" w:hAnsi="Times New Roman" w:cs="Times New Roman"/>
          <w:color w:val="1D1C1D"/>
          <w:sz w:val="23"/>
          <w:szCs w:val="23"/>
          <w:shd w:val="clear" w:color="auto" w:fill="F8F8F8"/>
        </w:rPr>
        <w:t xml:space="preserve"> </w:t>
      </w:r>
      <w:r w:rsidR="001558C3"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w:t>
      </w:r>
      <w:r w:rsidR="004B32ED" w:rsidRPr="00F66111">
        <w:rPr>
          <w:rFonts w:ascii="Times New Roman" w:hAnsi="Times New Roman" w:cs="Times New Roman"/>
        </w:rPr>
        <w:t xml:space="preserve">These studies show that gestational age is often similar between those who fasted and those who did not fast during pregnancy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Daley et al., 2017; Hizli et al., 2012; Savitri et al., 2014)</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Furthermore, there may be a greater incidence in low birth weight babies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Savitri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especially if the Ramadan fasting took place in the first trimester of pregnancy</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(Ziaee et al., 2010)</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w:t>
      </w:r>
      <w:r w:rsidRPr="00F66111">
        <w:rPr>
          <w:rFonts w:ascii="Times New Roman" w:hAnsi="Times New Roman" w:cs="Times New Roman"/>
        </w:rPr>
        <w:t xml:space="preserve">Ramadan fasting </w:t>
      </w:r>
      <w:r w:rsidR="00965DDC" w:rsidRPr="00F66111">
        <w:rPr>
          <w:rFonts w:ascii="Times New Roman" w:hAnsi="Times New Roman" w:cs="Times New Roman"/>
        </w:rPr>
        <w:t>is an imperfect proxy</w:t>
      </w:r>
      <w:r w:rsidRPr="00F66111">
        <w:rPr>
          <w:rFonts w:ascii="Times New Roman" w:hAnsi="Times New Roman" w:cs="Times New Roman"/>
        </w:rPr>
        <w:t xml:space="preserve"> for the TRF paradigm of IF, as it often is accompanied by changes in sleep patterns and food </w:t>
      </w:r>
      <w:r w:rsidR="00965DDC" w:rsidRPr="00F66111">
        <w:rPr>
          <w:rFonts w:ascii="Times New Roman" w:hAnsi="Times New Roman" w:cs="Times New Roman"/>
        </w:rPr>
        <w:t>choices</w:t>
      </w:r>
      <w:r w:rsidRPr="00F66111">
        <w:rPr>
          <w:rFonts w:ascii="Times New Roman" w:hAnsi="Times New Roman" w:cs="Times New Roman"/>
        </w:rPr>
        <w:t xml:space="preserve">, both of which could independently affect disease risk and health. </w:t>
      </w:r>
    </w:p>
    <w:p w14:paraId="270A7D3F" w14:textId="47891F72" w:rsidR="00883BA9" w:rsidRDefault="00883BA9" w:rsidP="00883BA9"/>
    <w:p w14:paraId="5873B3E0" w14:textId="77777777" w:rsidR="00883BA9" w:rsidRPr="00542418" w:rsidRDefault="00883BA9" w:rsidP="00883BA9">
      <w:pPr>
        <w:pStyle w:val="Heading3"/>
      </w:pPr>
      <w:r w:rsidRPr="00542418">
        <w:t>Nutrient Restriction in Gestation</w:t>
      </w:r>
    </w:p>
    <w:p w14:paraId="69C877FB" w14:textId="17E03ECC" w:rsidR="00883BA9" w:rsidRPr="00F66111" w:rsidRDefault="00883BA9" w:rsidP="00883BA9">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w:t>
      </w:r>
      <w:r w:rsidRPr="00F66111">
        <w:rPr>
          <w:rFonts w:ascii="Times New Roman" w:hAnsi="Times New Roman" w:cs="Times New Roman"/>
        </w:rPr>
        <w:lastRenderedPageBreak/>
        <w:t xml:space="preserve">upon weaning, resulting in excess body weight, body fat, and leptin resistance upon reaching adulthood. Experiments with restrictive feeding in pregnancy have mostly been accomplished 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{"citationID":"6IOiQfiq","properties":{"formattedCitation":"(Cunha et al., 2015; Govic, Penman, Tammer, &amp; Paolini, 2016)","plainCitation":"(Cunha et al., 2015; Govic, Penman, Tammer, &amp; Paolini, 2016)","noteIndex":0},"citationItems":[{"id":"heszFRWm/SWdVrIJF","uris":["http://zotero.org/users/local/2BJQ9o4N/items/7XRDXS6X"],"uri":["http://zotero.org/users/local/2BJQ9o4N/items/7XRDXS6X"],"itemData":{"id":265,"type":"article-journal","title":"Paternal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4B32ED" w:rsidRPr="00F66111">
        <w:rPr>
          <w:rFonts w:ascii="Cambria Math" w:hAnsi="Cambria Math" w:cs="Cambria Math"/>
        </w:rPr>
        <w:instrText>∼</w:instrText>
      </w:r>
      <w:r w:rsidR="004B32ED" w:rsidRPr="00F66111">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G."}],"issued":{"date-parts":[["2016",2]]}}},{"id":"heszFRWm/kJPj2Bfl","uris":["http://zotero.org/users/local/2BJQ9o4N/items/WLHPJ6SU"],"uri":["http://zotero.org/users/local/2BJQ9o4N/items/WLHPJ6SU"],"itemData":{"id":355,"type":"article-journal","title":"Both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(Cunha et al., 2015; Govic, Penman, Tammer, &amp; Paolini,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{"citationID":"nr7qmrv3","properties":{"formattedCitation":"(Metrustry et al., 2018; Seckl &amp; Holmes, 2007)","plainCitation":"(Metrustry et al., 2018; Seckl &amp; Holmes, 2007)","noteIndex":0},"citationItems":[{"id":"heszFRWm/Upq45uNk","uris":["http://zotero.org/users/local/2BJQ9o4N/items/UY4WIVYJ"],"uri":["http://zotero.org/users/local/2BJQ9o4N/items/UY4WIVYJ"],"itemData":{"id":224,"type":"article-journal","title":"Mechanisms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C."}],"issued":{"date-parts":[["2007",6]]}}},{"id":"heszFRWm/JNKr6Exp","uris":["http://zotero.org/users/local/2BJQ9o4N/items/Z9AZTK5P"],"uri":["http://zotero.org/users/local/2BJQ9o4N/items/Z9AZTK5P"],"itemData":{"id":298,"type":"article-journal","title":"Metabolomic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 xml:space="preserve">in utero </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15114D2A" w14:textId="77777777" w:rsidR="00883BA9" w:rsidRDefault="00883BA9" w:rsidP="006573D4">
      <w:pPr>
        <w:rPr>
          <w:rFonts w:ascii="Times New Roman" w:hAnsi="Times New Roman" w:cs="Times New Roman"/>
        </w:rPr>
      </w:pPr>
    </w:p>
    <w:p w14:paraId="3B78C4CD" w14:textId="77777777" w:rsidR="006573D4" w:rsidRPr="00B10379" w:rsidRDefault="006573D4" w:rsidP="001558C3">
      <w:pPr>
        <w:pStyle w:val="Heading3"/>
      </w:pPr>
      <w: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507ABAB3" w14:textId="77777777" w:rsidR="006573D4" w:rsidRDefault="006573D4" w:rsidP="006573D4">
      <w:pPr>
        <w:rPr>
          <w:rFonts w:ascii="Times New Roman" w:hAnsi="Times New Roman" w:cs="Times New Roman"/>
          <w:u w:val="single"/>
        </w:rPr>
      </w:pPr>
    </w:p>
    <w:p w14:paraId="7117D66D" w14:textId="23BEA117" w:rsidR="006573D4" w:rsidRPr="00BB475C" w:rsidRDefault="006573D4" w:rsidP="00BB475C">
      <w:pPr>
        <w:pStyle w:val="Heading3"/>
      </w:pPr>
      <w:r>
        <w:t>Maternal Health Outcomes</w:t>
      </w:r>
    </w:p>
    <w:p w14:paraId="3A8A0125" w14:textId="6FD4A84C" w:rsidR="006573D4" w:rsidRDefault="006573D4" w:rsidP="006573D4">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The appropriate amount of weight that is to be gained for a healthful pregnancy is drawing attention from both clinicians and researchers in recent years, and recommendations have been tailored to pre-pregnancy BMI to optimize offspring health outcomes</w:t>
      </w:r>
      <w:r w:rsidR="00BB475C" w:rsidRPr="00F66111">
        <w:rPr>
          <w:rFonts w:ascii="Times New Roman" w:hAnsi="Times New Roman" w:cs="Times New Roman"/>
        </w:rPr>
        <w:t xml:space="preserve">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(Rasmussen et al., 2010)</w:t>
      </w:r>
      <w:r w:rsidR="005F153A" w:rsidRPr="00F66111">
        <w:rPr>
          <w:rFonts w:ascii="Times New Roman" w:hAnsi="Times New Roman" w:cs="Times New Roman"/>
        </w:rPr>
        <w:fldChar w:fldCharType="end"/>
      </w:r>
      <w:r w:rsidR="00BB475C" w:rsidRPr="00F66111">
        <w:rPr>
          <w:rFonts w:ascii="Times New Roman" w:hAnsi="Times New Roman" w:cs="Times New Roman"/>
        </w:rPr>
        <w:t>.</w:t>
      </w:r>
      <w:r w:rsidR="005F153A" w:rsidRPr="00F66111">
        <w:rPr>
          <w:rFonts w:ascii="Times New Roman" w:hAnsi="Times New Roman" w:cs="Times New Roman"/>
        </w:rPr>
        <w:t xml:space="preserve"> </w:t>
      </w:r>
      <w:r w:rsidRPr="00F66111">
        <w:rPr>
          <w:rFonts w:ascii="Times New Roman" w:hAnsi="Times New Roman" w:cs="Times New Roman"/>
        </w:rPr>
        <w:t xml:space="preserve">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w:t>
      </w:r>
      <w:r w:rsidR="005F153A" w:rsidRPr="00F66111">
        <w:rPr>
          <w:rFonts w:ascii="Times New Roman" w:hAnsi="Times New Roman" w:cs="Times New Roman"/>
        </w:rPr>
        <w:t xml:space="preserve"> </w:t>
      </w:r>
      <w:r w:rsidR="005F153A" w:rsidRPr="00F66111">
        <w:rPr>
          <w:rFonts w:ascii="Times New Roman" w:hAnsi="Times New Roman" w:cs="Times New Roman"/>
        </w:rPr>
        <w:t>Although insulin resistance and weight gain are considered normal adaptations to pregnancy, there are many women who experience excessive, pathological insulin resistance and gestational weight gain</w:t>
      </w:r>
      <w:r w:rsidR="005F153A" w:rsidRPr="00F66111">
        <w:rPr>
          <w:rFonts w:ascii="Times New Roman" w:hAnsi="Times New Roman" w:cs="Times New Roman"/>
        </w:rPr>
        <w:t xml:space="preserve">; which manifests as gestational diabetes. </w:t>
      </w:r>
      <w:r w:rsidR="005F153A" w:rsidRPr="00F66111">
        <w:rPr>
          <w:rFonts w:ascii="Times New Roman" w:hAnsi="Times New Roman" w:cs="Times New Roman"/>
        </w:rPr>
        <w:t xml:space="preserve">Cho and colleagues estimate that globally, gestational diabetes affects  9.8 % of pregnancies in women aged 20-24 years; the prevalence dramatically increases for women of advanced age during pregnancy (45-49 years) to 45.1%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(Cho et al., 2018)</w:t>
      </w:r>
      <w:r w:rsidR="005F153A" w:rsidRPr="00F66111">
        <w:rPr>
          <w:rFonts w:ascii="Times New Roman" w:hAnsi="Times New Roman" w:cs="Times New Roman"/>
        </w:rPr>
        <w:fldChar w:fldCharType="end"/>
      </w:r>
      <w:r w:rsidR="005F153A" w:rsidRPr="00F66111">
        <w:rPr>
          <w:rFonts w:ascii="Times New Roman" w:hAnsi="Times New Roman" w:cs="Times New Roman"/>
        </w:rPr>
        <w:t>.</w:t>
      </w:r>
      <w:r w:rsidR="005F153A" w:rsidRPr="00F66111">
        <w:rPr>
          <w:rFonts w:ascii="Times New Roman" w:hAnsi="Times New Roman" w:cs="Times New Roman"/>
        </w:rPr>
        <w:t xml:space="preserve"> </w:t>
      </w:r>
    </w:p>
    <w:p w14:paraId="5E4CFEA1" w14:textId="77777777" w:rsidR="009266E6" w:rsidRDefault="009266E6" w:rsidP="009266E6">
      <w:pPr>
        <w:pStyle w:val="Heading2"/>
      </w:pPr>
    </w:p>
    <w:p w14:paraId="6F261F03" w14:textId="7612B6B8" w:rsidR="00D15159" w:rsidRDefault="009266E6" w:rsidP="009266E6">
      <w:pPr>
        <w:pStyle w:val="Heading2"/>
      </w:pPr>
      <w:r>
        <w:t>Main exposure and outcome variables:</w:t>
      </w:r>
    </w:p>
    <w:p w14:paraId="254D1997" w14:textId="600BC4FC" w:rsidR="006573D4" w:rsidRPr="00BD2DF0" w:rsidRDefault="00D15159" w:rsidP="006573D4">
      <w:pPr>
        <w:rPr>
          <w:rFonts w:ascii="Times New Roman" w:hAnsi="Times New Roman" w:cs="Times New Roman"/>
        </w:rPr>
      </w:pPr>
      <w:r>
        <w:rPr>
          <w:rFonts w:ascii="Times New Roman" w:hAnsi="Times New Roman" w:cs="Times New Roman"/>
        </w:rPr>
        <w:t xml:space="preserve">Because the </w:t>
      </w:r>
      <w:r>
        <w:rPr>
          <w:rFonts w:ascii="Times New Roman" w:hAnsi="Times New Roman" w:cs="Times New Roman"/>
        </w:rPr>
        <w:t>insulin-resistance is a well-document</w:t>
      </w:r>
      <w:r>
        <w:rPr>
          <w:rFonts w:ascii="Times New Roman" w:hAnsi="Times New Roman" w:cs="Times New Roman"/>
        </w:rPr>
        <w:t xml:space="preserve"> </w:t>
      </w:r>
      <w:r>
        <w:rPr>
          <w:rFonts w:ascii="Times New Roman" w:hAnsi="Times New Roman" w:cs="Times New Roman"/>
        </w:rPr>
        <w:t>association</w:t>
      </w:r>
      <w:r>
        <w:rPr>
          <w:rFonts w:ascii="Times New Roman" w:hAnsi="Times New Roman" w:cs="Times New Roman"/>
        </w:rPr>
        <w:t xml:space="preserve"> for both maternal fasting</w:t>
      </w:r>
      <w:r>
        <w:rPr>
          <w:rFonts w:ascii="Times New Roman" w:hAnsi="Times New Roman" w:cs="Times New Roman"/>
        </w:rPr>
        <w:t xml:space="preserve"> in Ramadan and intermittent fasting, the primary outcome of interest for this study for mothers will be the development of gestational diabetes. Other analyses for preeclampsia, hyperemesis gravidarum will also be conducted. Because birth weight is consistently studied in women who </w:t>
      </w:r>
      <w:r>
        <w:rPr>
          <w:rFonts w:ascii="Times New Roman" w:hAnsi="Times New Roman" w:cs="Times New Roman"/>
        </w:rPr>
        <w:lastRenderedPageBreak/>
        <w:t xml:space="preserve">observe Ramadan fasting and because intermittent fasting is may affect body weight, the main outcome variable for this study will be child birth weight. </w:t>
      </w:r>
      <w:r w:rsidR="00396AE7">
        <w:rPr>
          <w:rFonts w:ascii="Times New Roman" w:hAnsi="Times New Roman" w:cs="Times New Roman"/>
        </w:rPr>
        <w:t xml:space="preserve">The exposure that will be evaluated in relation to these outcomes is the duration of the feeding window in expectant mothers.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rsidP="001558C3">
      <w:pPr>
        <w:pStyle w:val="Heading2"/>
      </w:pPr>
      <w:r>
        <w:t xml:space="preserve">Translational </w:t>
      </w:r>
      <w:r w:rsidR="00AF4FEC" w:rsidRPr="00EC4456">
        <w:t>Aim 3.1</w:t>
      </w:r>
      <w:r w:rsidR="003A6BF1" w:rsidRPr="00EC4456">
        <w:t>:</w:t>
      </w:r>
      <w:r w:rsidR="00AF4FEC" w:rsidRPr="00EC4456">
        <w:t xml:space="preserve"> </w:t>
      </w:r>
      <w:r w:rsidR="00B34C3C" w:rsidRPr="00EC4456">
        <w:t>Examine the baseline characteristics of the BUMP cohort</w:t>
      </w:r>
    </w:p>
    <w:p w14:paraId="22D02FEF" w14:textId="597BB20A"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1558C3">
      <w:pPr>
        <w:pStyle w:val="Heading3"/>
      </w:pPr>
      <w:r>
        <w:t xml:space="preserve">Study Population:  </w:t>
      </w:r>
    </w:p>
    <w:p w14:paraId="686DE279" w14:textId="6EF3AF89"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Voigtlander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gives the participant the questionnaire</w:t>
      </w:r>
      <w:r w:rsidR="00FF2B4F">
        <w:rPr>
          <w:rFonts w:ascii="Times New Roman" w:hAnsi="Times New Roman" w:cs="Times New Roman"/>
        </w:rPr>
        <w:t xml:space="preserve"> (</w:t>
      </w:r>
      <w:r w:rsidR="002047D2">
        <w:rPr>
          <w:rFonts w:ascii="Times New Roman" w:hAnsi="Times New Roman" w:cs="Times New Roman"/>
        </w:rPr>
        <w:t>appendix 1</w:t>
      </w:r>
      <w:r w:rsidR="00FF2B4F">
        <w:rPr>
          <w:rFonts w:ascii="Times New Roman" w:hAnsi="Times New Roman" w:cs="Times New Roman"/>
        </w:rPr>
        <w:t>)</w:t>
      </w:r>
      <w:r w:rsidR="002047D2">
        <w:rPr>
          <w:rFonts w:ascii="Times New Roman" w:hAnsi="Times New Roman" w:cs="Times New Roman"/>
        </w:rPr>
        <w:t xml:space="preserve">. </w:t>
      </w:r>
      <w:r w:rsidR="00B27277">
        <w:rPr>
          <w:rFonts w:ascii="Times New Roman" w:hAnsi="Times New Roman" w:cs="Times New Roman"/>
        </w:rPr>
        <w:t>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4E62E179" w14:textId="77777777" w:rsidR="00B27277" w:rsidRDefault="00B27277">
      <w:pPr>
        <w:rPr>
          <w:rFonts w:ascii="Times New Roman" w:hAnsi="Times New Roman" w:cs="Times New Roman"/>
        </w:rPr>
      </w:pPr>
    </w:p>
    <w:p w14:paraId="68F09906" w14:textId="77D004FC" w:rsidR="00B27277" w:rsidRDefault="00B27277" w:rsidP="00B27277">
      <w:pPr>
        <w:pStyle w:val="Heading3"/>
      </w:pPr>
      <w:r>
        <w:t xml:space="preserve">Power analysis: </w:t>
      </w:r>
    </w:p>
    <w:p w14:paraId="025C2A91" w14:textId="2AEAE733" w:rsidR="005D4D73" w:rsidRPr="005D4D73" w:rsidRDefault="005D4D73" w:rsidP="005D4D73">
      <w:r>
        <w:t>A power analysis was conducted for linear regression models using G*power</w:t>
      </w:r>
      <w:r w:rsidR="00A47E79">
        <w:t xml:space="preserve"> </w:t>
      </w:r>
      <w:r>
        <w:fldChar w:fldCharType="begin"/>
      </w:r>
      <w: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fldChar w:fldCharType="separate"/>
      </w:r>
      <w:r>
        <w:rPr>
          <w:noProof/>
        </w:rPr>
        <w:t>(Faul, Erdfelder, Lang, &amp; Buchner, 2007)</w:t>
      </w:r>
      <w:r>
        <w:fldChar w:fldCharType="end"/>
      </w:r>
      <w:r w:rsidR="0017273C">
        <w:t xml:space="preserve">. Analyses were conducted </w:t>
      </w:r>
      <w:r w:rsidR="00C07757">
        <w:t xml:space="preserve">by calculating Cohen’s D </w:t>
      </w:r>
      <w:r w:rsidR="0017273C">
        <w:t xml:space="preserve">using </w:t>
      </w:r>
      <w:r w:rsidR="00C07757">
        <w:t xml:space="preserve">mean data from </w:t>
      </w:r>
      <w:r w:rsidR="0017273C">
        <w:t xml:space="preserve">maternal </w:t>
      </w:r>
      <w:r w:rsidR="00C07757">
        <w:t xml:space="preserve">Ramadan </w:t>
      </w:r>
      <w:r w:rsidR="0017273C">
        <w:t>fasting studies of the main outcomes (gestational diabetes and low birth weight)</w:t>
      </w:r>
      <w:r w:rsidR="009A0E18">
        <w:t xml:space="preserve">,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76EDA1BB" w14:textId="77777777" w:rsidR="009A0E18" w:rsidRDefault="009A0E18" w:rsidP="00B27277">
      <w:pPr>
        <w:pStyle w:val="prelim4"/>
      </w:pPr>
    </w:p>
    <w:p w14:paraId="780C555A" w14:textId="77777777" w:rsidR="0025301E" w:rsidRDefault="0025301E" w:rsidP="00B27277">
      <w:pPr>
        <w:pStyle w:val="prelim4"/>
      </w:pPr>
    </w:p>
    <w:p w14:paraId="28AB43F6" w14:textId="3C508508" w:rsidR="00B27277" w:rsidRDefault="00CF1632" w:rsidP="00B27277">
      <w:pPr>
        <w:pStyle w:val="prelim4"/>
      </w:pPr>
      <w:r>
        <w:t xml:space="preserve">Table 1: </w:t>
      </w:r>
      <w:r w:rsidR="00B27277">
        <w:t xml:space="preserve">Gestational Diabetes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B27277" w:rsidRPr="00B27277" w14:paraId="33B5556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0D4502"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1D3611" w14:textId="5F106E53"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B009F0"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79F4E8" w14:textId="5D07C07D"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57741AA8" w14:textId="77777777" w:rsidTr="009A0E18">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992FB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7A81D"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894251" w14:textId="02083C51"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C1F8D7" w14:textId="71AE049A" w:rsidR="00B27277" w:rsidRPr="00B27277" w:rsidRDefault="00B27277" w:rsidP="00B27277">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B27277" w:rsidRPr="00B27277" w14:paraId="65B3312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2F94F9"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72C42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DD33F7" w14:textId="10FEADD8"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1F4BFE"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B27277" w:rsidRPr="00B27277" w14:paraId="27DE47D8"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70A15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EB7FF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836DC" w14:textId="155FF6B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7D8EDB"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1E21493C" w14:textId="7D0E9D93" w:rsidR="00B27277" w:rsidRDefault="00B27277" w:rsidP="00B27277">
      <w:pPr>
        <w:pStyle w:val="prelim4"/>
      </w:pPr>
      <w:r>
        <w:br/>
      </w:r>
      <w:r w:rsidR="00CF1632">
        <w:t xml:space="preserve">Table 2: </w:t>
      </w:r>
      <w:r>
        <w:t>Low Birth Weight</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B27277" w:rsidRPr="00B27277" w14:paraId="1587DBAB"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64886E"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D2D6AC" w14:textId="0B63244D"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828835"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B03FAE" w14:textId="589D4805"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14A19FB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2E05A" w14:textId="5D1B3363"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659D22" w14:textId="4BAC54B7"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4A0348" w14:textId="1D887A4A"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CCA82" w14:textId="7BECB4A2" w:rsidR="00B27277" w:rsidRPr="00B27277" w:rsidRDefault="00CF1632" w:rsidP="00FF592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661EE1" w:rsidRPr="00B27277" w14:paraId="3B6F60EF"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780133" w14:textId="65BFD8F9"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2C855" w14:textId="0BF3BBB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5C57AB" w14:textId="724E0E98"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9C1F72" w14:textId="1B6CFBD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661EE1" w:rsidRPr="00B27277" w14:paraId="7381B8A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E688DE" w14:textId="3F0594D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1D7089" w14:textId="542B9EA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7300FA" w14:textId="13C77DB7"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F93C0F" w14:textId="3BC3EE9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752FDE41" w14:textId="7B59E660" w:rsidR="00341C5C" w:rsidRDefault="00341C5C">
      <w:pPr>
        <w:rPr>
          <w:rFonts w:ascii="Times New Roman" w:hAnsi="Times New Roman" w:cs="Times New Roman"/>
        </w:rPr>
      </w:pPr>
    </w:p>
    <w:p w14:paraId="486E495E" w14:textId="77777777" w:rsidR="00341C5C" w:rsidRPr="00123FA3" w:rsidRDefault="00341C5C" w:rsidP="001558C3">
      <w:pPr>
        <w:pStyle w:val="Heading3"/>
      </w:pPr>
      <w:r w:rsidRPr="00123FA3">
        <w:t>Ethical Approval</w:t>
      </w:r>
      <w:r>
        <w:t>, Data Acquisition, and Data management</w:t>
      </w:r>
      <w:r w:rsidRPr="00123FA3">
        <w:t>:</w:t>
      </w:r>
    </w:p>
    <w:p w14:paraId="13437F84" w14:textId="245811C9" w:rsidR="000C77A4" w:rsidRPr="005F05A8" w:rsidRDefault="00341C5C">
      <w:pPr>
        <w:rPr>
          <w:rFonts w:ascii="Times New Roman" w:hAnsi="Times New Roman" w:cs="Times New Roman"/>
        </w:rPr>
      </w:pPr>
      <w:r>
        <w:rPr>
          <w:rFonts w:ascii="Times New Roman" w:hAnsi="Times New Roman" w:cs="Times New Roman"/>
        </w:rPr>
        <w:t>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w:t>
      </w:r>
      <w:r w:rsidR="00B27277">
        <w:rPr>
          <w:rFonts w:ascii="Times New Roman" w:hAnsi="Times New Roman" w:cs="Times New Roman"/>
        </w:rPr>
        <w:t xml:space="preserve"> and named in the secondary use IRB application</w:t>
      </w:r>
      <w:r>
        <w:rPr>
          <w:rFonts w:ascii="Times New Roman" w:hAnsi="Times New Roman" w:cs="Times New Roman"/>
        </w:rPr>
        <w:t xml:space="preserve">.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sidRPr="001558C3">
        <w:rPr>
          <w:rStyle w:val="Heading3Char"/>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 xml:space="preserve">frozen and kept at the </w:t>
      </w:r>
      <w:r w:rsidR="002D7724">
        <w:rPr>
          <w:rFonts w:ascii="Times New Roman" w:hAnsi="Times New Roman" w:cs="Times New Roman"/>
        </w:rPr>
        <w:lastRenderedPageBreak/>
        <w:t>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weeks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RNAlater,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1558C3">
      <w:pPr>
        <w:pStyle w:val="Heading3"/>
      </w:pPr>
      <w:r w:rsidRPr="0030552D">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rsidP="001558C3">
      <w:pPr>
        <w:pStyle w:val="Heading3"/>
      </w:pPr>
      <w:r>
        <w:t>Assessment of Feeding Window</w:t>
      </w:r>
    </w:p>
    <w:p w14:paraId="26B545D3" w14:textId="076E1049" w:rsidR="0080130E" w:rsidRPr="00EC4456"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t xml:space="preserve">&gt;12 hours, 10-12 hours, 8-10 hours, 6-8 hours, and &lt;6 hours. These feeding windows are all reflected in the TRF literature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(Rothschild, Hoddy, Jambazian, &amp; Varady, 2014)</w:t>
      </w:r>
      <w:r>
        <w:rPr>
          <w:rFonts w:ascii="Times New Roman" w:hAnsi="Times New Roman" w:cs="Times New Roman"/>
        </w:rPr>
        <w:fldChar w:fldCharType="end"/>
      </w:r>
      <w:r>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1558C3">
      <w:pPr>
        <w:pStyle w:val="Heading2"/>
      </w:pPr>
      <w:r>
        <w:lastRenderedPageBreak/>
        <w:t xml:space="preserve">Translational </w:t>
      </w:r>
      <w:r w:rsidR="00AF4FEC" w:rsidRPr="00003BC5">
        <w:t>Aim 3.2.</w:t>
      </w:r>
      <w:r w:rsidR="00B34C3C" w:rsidRPr="00003BC5">
        <w:t xml:space="preserve"> Investigate the </w:t>
      </w:r>
      <w:r w:rsidR="009F7140" w:rsidRPr="00003BC5">
        <w:t xml:space="preserve">associations of </w:t>
      </w:r>
      <w:r w:rsidR="005F085A" w:rsidRPr="00003BC5">
        <w:t>feeding window length on maternal and child health outcomes</w:t>
      </w:r>
    </w:p>
    <w:p w14:paraId="73FB9CD8" w14:textId="6E828898" w:rsidR="009458EA" w:rsidRPr="005B59C0" w:rsidRDefault="005B59C0" w:rsidP="00C07BE7">
      <w:pPr>
        <w:rPr>
          <w:rFonts w:ascii="Times New Roman" w:hAnsi="Times New Roman" w:cs="Times New Roman"/>
          <w:b/>
          <w:u w:val="single"/>
        </w:rPr>
      </w:pPr>
      <w:r>
        <w:rPr>
          <w:noProof/>
          <w:u w:val="single"/>
        </w:rPr>
        <mc:AlternateContent>
          <mc:Choice Requires="wps">
            <w:drawing>
              <wp:anchor distT="0" distB="0" distL="114300" distR="114300" simplePos="0" relativeHeight="251659264" behindDoc="0" locked="0" layoutInCell="1" allowOverlap="1" wp14:anchorId="66F7BF6A" wp14:editId="10CCFB99">
                <wp:simplePos x="0" y="0"/>
                <wp:positionH relativeFrom="column">
                  <wp:posOffset>3899688</wp:posOffset>
                </wp:positionH>
                <wp:positionV relativeFrom="paragraph">
                  <wp:posOffset>968779</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5">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5A4E19B9" w:rsidR="007E426C" w:rsidRDefault="007E426C">
                            <w:r>
                              <w:t xml:space="preserve">Figure </w:t>
                            </w:r>
                            <w:r w:rsidR="005B59C0">
                              <w:t>2</w:t>
                            </w:r>
                            <w:r>
                              <w:t>: Depicts the DAG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7BF6A" id="_x0000_t202" coordsize="21600,21600" o:spt="202" path="m,l,21600r21600,l21600,xe">
                <v:stroke joinstyle="miter"/>
                <v:path gradientshapeok="t" o:connecttype="rect"/>
              </v:shapetype>
              <v:shape id="Text Box 2" o:spid="_x0000_s1026" type="#_x0000_t202" style="position:absolute;margin-left:307.05pt;margin-top:76.3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5">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5A4E19B9" w:rsidR="007E426C" w:rsidRDefault="007E426C">
                      <w:r>
                        <w:t xml:space="preserve">Figure </w:t>
                      </w:r>
                      <w:r w:rsidR="005B59C0">
                        <w:t>2</w:t>
                      </w:r>
                      <w:r>
                        <w:t>: Depicts the DAG for aim 3.3</w:t>
                      </w:r>
                    </w:p>
                  </w:txbxContent>
                </v:textbox>
                <w10:wrap type="square"/>
              </v:shape>
            </w:pict>
          </mc:Fallback>
        </mc:AlternateContent>
      </w:r>
      <w:r w:rsidR="00A056C8">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02B588CD">
                <wp:simplePos x="0" y="0"/>
                <wp:positionH relativeFrom="column">
                  <wp:posOffset>3938660</wp:posOffset>
                </wp:positionH>
                <wp:positionV relativeFrom="paragraph">
                  <wp:posOffset>111565</wp:posOffset>
                </wp:positionV>
                <wp:extent cx="2848610" cy="826233"/>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826233"/>
                        </a:xfrm>
                        <a:prstGeom prst="rect">
                          <a:avLst/>
                        </a:prstGeom>
                        <a:solidFill>
                          <a:schemeClr val="lt1"/>
                        </a:solidFill>
                        <a:ln w="6350">
                          <a:noFill/>
                        </a:ln>
                      </wps:spPr>
                      <wps:txbx>
                        <w:txbxContent>
                          <w:p w14:paraId="7B9D8740" w14:textId="7FF2766F"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Depicts </w:t>
                            </w:r>
                            <w:r>
                              <w:t xml:space="preserve"> </w:t>
                            </w:r>
                            <w:r w:rsidR="005B59C0">
                              <w:t>the DAG for subaim 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0E902" id="Text Box 3" o:spid="_x0000_s1027" type="#_x0000_t202" style="position:absolute;margin-left:310.15pt;margin-top:8.8pt;width:224.3pt;height:6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" fillcolor="white [3201]" stroked="f" strokeweight=".5pt">
                <v:textbox>
                  <w:txbxContent>
                    <w:p w14:paraId="7B9D8740" w14:textId="7FF2766F"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Depicts </w:t>
                      </w:r>
                      <w:r>
                        <w:t xml:space="preserve"> </w:t>
                      </w:r>
                      <w:r w:rsidR="005B59C0">
                        <w:t>the DAG for subaim 3.2</w:t>
                      </w:r>
                    </w:p>
                  </w:txbxContent>
                </v:textbox>
                <w10:wrap type="square"/>
              </v:shape>
            </w:pict>
          </mc:Fallback>
        </mc:AlternateContent>
      </w:r>
      <w:r w:rsidR="00CB51AB"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00CB51AB" w:rsidRPr="005A77D1">
        <w:rPr>
          <w:rFonts w:ascii="Times New Roman" w:hAnsi="Times New Roman" w:cs="Times New Roman"/>
        </w:rPr>
        <w:t>Some studies associated fasting with lower birth weight, whereas others see no effect . Studies on gestational age are somewhat more consistent in that there is no apparent relationship</w:t>
      </w:r>
      <w:r w:rsidR="00CB51AB"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B15686" w:rsidRPr="007645B3">
        <w:rPr>
          <w:rFonts w:ascii="Times New Roman" w:hAnsi="Times New Roman" w:cs="Times New Roman"/>
          <w:i/>
        </w:rPr>
        <w:t xml:space="preserve"> shorter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w:t>
      </w:r>
      <w:r>
        <w:rPr>
          <w:rFonts w:ascii="Times New Roman" w:hAnsi="Times New Roman" w:cs="Times New Roman"/>
          <w:i/>
        </w:rPr>
        <w:t xml:space="preserve"> and </w:t>
      </w:r>
      <w:r w:rsidR="009A0E18">
        <w:rPr>
          <w:rFonts w:ascii="Times New Roman" w:hAnsi="Times New Roman" w:cs="Times New Roman"/>
          <w:i/>
        </w:rPr>
        <w:t xml:space="preserve">that </w:t>
      </w:r>
      <w:r>
        <w:rPr>
          <w:rFonts w:ascii="Times New Roman" w:hAnsi="Times New Roman" w:cs="Times New Roman"/>
          <w:i/>
        </w:rPr>
        <w:t>there will be no effect on child birthweight</w:t>
      </w:r>
      <w:r w:rsidR="00631DAA">
        <w:rPr>
          <w:rFonts w:ascii="Times New Roman" w:hAnsi="Times New Roman" w:cs="Times New Roman"/>
          <w:i/>
        </w:rPr>
        <w:t xml:space="preserve">. </w:t>
      </w:r>
      <w:r>
        <w:rPr>
          <w:rFonts w:ascii="Times New Roman" w:hAnsi="Times New Roman" w:cs="Times New Roman"/>
        </w:rPr>
        <w:t>(Figures 1 and 2)</w:t>
      </w:r>
    </w:p>
    <w:p w14:paraId="6C8193AD" w14:textId="52758FCC" w:rsidR="008E75BF" w:rsidRPr="007645B3" w:rsidRDefault="008E75BF" w:rsidP="00C07BE7">
      <w:pPr>
        <w:rPr>
          <w:rFonts w:ascii="Times New Roman" w:hAnsi="Times New Roman" w:cs="Times New Roman"/>
        </w:rPr>
      </w:pPr>
    </w:p>
    <w:p w14:paraId="5F7FEC11" w14:textId="170495FD"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4A4E0833" w:rsidR="00B15686" w:rsidRPr="001558C3" w:rsidRDefault="00B15686" w:rsidP="001558C3">
      <w:pPr>
        <w:pStyle w:val="Heading2"/>
      </w:pPr>
    </w:p>
    <w:p w14:paraId="3C747D50" w14:textId="6049BC75" w:rsidR="00AF4FEC" w:rsidRPr="001558C3" w:rsidRDefault="009E651B" w:rsidP="001558C3">
      <w:pPr>
        <w:pStyle w:val="Heading2"/>
      </w:pPr>
      <w:r w:rsidRPr="001558C3">
        <w:t xml:space="preserve">Translational </w:t>
      </w:r>
      <w:r w:rsidR="00212D1E" w:rsidRPr="001558C3">
        <w:t xml:space="preserve">Aim 3.3 </w:t>
      </w:r>
      <w:r w:rsidR="000E6934" w:rsidRPr="001558C3">
        <w:t xml:space="preserve">Examine </w:t>
      </w:r>
      <w:r w:rsidRPr="001558C3">
        <w:t xml:space="preserve">the molecular basis for feeding window association with maternal and child health in </w:t>
      </w:r>
      <w:r w:rsidR="000E6934" w:rsidRPr="001558C3">
        <w:t>biological sa</w:t>
      </w:r>
      <w:r w:rsidR="007E0F24" w:rsidRPr="001558C3">
        <w:t xml:space="preserve">mples </w:t>
      </w:r>
    </w:p>
    <w:p w14:paraId="54F1EC80" w14:textId="48E471C4" w:rsidR="00BD2DF0" w:rsidRPr="00EC445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 xml:space="preserve">y difficult group to enroll and study, there is very little data on what fasting does to maternal and child hormonal and nutritional signals. Of those few studies, the majority exist as case studies or observational studies of women with existing diabetes during pregnancy (CITE). </w:t>
      </w:r>
      <w:r w:rsidR="00165478">
        <w:rPr>
          <w:rFonts w:ascii="Times New Roman" w:hAnsi="Times New Roman" w:cs="Times New Roman"/>
        </w:rPr>
        <w:t>Observational studies of pregnant, normo-glycemic women who observed Ramadan fast noticed 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B27277">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B27277">
        <w:rPr>
          <w:rFonts w:ascii="Times New Roman" w:hAnsi="Times New Roman" w:cs="Times New Roman"/>
          <w:noProof/>
        </w:rPr>
        <w:t>(Baynouna Al Ketbi et al.,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insulinemia </w:t>
      </w:r>
      <w:r w:rsidR="00165478">
        <w:rPr>
          <w:rFonts w:ascii="Times New Roman" w:hAnsi="Times New Roman" w:cs="Times New Roman"/>
        </w:rPr>
        <w:lastRenderedPageBreak/>
        <w:t xml:space="preserve">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r w:rsidR="00843B2D">
        <w:rPr>
          <w:rFonts w:ascii="Times New Roman" w:hAnsi="Times New Roman" w:cs="Times New Roman"/>
        </w:rPr>
        <w:t xml:space="preserve"> </w:t>
      </w:r>
      <w:r w:rsidR="00B15686">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sidR="00B15686">
        <w:rPr>
          <w:rFonts w:ascii="Times New Roman" w:hAnsi="Times New Roman" w:cs="Times New Roman"/>
        </w:rPr>
        <w:t xml:space="preserve"> contributing hormones </w:t>
      </w:r>
      <w:r w:rsidR="00E15ED0">
        <w:rPr>
          <w:rFonts w:ascii="Times New Roman" w:hAnsi="Times New Roman" w:cs="Times New Roman"/>
        </w:rPr>
        <w:t>that demonstrate effect in</w:t>
      </w:r>
      <w:r w:rsidR="00B15686">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B577F5C" w14:textId="1FBCB53F" w:rsidR="0058458A" w:rsidRDefault="0058458A" w:rsidP="001558C3">
      <w:pPr>
        <w:pStyle w:val="prelim4"/>
      </w:pPr>
      <w:r>
        <w:t>Univariate and Bivariate Analyses</w:t>
      </w:r>
    </w:p>
    <w:p w14:paraId="26BDD194" w14:textId="42166E12" w:rsidR="0058458A" w:rsidRDefault="0058458A" w:rsidP="0058458A">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r w:rsidR="00F87257">
        <w:rPr>
          <w:rFonts w:ascii="Times New Roman" w:hAnsi="Times New Roman" w:cs="Times New Roman"/>
        </w:rPr>
        <w:t xml:space="preserve">As seen in table 3, these are the current proposed variables to be considered in the bivariate analyses. </w:t>
      </w:r>
    </w:p>
    <w:p w14:paraId="59C2A84F" w14:textId="77777777" w:rsidR="00F87257" w:rsidRDefault="00F87257" w:rsidP="00F87257">
      <w:pPr>
        <w:pStyle w:val="prelim4"/>
      </w:pPr>
    </w:p>
    <w:p w14:paraId="1BBFBD30" w14:textId="77777777" w:rsidR="00F87257" w:rsidRDefault="00F87257" w:rsidP="00F87257">
      <w:pPr>
        <w:pStyle w:val="prelim4"/>
      </w:pPr>
      <w:r>
        <w:t xml:space="preserve">Table 3: </w:t>
      </w:r>
      <w:r w:rsidRPr="005F085A">
        <w:t>P</w:t>
      </w:r>
      <w:r>
        <w:t xml:space="preserve">otential </w:t>
      </w:r>
      <w:r w:rsidRPr="005F085A">
        <w:t xml:space="preserve"> </w:t>
      </w:r>
      <w:r>
        <w:t>confounders:</w:t>
      </w:r>
    </w:p>
    <w:tbl>
      <w:tblPr>
        <w:tblStyle w:val="TableGrid"/>
        <w:tblW w:w="0" w:type="auto"/>
        <w:tblLook w:val="04A0" w:firstRow="1" w:lastRow="0" w:firstColumn="1" w:lastColumn="0" w:noHBand="0" w:noVBand="1"/>
      </w:tblPr>
      <w:tblGrid>
        <w:gridCol w:w="4675"/>
        <w:gridCol w:w="4675"/>
      </w:tblGrid>
      <w:tr w:rsidR="00F87257" w:rsidRPr="00C26F78" w14:paraId="075112DF" w14:textId="77777777" w:rsidTr="00FF5920">
        <w:tc>
          <w:tcPr>
            <w:tcW w:w="4675" w:type="dxa"/>
          </w:tcPr>
          <w:p w14:paraId="25C98FCA"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409DF872"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Source of variable</w:t>
            </w:r>
          </w:p>
        </w:tc>
      </w:tr>
      <w:tr w:rsidR="00F87257" w:rsidRPr="00C26F78" w14:paraId="4E34B74C" w14:textId="77777777" w:rsidTr="00FF5920">
        <w:tc>
          <w:tcPr>
            <w:tcW w:w="4675" w:type="dxa"/>
          </w:tcPr>
          <w:p w14:paraId="4C4DA63D" w14:textId="77777777" w:rsidR="00F87257" w:rsidRPr="00C26F78" w:rsidRDefault="00F87257" w:rsidP="00FF5920">
            <w:pPr>
              <w:rPr>
                <w:rFonts w:ascii="Times New Roman" w:hAnsi="Times New Roman" w:cs="Times New Roman"/>
              </w:rPr>
            </w:pPr>
            <w:r>
              <w:rPr>
                <w:rFonts w:ascii="Times New Roman" w:hAnsi="Times New Roman" w:cs="Times New Roman"/>
              </w:rPr>
              <w:t>Maternal gestational age at enrollment</w:t>
            </w:r>
          </w:p>
        </w:tc>
        <w:tc>
          <w:tcPr>
            <w:tcW w:w="4675" w:type="dxa"/>
          </w:tcPr>
          <w:p w14:paraId="59EF58F6"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4EF6E589" w14:textId="77777777" w:rsidTr="00FF5920">
        <w:tc>
          <w:tcPr>
            <w:tcW w:w="4675" w:type="dxa"/>
          </w:tcPr>
          <w:p w14:paraId="5768C7F5" w14:textId="77777777" w:rsidR="00F87257" w:rsidRPr="00C26F78" w:rsidRDefault="00F87257" w:rsidP="00FF5920">
            <w:pPr>
              <w:rPr>
                <w:rFonts w:ascii="Times New Roman" w:hAnsi="Times New Roman" w:cs="Times New Roman"/>
              </w:rPr>
            </w:pPr>
            <w:r>
              <w:rPr>
                <w:rFonts w:ascii="Times New Roman" w:hAnsi="Times New Roman" w:cs="Times New Roman"/>
              </w:rPr>
              <w:t>Maternal race/ethnicity</w:t>
            </w:r>
          </w:p>
        </w:tc>
        <w:tc>
          <w:tcPr>
            <w:tcW w:w="4675" w:type="dxa"/>
          </w:tcPr>
          <w:p w14:paraId="69CBEAAD"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C9D4541" w14:textId="77777777" w:rsidTr="00FF5920">
        <w:tc>
          <w:tcPr>
            <w:tcW w:w="4675" w:type="dxa"/>
          </w:tcPr>
          <w:p w14:paraId="70D087D1" w14:textId="77777777" w:rsidR="00F87257" w:rsidRPr="00C26F78" w:rsidRDefault="00F87257" w:rsidP="00FF5920">
            <w:pPr>
              <w:rPr>
                <w:rFonts w:ascii="Times New Roman" w:hAnsi="Times New Roman" w:cs="Times New Roman"/>
              </w:rPr>
            </w:pPr>
            <w:r>
              <w:rPr>
                <w:rFonts w:ascii="Times New Roman" w:hAnsi="Times New Roman" w:cs="Times New Roman"/>
              </w:rPr>
              <w:t>Household income</w:t>
            </w:r>
          </w:p>
        </w:tc>
        <w:tc>
          <w:tcPr>
            <w:tcW w:w="4675" w:type="dxa"/>
          </w:tcPr>
          <w:p w14:paraId="0AF74EF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09393D4F" w14:textId="77777777" w:rsidTr="00FF5920">
        <w:tc>
          <w:tcPr>
            <w:tcW w:w="4675" w:type="dxa"/>
          </w:tcPr>
          <w:p w14:paraId="48769B31" w14:textId="77777777" w:rsidR="00F87257" w:rsidRPr="00C26F78" w:rsidRDefault="00F87257" w:rsidP="00FF5920">
            <w:pPr>
              <w:rPr>
                <w:rFonts w:ascii="Times New Roman" w:hAnsi="Times New Roman" w:cs="Times New Roman"/>
              </w:rPr>
            </w:pPr>
            <w:r>
              <w:rPr>
                <w:rFonts w:ascii="Times New Roman" w:hAnsi="Times New Roman" w:cs="Times New Roman"/>
              </w:rPr>
              <w:t>Maternal pre-pregnancy BMI</w:t>
            </w:r>
          </w:p>
        </w:tc>
        <w:tc>
          <w:tcPr>
            <w:tcW w:w="4675" w:type="dxa"/>
          </w:tcPr>
          <w:p w14:paraId="092C72B5"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7B0ED61A" w14:textId="77777777" w:rsidTr="00FF5920">
        <w:tc>
          <w:tcPr>
            <w:tcW w:w="4675" w:type="dxa"/>
          </w:tcPr>
          <w:p w14:paraId="73F1B1F9" w14:textId="77777777" w:rsidR="00F87257" w:rsidRPr="00C26F78" w:rsidRDefault="00F87257" w:rsidP="00FF5920">
            <w:pPr>
              <w:rPr>
                <w:rFonts w:ascii="Times New Roman" w:hAnsi="Times New Roman" w:cs="Times New Roman"/>
              </w:rPr>
            </w:pPr>
            <w:r>
              <w:rPr>
                <w:rFonts w:ascii="Times New Roman" w:hAnsi="Times New Roman" w:cs="Times New Roman"/>
              </w:rPr>
              <w:t>Gestational weight gain</w:t>
            </w:r>
          </w:p>
        </w:tc>
        <w:tc>
          <w:tcPr>
            <w:tcW w:w="4675" w:type="dxa"/>
          </w:tcPr>
          <w:p w14:paraId="1A459917"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6984134F" w14:textId="77777777" w:rsidTr="00FF5920">
        <w:tc>
          <w:tcPr>
            <w:tcW w:w="4675" w:type="dxa"/>
          </w:tcPr>
          <w:p w14:paraId="03389FFB" w14:textId="77777777" w:rsidR="00F87257" w:rsidRPr="00C26F78" w:rsidRDefault="00F87257" w:rsidP="00FF5920">
            <w:pPr>
              <w:rPr>
                <w:rFonts w:ascii="Times New Roman" w:hAnsi="Times New Roman" w:cs="Times New Roman"/>
              </w:rPr>
            </w:pPr>
            <w:r>
              <w:rPr>
                <w:rFonts w:ascii="Times New Roman" w:hAnsi="Times New Roman" w:cs="Times New Roman"/>
              </w:rPr>
              <w:t>Maternal smoking status</w:t>
            </w:r>
          </w:p>
        </w:tc>
        <w:tc>
          <w:tcPr>
            <w:tcW w:w="4675" w:type="dxa"/>
          </w:tcPr>
          <w:p w14:paraId="2E5E0F77"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1ED3A71" w14:textId="77777777" w:rsidTr="00FF5920">
        <w:tc>
          <w:tcPr>
            <w:tcW w:w="4675" w:type="dxa"/>
          </w:tcPr>
          <w:p w14:paraId="0AE5AEB2" w14:textId="77777777" w:rsidR="00F87257" w:rsidRPr="00C26F78" w:rsidRDefault="00F87257" w:rsidP="00FF5920">
            <w:pPr>
              <w:rPr>
                <w:rFonts w:ascii="Times New Roman" w:hAnsi="Times New Roman" w:cs="Times New Roman"/>
              </w:rPr>
            </w:pPr>
            <w:r>
              <w:rPr>
                <w:rFonts w:ascii="Times New Roman" w:hAnsi="Times New Roman" w:cs="Times New Roman"/>
              </w:rPr>
              <w:t>Maternal sleep quality</w:t>
            </w:r>
          </w:p>
        </w:tc>
        <w:tc>
          <w:tcPr>
            <w:tcW w:w="4675" w:type="dxa"/>
          </w:tcPr>
          <w:p w14:paraId="286B92D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7C6D59D9" w14:textId="77777777" w:rsidTr="00FF5920">
        <w:tc>
          <w:tcPr>
            <w:tcW w:w="4675" w:type="dxa"/>
          </w:tcPr>
          <w:p w14:paraId="44E7CFF3" w14:textId="77777777" w:rsidR="00F87257" w:rsidRDefault="00F87257" w:rsidP="00FF5920">
            <w:pPr>
              <w:rPr>
                <w:rFonts w:ascii="Times New Roman" w:hAnsi="Times New Roman" w:cs="Times New Roman"/>
              </w:rPr>
            </w:pPr>
            <w:r>
              <w:rPr>
                <w:rFonts w:ascii="Times New Roman" w:hAnsi="Times New Roman" w:cs="Times New Roman"/>
              </w:rPr>
              <w:t>Offspring sex</w:t>
            </w:r>
          </w:p>
        </w:tc>
        <w:tc>
          <w:tcPr>
            <w:tcW w:w="4675" w:type="dxa"/>
          </w:tcPr>
          <w:p w14:paraId="0C218163" w14:textId="77777777" w:rsidR="00F87257" w:rsidRDefault="00F87257" w:rsidP="00FF5920">
            <w:pPr>
              <w:rPr>
                <w:rFonts w:ascii="Times New Roman" w:hAnsi="Times New Roman" w:cs="Times New Roman"/>
              </w:rPr>
            </w:pPr>
            <w:r>
              <w:rPr>
                <w:rFonts w:ascii="Times New Roman" w:hAnsi="Times New Roman" w:cs="Times New Roman"/>
              </w:rPr>
              <w:t>Medical chart</w:t>
            </w:r>
          </w:p>
        </w:tc>
      </w:tr>
    </w:tbl>
    <w:p w14:paraId="62A2CACE" w14:textId="77777777" w:rsidR="00626B37" w:rsidRDefault="00626B37" w:rsidP="0058458A">
      <w:pPr>
        <w:rPr>
          <w:rFonts w:ascii="Times New Roman" w:hAnsi="Times New Roman" w:cs="Times New Roman"/>
        </w:rPr>
      </w:pPr>
    </w:p>
    <w:p w14:paraId="704EDD28" w14:textId="5FAFA0C2" w:rsidR="0058458A" w:rsidRPr="0058458A" w:rsidRDefault="0058458A" w:rsidP="001558C3">
      <w:pPr>
        <w:pStyle w:val="prelim4"/>
      </w:pPr>
      <w:r w:rsidRPr="0058458A">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1558C3">
      <w:pPr>
        <w:pStyle w:val="prelim4"/>
      </w:pPr>
      <w:r>
        <w:t xml:space="preserve"> </w:t>
      </w:r>
      <w:r w:rsidRPr="0058458A">
        <w:t>Proposed models:</w:t>
      </w:r>
    </w:p>
    <w:p w14:paraId="6C855F79" w14:textId="44D82467" w:rsidR="0058458A" w:rsidRPr="00A63A76" w:rsidRDefault="0058458A" w:rsidP="0058458A">
      <w:pPr>
        <w:rPr>
          <w:rFonts w:ascii="Times New Roman" w:hAnsi="Times New Roman" w:cs="Times New Roman"/>
          <w:u w:val="single"/>
        </w:rPr>
      </w:pPr>
      <w:r w:rsidRPr="00A63A76">
        <w:rPr>
          <w:rFonts w:ascii="Times New Roman" w:hAnsi="Times New Roman" w:cs="Times New Roman"/>
          <w:u w:val="single"/>
        </w:rPr>
        <w:t>Logistic</w:t>
      </w:r>
      <w:r w:rsidR="006D56A8" w:rsidRPr="00A63A76">
        <w:rPr>
          <w:rFonts w:ascii="Times New Roman" w:hAnsi="Times New Roman" w:cs="Times New Roman"/>
          <w:u w:val="single"/>
        </w:rPr>
        <w:t xml:space="preserve"> Regression</w:t>
      </w:r>
      <w:r w:rsidRPr="00A63A76">
        <w:rPr>
          <w:rFonts w:ascii="Times New Roman" w:hAnsi="Times New Roman" w:cs="Times New Roman"/>
          <w:u w:val="single"/>
        </w:rPr>
        <w:t xml:space="preserve"> </w:t>
      </w:r>
      <w:r w:rsidR="006D56A8" w:rsidRPr="00A63A76">
        <w:rPr>
          <w:rFonts w:ascii="Times New Roman" w:hAnsi="Times New Roman" w:cs="Times New Roman"/>
          <w:u w:val="single"/>
        </w:rPr>
        <w:t>M</w:t>
      </w:r>
      <w:r w:rsidRPr="00A63A76">
        <w:rPr>
          <w:rFonts w:ascii="Times New Roman" w:hAnsi="Times New Roman" w:cs="Times New Roman"/>
          <w:u w:val="single"/>
        </w:rPr>
        <w:t>odels:</w:t>
      </w:r>
    </w:p>
    <w:p w14:paraId="32F9680C" w14:textId="25196C07" w:rsidR="00727B35" w:rsidRDefault="00727B35" w:rsidP="0058458A">
      <w:pPr>
        <w:rPr>
          <w:rFonts w:ascii="Times New Roman" w:hAnsi="Times New Roman" w:cs="Times New Roman"/>
        </w:rPr>
      </w:pPr>
    </w:p>
    <w:p w14:paraId="5B520FF3" w14:textId="144FDD7B" w:rsidR="00727B35" w:rsidRDefault="00727B35" w:rsidP="0058458A">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53AC9C77" w14:textId="6E3BF119" w:rsidR="0058458A" w:rsidRDefault="0058458A" w:rsidP="0058458A">
      <w:pPr>
        <w:rPr>
          <w:rFonts w:ascii="Times New Roman" w:hAnsi="Times New Roman" w:cs="Times New Roman"/>
        </w:rPr>
      </w:pPr>
      <w:r>
        <w:rPr>
          <w:rFonts w:ascii="Times New Roman" w:hAnsi="Times New Roman" w:cs="Times New Roman"/>
        </w:rPr>
        <w:t xml:space="preserve">Model 1: </w:t>
      </w:r>
      <w:r w:rsidR="001E610F">
        <w:rPr>
          <w:rFonts w:ascii="Times New Roman" w:hAnsi="Times New Roman" w:cs="Times New Roman"/>
        </w:rPr>
        <w:t xml:space="preserve">Logit(Pr(Y=1)) = </w:t>
      </w:r>
      <w:r w:rsidR="00727B35">
        <w:rPr>
          <w:rFonts w:ascii="Times New Roman" w:hAnsi="Times New Roman" w:cs="Times New Roman"/>
        </w:rPr>
        <w:t xml:space="preserve">maternal feeding window + maternal </w:t>
      </w:r>
      <w:r w:rsidR="008C3EE9">
        <w:rPr>
          <w:rFonts w:ascii="Times New Roman" w:hAnsi="Times New Roman" w:cs="Times New Roman"/>
        </w:rPr>
        <w:t>education</w:t>
      </w:r>
    </w:p>
    <w:p w14:paraId="6EAC868C" w14:textId="06AFFEDC" w:rsidR="00005F53" w:rsidRDefault="00005F53" w:rsidP="0058458A">
      <w:pPr>
        <w:rPr>
          <w:rFonts w:ascii="Times New Roman" w:hAnsi="Times New Roman" w:cs="Times New Roman"/>
        </w:rPr>
      </w:pPr>
      <w:r>
        <w:rPr>
          <w:rFonts w:ascii="Times New Roman" w:hAnsi="Times New Roman" w:cs="Times New Roman"/>
        </w:rPr>
        <w:lastRenderedPageBreak/>
        <w:t xml:space="preserve">Model 2: </w:t>
      </w:r>
      <w:r w:rsidR="001E610F">
        <w:rPr>
          <w:rFonts w:ascii="Times New Roman" w:hAnsi="Times New Roman" w:cs="Times New Roman"/>
        </w:rPr>
        <w:t>Logit(Pr(Y=1))</w:t>
      </w:r>
      <w:r w:rsidR="001E610F">
        <w:rPr>
          <w:rFonts w:ascii="Times New Roman" w:hAnsi="Times New Roman" w:cs="Times New Roman"/>
        </w:rPr>
        <w:t xml:space="preserve"> </w:t>
      </w:r>
      <w:r w:rsidR="001E610F">
        <w:rPr>
          <w:rFonts w:ascii="Times New Roman" w:hAnsi="Times New Roman" w:cs="Times New Roman"/>
        </w:rPr>
        <w:t>=</w:t>
      </w:r>
      <w:r w:rsidR="001E610F">
        <w:rPr>
          <w:rFonts w:ascii="Times New Roman" w:hAnsi="Times New Roman" w:cs="Times New Roman"/>
        </w:rPr>
        <w:t xml:space="preserve"> </w:t>
      </w:r>
      <w:r>
        <w:rPr>
          <w:rFonts w:ascii="Times New Roman" w:hAnsi="Times New Roman" w:cs="Times New Roman"/>
        </w:rPr>
        <w:t xml:space="preserve">Model 1 + </w:t>
      </w:r>
      <w:r w:rsidR="008C3EE9">
        <w:rPr>
          <w:rFonts w:ascii="Times New Roman" w:hAnsi="Times New Roman" w:cs="Times New Roman"/>
        </w:rPr>
        <w:t>maternal pre-pregnancy BMI</w:t>
      </w:r>
      <w:r>
        <w:rPr>
          <w:rFonts w:ascii="Times New Roman" w:hAnsi="Times New Roman" w:cs="Times New Roman"/>
        </w:rPr>
        <w:br/>
        <w:t xml:space="preserve">Model 3: </w:t>
      </w:r>
      <w:r w:rsidR="001E610F">
        <w:rPr>
          <w:rFonts w:ascii="Times New Roman" w:hAnsi="Times New Roman" w:cs="Times New Roman"/>
        </w:rPr>
        <w:t>Logit(Pr(Y=1))</w:t>
      </w:r>
      <w:r w:rsidR="001E610F">
        <w:rPr>
          <w:rFonts w:ascii="Times New Roman" w:hAnsi="Times New Roman" w:cs="Times New Roman"/>
        </w:rPr>
        <w:t xml:space="preserve"> </w:t>
      </w:r>
      <w:r w:rsidR="001E610F">
        <w:rPr>
          <w:rFonts w:ascii="Times New Roman" w:hAnsi="Times New Roman" w:cs="Times New Roman"/>
        </w:rPr>
        <w:t>=</w:t>
      </w:r>
      <w:r w:rsidR="001E610F">
        <w:rPr>
          <w:rFonts w:ascii="Times New Roman" w:hAnsi="Times New Roman" w:cs="Times New Roman"/>
        </w:rPr>
        <w:t xml:space="preserve"> </w:t>
      </w:r>
      <w:r>
        <w:rPr>
          <w:rFonts w:ascii="Times New Roman" w:hAnsi="Times New Roman" w:cs="Times New Roman"/>
        </w:rPr>
        <w:t xml:space="preserve">Model 2 + </w:t>
      </w:r>
      <w:r w:rsidR="001E610F">
        <w:rPr>
          <w:rFonts w:ascii="Times New Roman" w:hAnsi="Times New Roman" w:cs="Times New Roman"/>
        </w:rPr>
        <w:t>Sleep quality</w:t>
      </w:r>
    </w:p>
    <w:p w14:paraId="6F6CC42B" w14:textId="3AAEA47A" w:rsidR="00A47E79" w:rsidRDefault="00A47E79" w:rsidP="0058458A">
      <w:pPr>
        <w:rPr>
          <w:rFonts w:ascii="Times New Roman" w:hAnsi="Times New Roman" w:cs="Times New Roman"/>
        </w:rPr>
      </w:pPr>
    </w:p>
    <w:p w14:paraId="58E8A3BA" w14:textId="5FCD2C5C" w:rsidR="00A47E79" w:rsidRDefault="001E610F" w:rsidP="0058458A">
      <w:pPr>
        <w:rPr>
          <w:rFonts w:ascii="Times New Roman" w:hAnsi="Times New Roman" w:cs="Times New Roman"/>
        </w:rPr>
      </w:pPr>
      <w:r>
        <w:rPr>
          <w:rFonts w:ascii="Times New Roman" w:hAnsi="Times New Roman" w:cs="Times New Roman"/>
        </w:rPr>
        <w:t xml:space="preserve">Model 1, the most simplistic will </w:t>
      </w:r>
      <w:r w:rsidR="00843B2D">
        <w:rPr>
          <w:rFonts w:ascii="Times New Roman" w:hAnsi="Times New Roman" w:cs="Times New Roman"/>
        </w:rPr>
        <w:t>consider</w:t>
      </w:r>
      <w:r>
        <w:rPr>
          <w:rFonts w:ascii="Times New Roman" w:hAnsi="Times New Roman" w:cs="Times New Roman"/>
        </w:rPr>
        <w:t xml:space="preserve">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7E1AA2E7" w14:textId="5EE88023" w:rsidR="00691022" w:rsidRDefault="00691022" w:rsidP="0058458A">
      <w:pPr>
        <w:rPr>
          <w:rFonts w:ascii="Times New Roman" w:hAnsi="Times New Roman" w:cs="Times New Roman"/>
        </w:rPr>
      </w:pPr>
    </w:p>
    <w:p w14:paraId="1888A140" w14:textId="77777777" w:rsidR="00691022" w:rsidRDefault="00691022" w:rsidP="0058458A">
      <w:pPr>
        <w:rPr>
          <w:rFonts w:ascii="Times New Roman" w:hAnsi="Times New Roman" w:cs="Times New Roman"/>
        </w:rPr>
      </w:pPr>
    </w:p>
    <w:p w14:paraId="6BB8AFC1" w14:textId="37DF96CE" w:rsidR="006D56A8" w:rsidRPr="00A63A76" w:rsidRDefault="006D56A8" w:rsidP="0058458A">
      <w:pPr>
        <w:rPr>
          <w:rFonts w:ascii="Times New Roman" w:hAnsi="Times New Roman" w:cs="Times New Roman"/>
          <w:u w:val="single"/>
        </w:rPr>
      </w:pPr>
      <w:r w:rsidRPr="00A63A76">
        <w:rPr>
          <w:rFonts w:ascii="Times New Roman" w:hAnsi="Times New Roman" w:cs="Times New Roman"/>
          <w:u w:val="single"/>
        </w:rPr>
        <w:t>Multiple Linear Regression Models</w:t>
      </w:r>
      <w:r w:rsidR="001E610F" w:rsidRPr="00A63A76">
        <w:rPr>
          <w:rFonts w:ascii="Times New Roman" w:hAnsi="Times New Roman" w:cs="Times New Roman"/>
          <w:u w:val="single"/>
        </w:rPr>
        <w:t>:</w:t>
      </w:r>
    </w:p>
    <w:p w14:paraId="714C4894" w14:textId="16894988" w:rsidR="001E610F" w:rsidRDefault="001E610F" w:rsidP="0058458A">
      <w:pPr>
        <w:rPr>
          <w:rFonts w:ascii="Times New Roman" w:hAnsi="Times New Roman" w:cs="Times New Roman"/>
        </w:rPr>
      </w:pPr>
      <w:bookmarkStart w:id="0" w:name="_GoBack"/>
      <w:bookmarkEnd w:id="0"/>
    </w:p>
    <w:p w14:paraId="66835A9C" w14:textId="1F1FF155" w:rsidR="001E610F" w:rsidRDefault="001E610F" w:rsidP="001E610F">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w:t>
      </w:r>
      <w:r>
        <w:rPr>
          <w:rFonts w:ascii="Times New Roman" w:hAnsi="Times New Roman" w:cs="Times New Roman"/>
        </w:rPr>
        <w:t>child birth weight</w:t>
      </w:r>
    </w:p>
    <w:p w14:paraId="583811AD" w14:textId="534429C4" w:rsidR="001E610F" w:rsidRDefault="001E610F" w:rsidP="001E610F">
      <w:pPr>
        <w:rPr>
          <w:rFonts w:ascii="Times New Roman" w:hAnsi="Times New Roman" w:cs="Times New Roman"/>
        </w:rPr>
      </w:pPr>
      <w:r>
        <w:rPr>
          <w:rFonts w:ascii="Times New Roman" w:hAnsi="Times New Roman" w:cs="Times New Roman"/>
        </w:rPr>
        <w:t>Model 1: maternal feeding window + maternal education</w:t>
      </w:r>
    </w:p>
    <w:p w14:paraId="7A0AEF1D" w14:textId="372C12E0" w:rsidR="001E610F" w:rsidRDefault="001E610F" w:rsidP="001E610F">
      <w:pPr>
        <w:rPr>
          <w:rFonts w:ascii="Times New Roman" w:hAnsi="Times New Roman" w:cs="Times New Roman"/>
        </w:rPr>
      </w:pPr>
      <w:r>
        <w:rPr>
          <w:rFonts w:ascii="Times New Roman" w:hAnsi="Times New Roman" w:cs="Times New Roman"/>
        </w:rPr>
        <w:t xml:space="preserve">Model 2: Model 1 + </w:t>
      </w:r>
      <w:r>
        <w:rPr>
          <w:rFonts w:ascii="Times New Roman" w:hAnsi="Times New Roman" w:cs="Times New Roman"/>
        </w:rPr>
        <w:t>gestational weight gain</w:t>
      </w:r>
      <w:r>
        <w:rPr>
          <w:rFonts w:ascii="Times New Roman" w:hAnsi="Times New Roman" w:cs="Times New Roman"/>
        </w:rPr>
        <w:br/>
        <w:t xml:space="preserve">Model 3: Model 2 + </w:t>
      </w:r>
      <w:r>
        <w:rPr>
          <w:rFonts w:ascii="Times New Roman" w:hAnsi="Times New Roman" w:cs="Times New Roman"/>
        </w:rPr>
        <w:t>Offspring sex</w:t>
      </w:r>
    </w:p>
    <w:p w14:paraId="10842080" w14:textId="77777777" w:rsidR="001E610F" w:rsidRDefault="001E610F" w:rsidP="001E610F">
      <w:pPr>
        <w:rPr>
          <w:rFonts w:ascii="Times New Roman" w:hAnsi="Times New Roman" w:cs="Times New Roman"/>
        </w:rPr>
      </w:pPr>
    </w:p>
    <w:p w14:paraId="2BD6B24F" w14:textId="12432A53" w:rsidR="001E610F" w:rsidRDefault="001E610F" w:rsidP="0058458A">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Model 3 will include child sex, as differences of sex-specific intrauterine growth</w:t>
      </w:r>
      <w:r w:rsidR="007444DD">
        <w:rPr>
          <w:rFonts w:ascii="Times New Roman" w:hAnsi="Times New Roman" w:cs="Times New Roman"/>
        </w:rPr>
        <w:t xml:space="preserve"> and adaptation to </w:t>
      </w:r>
      <w:r w:rsidR="00DA35E0">
        <w:rPr>
          <w:rFonts w:ascii="Times New Roman" w:hAnsi="Times New Roman" w:cs="Times New Roman"/>
        </w:rPr>
        <w:t xml:space="preserve">numerous environmental stimuli </w:t>
      </w:r>
      <w:r w:rsidR="00DA35E0">
        <w:rPr>
          <w:rFonts w:ascii="Times New Roman" w:hAnsi="Times New Roman" w:cs="Times New Roman"/>
        </w:rPr>
        <w:fldChar w:fldCharType="begin"/>
      </w:r>
      <w:r w:rsidR="00DA35E0">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sidR="00DA35E0">
        <w:rPr>
          <w:rFonts w:ascii="Times New Roman" w:hAnsi="Times New Roman" w:cs="Times New Roman"/>
        </w:rPr>
        <w:fldChar w:fldCharType="separate"/>
      </w:r>
      <w:r w:rsidR="00DA35E0">
        <w:rPr>
          <w:rFonts w:ascii="Times New Roman" w:hAnsi="Times New Roman" w:cs="Times New Roman"/>
          <w:noProof/>
        </w:rPr>
        <w:t>(Alwasel et al., 2011; Clifton, 2010)</w:t>
      </w:r>
      <w:r w:rsidR="00DA35E0">
        <w:rPr>
          <w:rFonts w:ascii="Times New Roman" w:hAnsi="Times New Roman" w:cs="Times New Roman"/>
        </w:rPr>
        <w:fldChar w:fldCharType="end"/>
      </w:r>
      <w:r>
        <w:rPr>
          <w:rFonts w:ascii="Times New Roman" w:hAnsi="Times New Roman" w:cs="Times New Roman"/>
        </w:rPr>
        <w:t xml:space="preserve"> have been seen in human</w:t>
      </w:r>
      <w:r w:rsidR="00DA35E0">
        <w:rPr>
          <w:rFonts w:ascii="Times New Roman" w:hAnsi="Times New Roman" w:cs="Times New Roman"/>
        </w:rPr>
        <w:t xml:space="preserve"> pregnancy</w:t>
      </w:r>
      <w:r>
        <w:rPr>
          <w:rFonts w:ascii="Times New Roman" w:hAnsi="Times New Roman" w:cs="Times New Roman"/>
        </w:rPr>
        <w:t xml:space="preserve">. Models proposed are subject to change based on </w:t>
      </w:r>
      <w:r w:rsidR="00DA35E0">
        <w:rPr>
          <w:rFonts w:ascii="Times New Roman" w:hAnsi="Times New Roman" w:cs="Times New Roman"/>
        </w:rPr>
        <w:t xml:space="preserve">initial analyses of cohort data. </w:t>
      </w:r>
    </w:p>
    <w:p w14:paraId="0216C84D" w14:textId="77777777" w:rsidR="0058458A" w:rsidRDefault="0058458A" w:rsidP="0058458A">
      <w:pPr>
        <w:rPr>
          <w:rFonts w:ascii="Times New Roman" w:hAnsi="Times New Roman" w:cs="Times New Roman"/>
        </w:rPr>
      </w:pPr>
    </w:p>
    <w:p w14:paraId="73E084BB" w14:textId="018F25B0" w:rsidR="00391167" w:rsidRPr="00691022" w:rsidRDefault="00391167" w:rsidP="00691022">
      <w:pPr>
        <w:rPr>
          <w:rFonts w:ascii="Times New Roman" w:hAnsi="Times New Roman" w:cs="Times New Roman"/>
          <w:b/>
          <w:i/>
          <w:u w:val="single"/>
        </w:rPr>
      </w:pPr>
      <w:r w:rsidRPr="000628F8">
        <w:rPr>
          <w:b/>
        </w:rPr>
        <w:t>Potential Pitfalls and alternative approaches:</w:t>
      </w:r>
    </w:p>
    <w:p w14:paraId="34B675E3" w14:textId="4A28EAAD" w:rsidR="00EA6700" w:rsidRDefault="006D4B8D" w:rsidP="001558C3">
      <w:pPr>
        <w:pStyle w:val="Heading3"/>
      </w:pPr>
      <w:r w:rsidRPr="00B15686">
        <w:t>Low recruitment/underpowered</w:t>
      </w:r>
      <w:r w:rsidR="00311456" w:rsidRPr="00B15686">
        <w:t xml:space="preserve"> in the feeding windows</w:t>
      </w:r>
    </w:p>
    <w:p w14:paraId="40F34C89" w14:textId="4D22036E"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w:t>
      </w:r>
      <w:r w:rsidR="00EC1D0C">
        <w:rPr>
          <w:rFonts w:ascii="Times New Roman" w:hAnsi="Times New Roman" w:cs="Times New Roman"/>
        </w:rPr>
        <w:t>, which may introduce selection bias and for that reason is not recommended.</w:t>
      </w:r>
      <w:r w:rsidR="00C66499">
        <w:rPr>
          <w:rFonts w:ascii="Times New Roman" w:hAnsi="Times New Roman" w:cs="Times New Roman"/>
        </w:rPr>
        <w:t xml:space="preserve"> </w:t>
      </w:r>
      <w:r w:rsidR="00EC1D0C">
        <w:rPr>
          <w:rFonts w:ascii="Times New Roman" w:hAnsi="Times New Roman" w:cs="Times New Roman"/>
        </w:rPr>
        <w:t>T</w:t>
      </w:r>
      <w:r w:rsidR="00C66499">
        <w:rPr>
          <w:rFonts w:ascii="Times New Roman" w:hAnsi="Times New Roman" w:cs="Times New Roman"/>
        </w:rPr>
        <w: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7784B6AF" w14:textId="77777777" w:rsidR="00626B37" w:rsidRDefault="00626B37" w:rsidP="00EA6700">
      <w:pPr>
        <w:rPr>
          <w:rFonts w:ascii="Times New Roman" w:hAnsi="Times New Roman" w:cs="Times New Roman"/>
          <w:i/>
        </w:rPr>
      </w:pPr>
    </w:p>
    <w:p w14:paraId="165C537A" w14:textId="566839F8" w:rsidR="000628F8" w:rsidRPr="00954A7E" w:rsidRDefault="00311456" w:rsidP="001558C3">
      <w:pPr>
        <w:pStyle w:val="Heading3"/>
      </w:pPr>
      <w:r w:rsidRPr="00954A7E">
        <w:t xml:space="preserve">Lower or unrepresentative incidence of </w:t>
      </w:r>
      <w:r w:rsidR="000628F8" w:rsidRPr="00954A7E">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3A61D654" w14:textId="77777777" w:rsidR="00626B37" w:rsidRDefault="00626B37" w:rsidP="00EA6700">
      <w:pPr>
        <w:rPr>
          <w:rFonts w:ascii="Times New Roman" w:hAnsi="Times New Roman" w:cs="Times New Roman"/>
          <w:i/>
        </w:rPr>
      </w:pPr>
    </w:p>
    <w:p w14:paraId="26E0846E" w14:textId="0E6B0314" w:rsidR="007E0F24" w:rsidRDefault="007E0F24" w:rsidP="001558C3">
      <w:pPr>
        <w:pStyle w:val="Heading3"/>
      </w:pPr>
      <w: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w:t>
      </w:r>
      <w:r>
        <w:rPr>
          <w:rFonts w:ascii="Times New Roman" w:hAnsi="Times New Roman" w:cs="Times New Roman"/>
        </w:rPr>
        <w:lastRenderedPageBreak/>
        <w:t xml:space="preserve">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0D3F500" w14:textId="77777777" w:rsidR="00626B37" w:rsidRDefault="00626B37" w:rsidP="00EA6700">
      <w:pPr>
        <w:rPr>
          <w:rFonts w:ascii="Times New Roman" w:hAnsi="Times New Roman" w:cs="Times New Roman"/>
          <w:i/>
        </w:rPr>
      </w:pPr>
    </w:p>
    <w:p w14:paraId="7299E389" w14:textId="5FDE5E49" w:rsidR="000E53C3" w:rsidRDefault="000E53C3" w:rsidP="001558C3">
      <w:pPr>
        <w:pStyle w:val="Heading3"/>
      </w:pPr>
      <w: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101ABC" w14:textId="77777777" w:rsidR="00626B37" w:rsidRDefault="00626B37" w:rsidP="00EA6700">
      <w:pPr>
        <w:rPr>
          <w:rFonts w:ascii="Times New Roman" w:hAnsi="Times New Roman" w:cs="Times New Roman"/>
          <w:i/>
        </w:rPr>
      </w:pPr>
    </w:p>
    <w:p w14:paraId="178E7E4F" w14:textId="5BBDAFDA" w:rsidR="00954A7E" w:rsidRPr="00954A7E" w:rsidRDefault="00954A7E" w:rsidP="001558C3">
      <w:pPr>
        <w:pStyle w:val="Heading3"/>
      </w:pPr>
      <w:r>
        <w:t>Residual Confounding</w:t>
      </w:r>
    </w:p>
    <w:p w14:paraId="3360C4DB" w14:textId="77777777" w:rsidR="009D7380" w:rsidRDefault="000628F8" w:rsidP="00EA6700">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p>
    <w:p w14:paraId="44618DA2" w14:textId="77777777" w:rsidR="009D7380" w:rsidRDefault="009D7380" w:rsidP="00EA6700">
      <w:pPr>
        <w:rPr>
          <w:rFonts w:ascii="Times New Roman" w:hAnsi="Times New Roman" w:cs="Times New Roman"/>
        </w:rPr>
      </w:pPr>
    </w:p>
    <w:p w14:paraId="6D836168" w14:textId="77777777" w:rsidR="009D7380" w:rsidRPr="001558C3" w:rsidRDefault="009D7380" w:rsidP="009D7380">
      <w:pPr>
        <w:pStyle w:val="Heading2"/>
      </w:pPr>
      <w:r w:rsidRPr="001558C3">
        <w:t>Methods:</w:t>
      </w:r>
    </w:p>
    <w:p w14:paraId="643CBFA6" w14:textId="77777777" w:rsidR="009D7380" w:rsidRDefault="009D7380" w:rsidP="009D7380">
      <w:pPr>
        <w:rPr>
          <w:sz w:val="20"/>
          <w:szCs w:val="20"/>
        </w:rPr>
      </w:pPr>
    </w:p>
    <w:p w14:paraId="099140AA" w14:textId="77777777" w:rsidR="009D7380" w:rsidRDefault="009D7380" w:rsidP="009D7380">
      <w:pPr>
        <w:pStyle w:val="Heading3"/>
      </w:pPr>
      <w:r>
        <w:t>Human blood hormone determination: ELISA</w:t>
      </w:r>
    </w:p>
    <w:p w14:paraId="246A68D1" w14:textId="635A585C" w:rsidR="009D7380" w:rsidRDefault="009D7380" w:rsidP="009D7380">
      <w:pPr>
        <w:rPr>
          <w:rFonts w:ascii="Times New Roman" w:hAnsi="Times New Roman" w:cs="Times New Roman"/>
        </w:rPr>
      </w:pPr>
      <w:r>
        <w:rPr>
          <w:rFonts w:ascii="Times New Roman" w:hAnsi="Times New Roman" w:cs="Times New Roman"/>
        </w:rPr>
        <w:t xml:space="preserve"> Human blood insulin concentration will be determined by ELISA (</w:t>
      </w:r>
      <w:r w:rsidR="004B34B6">
        <w:rPr>
          <w:rFonts w:ascii="Times New Roman" w:hAnsi="Times New Roman" w:cs="Times New Roman"/>
        </w:rPr>
        <w:t>C</w:t>
      </w:r>
      <w:r>
        <w:rPr>
          <w:rFonts w:ascii="Times New Roman" w:hAnsi="Times New Roman" w:cs="Times New Roman"/>
        </w:rPr>
        <w:t xml:space="preserve">rystal </w:t>
      </w:r>
      <w:r w:rsidR="004B34B6">
        <w:rPr>
          <w:rFonts w:ascii="Times New Roman" w:hAnsi="Times New Roman" w:cs="Times New Roman"/>
        </w:rPr>
        <w:t>C</w:t>
      </w:r>
      <w:r>
        <w:rPr>
          <w:rFonts w:ascii="Times New Roman" w:hAnsi="Times New Roman" w:cs="Times New Roman"/>
        </w:rPr>
        <w:t>hem catalog #90095). This highly reactive and non-cross reactive assay for C-peptide will be done in duplicate for each sample. Insulin concentration will be calculated using a standard curve fit to known concentrations of a set solution. Individual observations will be reported as the mean concentration (pg/mL) of the two replicates.</w:t>
      </w:r>
    </w:p>
    <w:p w14:paraId="2143D01A" w14:textId="77777777" w:rsidR="009D7380" w:rsidRDefault="009D7380" w:rsidP="009D7380">
      <w:pPr>
        <w:rPr>
          <w:rFonts w:ascii="Times New Roman" w:hAnsi="Times New Roman" w:cs="Times New Roman"/>
          <w:i/>
        </w:rPr>
      </w:pPr>
    </w:p>
    <w:p w14:paraId="4193356F" w14:textId="77777777" w:rsidR="009D7380" w:rsidRDefault="009D7380" w:rsidP="009D7380">
      <w:pPr>
        <w:pStyle w:val="Heading3"/>
      </w:pPr>
      <w:r>
        <w:t>Statistical Analysis</w:t>
      </w:r>
    </w:p>
    <w:p w14:paraId="4775C1CF" w14:textId="3E44ABF4" w:rsidR="009D7380" w:rsidRDefault="009D7380" w:rsidP="009D7380">
      <w:pPr>
        <w:rPr>
          <w:rFonts w:ascii="Times New Roman" w:hAnsi="Times New Roman" w:cs="Times New Roman"/>
        </w:rPr>
      </w:pPr>
      <w:r>
        <w:rPr>
          <w:rFonts w:ascii="Times New Roman" w:hAnsi="Times New Roman" w:cs="Times New Roman"/>
        </w:rPr>
        <w:t>Statistical analysis will be conducted in R</w:t>
      </w:r>
      <w:r w:rsidR="009217F5">
        <w:rPr>
          <w:rFonts w:ascii="Times New Roman" w:hAnsi="Times New Roman" w:cs="Times New Roman"/>
        </w:rPr>
        <w:t>. Logistic regression analyses will result in odds ratios (OR) and 95% confidence intervals (CI)</w:t>
      </w:r>
      <w:r w:rsidR="0032451B">
        <w:rPr>
          <w:rFonts w:ascii="Times New Roman" w:hAnsi="Times New Roman" w:cs="Times New Roman"/>
        </w:rPr>
        <w:t>. Multiple linear regression analyses will be expressed as beta coefficients</w:t>
      </w:r>
      <w:r w:rsidR="00835FE8">
        <w:rPr>
          <w:rFonts w:ascii="Times New Roman" w:hAnsi="Times New Roman" w:cs="Times New Roman"/>
        </w:rPr>
        <w:t xml:space="preserve"> (</w:t>
      </w:r>
      <w:r w:rsidR="00835FE8">
        <w:rPr>
          <w:rFonts w:ascii="Times New Roman" w:hAnsi="Times New Roman" w:cs="Times New Roman"/>
        </w:rPr>
        <w:sym w:font="Symbol" w:char="F062"/>
      </w:r>
      <w:r w:rsidR="00835FE8">
        <w:rPr>
          <w:rFonts w:ascii="Times New Roman" w:hAnsi="Times New Roman" w:cs="Times New Roman"/>
        </w:rPr>
        <w:t>)</w:t>
      </w:r>
      <w:r w:rsidR="0032451B">
        <w:rPr>
          <w:rFonts w:ascii="Times New Roman" w:hAnsi="Times New Roman" w:cs="Times New Roman"/>
        </w:rPr>
        <w:t xml:space="preserve"> and 95% confidence intervals. </w:t>
      </w:r>
    </w:p>
    <w:p w14:paraId="1F04BC4F" w14:textId="226CD62F" w:rsidR="006D0C87" w:rsidRPr="000628F8" w:rsidRDefault="00311456" w:rsidP="00EA6700">
      <w:pPr>
        <w:rPr>
          <w:sz w:val="20"/>
          <w:szCs w:val="20"/>
        </w:rPr>
      </w:pPr>
      <w:r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Race (check all that apply):</w:t>
      </w:r>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Other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0E094834" w:rsidR="00336C4A" w:rsidRPr="006433D4" w:rsidRDefault="00B32654" w:rsidP="00B32654">
      <w:pPr>
        <w:pStyle w:val="Heading2"/>
      </w:pPr>
      <w:r>
        <w:lastRenderedPageBreak/>
        <w:t>References</w:t>
      </w:r>
    </w:p>
    <w:p w14:paraId="7C30AD95" w14:textId="77777777" w:rsidR="0063451B" w:rsidRPr="0063451B" w:rsidRDefault="00336C4A" w:rsidP="0063451B">
      <w:pPr>
        <w:pStyle w:val="Bibliography"/>
        <w:rPr>
          <w:rFonts w:ascii="Calibri"/>
          <w:sz w:val="20"/>
        </w:rPr>
      </w:pPr>
      <w:r>
        <w:rPr>
          <w:sz w:val="20"/>
          <w:szCs w:val="20"/>
        </w:rPr>
        <w:fldChar w:fldCharType="begin"/>
      </w:r>
      <w:r w:rsidR="0063451B">
        <w:rPr>
          <w:sz w:val="20"/>
          <w:szCs w:val="20"/>
        </w:rPr>
        <w:instrText xml:space="preserve"> ADDIN ZOTERO_BIBL {"uncited":[],"omitted":[],"custom":[]} CSL_BIBLIOGRAPHY </w:instrText>
      </w:r>
      <w:r>
        <w:rPr>
          <w:sz w:val="20"/>
          <w:szCs w:val="20"/>
        </w:rPr>
        <w:fldChar w:fldCharType="separate"/>
      </w:r>
      <w:r w:rsidR="0063451B" w:rsidRPr="0063451B">
        <w:rPr>
          <w:rFonts w:ascii="Calibri"/>
          <w:sz w:val="20"/>
        </w:rPr>
        <w:t xml:space="preserve">Alwasel, S. H., Abotalib, Z., Aljarallah, J. S., Osmond, C., Alkharaz, S. M., Alhazza, I. M., … Barker, D. J. P. (2011). Sex Differences in birth size and intergenerational effects of intrauterine exposure to Ramadan in Saudi Arabia. </w:t>
      </w:r>
      <w:r w:rsidR="0063451B" w:rsidRPr="0063451B">
        <w:rPr>
          <w:rFonts w:ascii="Calibri"/>
          <w:i/>
          <w:iCs/>
          <w:sz w:val="20"/>
        </w:rPr>
        <w:t>American Journal of Human Biology</w:t>
      </w:r>
      <w:r w:rsidR="0063451B" w:rsidRPr="0063451B">
        <w:rPr>
          <w:rFonts w:ascii="Calibri"/>
          <w:sz w:val="20"/>
        </w:rPr>
        <w:t xml:space="preserve">, </w:t>
      </w:r>
      <w:r w:rsidR="0063451B" w:rsidRPr="0063451B">
        <w:rPr>
          <w:rFonts w:ascii="Calibri"/>
          <w:i/>
          <w:iCs/>
          <w:sz w:val="20"/>
        </w:rPr>
        <w:t>23</w:t>
      </w:r>
      <w:r w:rsidR="0063451B" w:rsidRPr="0063451B">
        <w:rPr>
          <w:rFonts w:ascii="Calibri"/>
          <w:sz w:val="20"/>
        </w:rPr>
        <w:t>(5), 651–654. https://doi.org/10.1002/ajhb.21193</w:t>
      </w:r>
    </w:p>
    <w:p w14:paraId="728027C9" w14:textId="77777777" w:rsidR="0063451B" w:rsidRPr="0063451B" w:rsidRDefault="0063451B" w:rsidP="0063451B">
      <w:pPr>
        <w:pStyle w:val="Bibliography"/>
        <w:rPr>
          <w:rFonts w:ascii="Calibri"/>
          <w:sz w:val="20"/>
        </w:rPr>
      </w:pPr>
      <w:r w:rsidRPr="0063451B">
        <w:rPr>
          <w:rFonts w:ascii="Calibri"/>
          <w:sz w:val="20"/>
        </w:rPr>
        <w:t xml:space="preserve">Awwad, J., Usta, I. M., Succar, J., Musallam, K. M., Ghazeeri, G., &amp; Nassar, A. H. (2012). The effect of maternal fasting during Ramadan on preterm delivery: A prospective cohort study. </w:t>
      </w:r>
      <w:r w:rsidRPr="0063451B">
        <w:rPr>
          <w:rFonts w:ascii="Calibri"/>
          <w:i/>
          <w:iCs/>
          <w:sz w:val="20"/>
        </w:rPr>
        <w:t>BJOG: An International Journal of Obstetrics and Gynaecology</w:t>
      </w:r>
      <w:r w:rsidRPr="0063451B">
        <w:rPr>
          <w:rFonts w:ascii="Calibri"/>
          <w:sz w:val="20"/>
        </w:rPr>
        <w:t xml:space="preserve">, </w:t>
      </w:r>
      <w:r w:rsidRPr="0063451B">
        <w:rPr>
          <w:rFonts w:ascii="Calibri"/>
          <w:i/>
          <w:iCs/>
          <w:sz w:val="20"/>
        </w:rPr>
        <w:t>119</w:t>
      </w:r>
      <w:r w:rsidRPr="0063451B">
        <w:rPr>
          <w:rFonts w:ascii="Calibri"/>
          <w:sz w:val="20"/>
        </w:rPr>
        <w:t>(11), 1379–1386. https://doi.org/10.1111/j.1471-0528.2012.03438.x</w:t>
      </w:r>
    </w:p>
    <w:p w14:paraId="39833132" w14:textId="77777777" w:rsidR="0063451B" w:rsidRPr="0063451B" w:rsidRDefault="0063451B" w:rsidP="0063451B">
      <w:pPr>
        <w:pStyle w:val="Bibliography"/>
        <w:rPr>
          <w:rFonts w:ascii="Calibri"/>
          <w:sz w:val="20"/>
        </w:rPr>
      </w:pPr>
      <w:r w:rsidRPr="0063451B">
        <w:rPr>
          <w:rFonts w:ascii="Calibri"/>
          <w:sz w:val="20"/>
        </w:rPr>
        <w:t xml:space="preserve">Baynouna Al Ketbi, L. M., Niglekerke, N. J., Zein Al Deen, S. M., &amp; Mirghani, H. (2014). Diet restriction in Ramadan and the effect of fasting on glucose levels in pregnancy. </w:t>
      </w:r>
      <w:r w:rsidRPr="0063451B">
        <w:rPr>
          <w:rFonts w:ascii="Calibri"/>
          <w:i/>
          <w:iCs/>
          <w:sz w:val="20"/>
        </w:rPr>
        <w:t>BMC Research Notes</w:t>
      </w:r>
      <w:r w:rsidRPr="0063451B">
        <w:rPr>
          <w:rFonts w:ascii="Calibri"/>
          <w:sz w:val="20"/>
        </w:rPr>
        <w:t xml:space="preserve">, </w:t>
      </w:r>
      <w:r w:rsidRPr="0063451B">
        <w:rPr>
          <w:rFonts w:ascii="Calibri"/>
          <w:i/>
          <w:iCs/>
          <w:sz w:val="20"/>
        </w:rPr>
        <w:t>7</w:t>
      </w:r>
      <w:r w:rsidRPr="0063451B">
        <w:rPr>
          <w:rFonts w:ascii="Calibri"/>
          <w:sz w:val="20"/>
        </w:rPr>
        <w:t>, 392. https://doi.org/10.1186/1756-0500-7-392</w:t>
      </w:r>
    </w:p>
    <w:p w14:paraId="790329A5" w14:textId="77777777" w:rsidR="0063451B" w:rsidRPr="0063451B" w:rsidRDefault="0063451B" w:rsidP="0063451B">
      <w:pPr>
        <w:pStyle w:val="Bibliography"/>
        <w:rPr>
          <w:rFonts w:ascii="Calibri"/>
          <w:sz w:val="20"/>
        </w:rPr>
      </w:pPr>
      <w:r w:rsidRPr="0063451B">
        <w:rPr>
          <w:rFonts w:ascii="Calibri"/>
          <w:sz w:val="20"/>
        </w:rPr>
        <w:t xml:space="preserve">Cho, N. H., Shaw, J. E., Karuranga, S., Huang, Y., da Rocha Fernandes, J. D., Ohlrogge, A. W., &amp; Malanda, B. (2018). IDF Diabetes Atlas: Global estimates of diabetes prevalence for 2017 and projections for 2045. </w:t>
      </w:r>
      <w:r w:rsidRPr="0063451B">
        <w:rPr>
          <w:rFonts w:ascii="Calibri"/>
          <w:i/>
          <w:iCs/>
          <w:sz w:val="20"/>
        </w:rPr>
        <w:t>Diabetes Research and Clinical Practice</w:t>
      </w:r>
      <w:r w:rsidRPr="0063451B">
        <w:rPr>
          <w:rFonts w:ascii="Calibri"/>
          <w:sz w:val="20"/>
        </w:rPr>
        <w:t xml:space="preserve">, </w:t>
      </w:r>
      <w:r w:rsidRPr="0063451B">
        <w:rPr>
          <w:rFonts w:ascii="Calibri"/>
          <w:i/>
          <w:iCs/>
          <w:sz w:val="20"/>
        </w:rPr>
        <w:t>138</w:t>
      </w:r>
      <w:r w:rsidRPr="0063451B">
        <w:rPr>
          <w:rFonts w:ascii="Calibri"/>
          <w:sz w:val="20"/>
        </w:rPr>
        <w:t>, 271–281. https://doi.org/10.1016/j.diabres.2018.02.023</w:t>
      </w:r>
    </w:p>
    <w:p w14:paraId="0961A105" w14:textId="77777777" w:rsidR="0063451B" w:rsidRPr="0063451B" w:rsidRDefault="0063451B" w:rsidP="0063451B">
      <w:pPr>
        <w:pStyle w:val="Bibliography"/>
        <w:rPr>
          <w:rFonts w:ascii="Calibri"/>
          <w:sz w:val="20"/>
        </w:rPr>
      </w:pPr>
      <w:r w:rsidRPr="0063451B">
        <w:rPr>
          <w:rFonts w:ascii="Calibri"/>
          <w:sz w:val="20"/>
        </w:rPr>
        <w:t xml:space="preserve">Clifton, V. L. (2010). Review: Sex and the Human Placenta: Mediating Differential Strategies of Fetal Growth and Survival. </w:t>
      </w:r>
      <w:r w:rsidRPr="0063451B">
        <w:rPr>
          <w:rFonts w:ascii="Calibri"/>
          <w:i/>
          <w:iCs/>
          <w:sz w:val="20"/>
        </w:rPr>
        <w:t>Placenta</w:t>
      </w:r>
      <w:r w:rsidRPr="0063451B">
        <w:rPr>
          <w:rFonts w:ascii="Calibri"/>
          <w:sz w:val="20"/>
        </w:rPr>
        <w:t xml:space="preserve">, </w:t>
      </w:r>
      <w:r w:rsidRPr="0063451B">
        <w:rPr>
          <w:rFonts w:ascii="Calibri"/>
          <w:i/>
          <w:iCs/>
          <w:sz w:val="20"/>
        </w:rPr>
        <w:t>31</w:t>
      </w:r>
      <w:r w:rsidRPr="0063451B">
        <w:rPr>
          <w:rFonts w:ascii="Calibri"/>
          <w:sz w:val="20"/>
        </w:rPr>
        <w:t>, S33–S39. https://doi.org/10.1016/j.placenta.2009.11.010</w:t>
      </w:r>
    </w:p>
    <w:p w14:paraId="016AFCE2" w14:textId="77777777" w:rsidR="0063451B" w:rsidRPr="0063451B" w:rsidRDefault="0063451B" w:rsidP="0063451B">
      <w:pPr>
        <w:pStyle w:val="Bibliography"/>
        <w:rPr>
          <w:rFonts w:ascii="Calibri"/>
          <w:sz w:val="20"/>
        </w:rPr>
      </w:pPr>
      <w:r w:rsidRPr="0063451B">
        <w:rPr>
          <w:rFonts w:ascii="Calibri"/>
          <w:sz w:val="2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63451B">
        <w:rPr>
          <w:rFonts w:ascii="Calibri"/>
          <w:i/>
          <w:iCs/>
          <w:sz w:val="20"/>
        </w:rPr>
        <w:t>PloS One</w:t>
      </w:r>
      <w:r w:rsidRPr="0063451B">
        <w:rPr>
          <w:rFonts w:ascii="Calibri"/>
          <w:sz w:val="20"/>
        </w:rPr>
        <w:t xml:space="preserve">, </w:t>
      </w:r>
      <w:r w:rsidRPr="0063451B">
        <w:rPr>
          <w:rFonts w:ascii="Calibri"/>
          <w:i/>
          <w:iCs/>
          <w:sz w:val="20"/>
        </w:rPr>
        <w:t>10</w:t>
      </w:r>
      <w:r w:rsidRPr="0063451B">
        <w:rPr>
          <w:rFonts w:ascii="Calibri"/>
          <w:sz w:val="20"/>
        </w:rPr>
        <w:t>(3), e0118586. https://doi.org/10.1371/journal.pone.0118586</w:t>
      </w:r>
    </w:p>
    <w:p w14:paraId="00742932" w14:textId="77777777" w:rsidR="0063451B" w:rsidRPr="0063451B" w:rsidRDefault="0063451B" w:rsidP="0063451B">
      <w:pPr>
        <w:pStyle w:val="Bibliography"/>
        <w:rPr>
          <w:rFonts w:ascii="Calibri"/>
          <w:sz w:val="20"/>
        </w:rPr>
      </w:pPr>
      <w:r w:rsidRPr="0063451B">
        <w:rPr>
          <w:rFonts w:ascii="Calibri"/>
          <w:sz w:val="20"/>
        </w:rPr>
        <w:t xml:space="preserve">Daley, A., Pallan, M., Clifford, S., Jolly, K., Bryant, M., Adab, P., … Roalfe, A. (2017). Are babies conceived during Ramadan born smaller and sooner than babies conceived at other times of the year? A Born in Bradford Cohort Study. </w:t>
      </w:r>
      <w:r w:rsidRPr="0063451B">
        <w:rPr>
          <w:rFonts w:ascii="Calibri"/>
          <w:i/>
          <w:iCs/>
          <w:sz w:val="20"/>
        </w:rPr>
        <w:t>Journal of Epidemiology and Community Health</w:t>
      </w:r>
      <w:r w:rsidRPr="0063451B">
        <w:rPr>
          <w:rFonts w:ascii="Calibri"/>
          <w:sz w:val="20"/>
        </w:rPr>
        <w:t xml:space="preserve">, </w:t>
      </w:r>
      <w:r w:rsidRPr="0063451B">
        <w:rPr>
          <w:rFonts w:ascii="Calibri"/>
          <w:i/>
          <w:iCs/>
          <w:sz w:val="20"/>
        </w:rPr>
        <w:t>71</w:t>
      </w:r>
      <w:r w:rsidRPr="0063451B">
        <w:rPr>
          <w:rFonts w:ascii="Calibri"/>
          <w:sz w:val="20"/>
        </w:rPr>
        <w:t>(7), 722–728. https://doi.org/10.1136/jech-2016-208800</w:t>
      </w:r>
    </w:p>
    <w:p w14:paraId="035D1466" w14:textId="77777777" w:rsidR="0063451B" w:rsidRPr="0063451B" w:rsidRDefault="0063451B" w:rsidP="0063451B">
      <w:pPr>
        <w:pStyle w:val="Bibliography"/>
        <w:rPr>
          <w:rFonts w:ascii="Calibri"/>
          <w:sz w:val="20"/>
        </w:rPr>
      </w:pPr>
      <w:r w:rsidRPr="0063451B">
        <w:rPr>
          <w:rFonts w:ascii="Calibri"/>
          <w:sz w:val="20"/>
        </w:rPr>
        <w:t xml:space="preserve">Facco, F. L., Grobman, W. A., Reid, K. J., Parker, C. B., Hunter, S. M., Silver, R. M., … Zee, P. C. (2017). Objectively measured short sleep duration and later sleep midpoint in pregnancy are associated with a higher risk of gestational diabetes. </w:t>
      </w:r>
      <w:r w:rsidRPr="0063451B">
        <w:rPr>
          <w:rFonts w:ascii="Calibri"/>
          <w:i/>
          <w:iCs/>
          <w:sz w:val="20"/>
        </w:rPr>
        <w:t>American Journal of Obstetrics and Gynecology</w:t>
      </w:r>
      <w:r w:rsidRPr="0063451B">
        <w:rPr>
          <w:rFonts w:ascii="Calibri"/>
          <w:sz w:val="20"/>
        </w:rPr>
        <w:t xml:space="preserve">, </w:t>
      </w:r>
      <w:r w:rsidRPr="0063451B">
        <w:rPr>
          <w:rFonts w:ascii="Calibri"/>
          <w:i/>
          <w:iCs/>
          <w:sz w:val="20"/>
        </w:rPr>
        <w:t>217</w:t>
      </w:r>
      <w:r w:rsidRPr="0063451B">
        <w:rPr>
          <w:rFonts w:ascii="Calibri"/>
          <w:sz w:val="20"/>
        </w:rPr>
        <w:t>(4), 447.e1-447.e13. https://doi.org/10.1016/j.ajog.2017.05.066</w:t>
      </w:r>
    </w:p>
    <w:p w14:paraId="24E432A2" w14:textId="77777777" w:rsidR="0063451B" w:rsidRPr="0063451B" w:rsidRDefault="0063451B" w:rsidP="0063451B">
      <w:pPr>
        <w:pStyle w:val="Bibliography"/>
        <w:rPr>
          <w:rFonts w:ascii="Calibri"/>
          <w:sz w:val="20"/>
        </w:rPr>
      </w:pPr>
      <w:r w:rsidRPr="0063451B">
        <w:rPr>
          <w:rFonts w:ascii="Calibri"/>
          <w:sz w:val="20"/>
        </w:rPr>
        <w:lastRenderedPageBreak/>
        <w:t xml:space="preserve">Faul, F., Erdfelder, E., Lang, A.-G., &amp; Buchner, A. (2007). G*Power 3: A flexible statistical power analysis program for the social, behavioral, and biomedical sciences. </w:t>
      </w:r>
      <w:r w:rsidRPr="0063451B">
        <w:rPr>
          <w:rFonts w:ascii="Calibri"/>
          <w:i/>
          <w:iCs/>
          <w:sz w:val="20"/>
        </w:rPr>
        <w:t>Behavior Research Methods</w:t>
      </w:r>
      <w:r w:rsidRPr="0063451B">
        <w:rPr>
          <w:rFonts w:ascii="Calibri"/>
          <w:sz w:val="20"/>
        </w:rPr>
        <w:t xml:space="preserve">, </w:t>
      </w:r>
      <w:r w:rsidRPr="0063451B">
        <w:rPr>
          <w:rFonts w:ascii="Calibri"/>
          <w:i/>
          <w:iCs/>
          <w:sz w:val="20"/>
        </w:rPr>
        <w:t>39</w:t>
      </w:r>
      <w:r w:rsidRPr="0063451B">
        <w:rPr>
          <w:rFonts w:ascii="Calibri"/>
          <w:sz w:val="20"/>
        </w:rPr>
        <w:t>(2), 175–191. https://doi.org/10.3758/BF03193146</w:t>
      </w:r>
    </w:p>
    <w:p w14:paraId="61772413" w14:textId="77777777" w:rsidR="0063451B" w:rsidRPr="0063451B" w:rsidRDefault="0063451B" w:rsidP="0063451B">
      <w:pPr>
        <w:pStyle w:val="Bibliography"/>
        <w:rPr>
          <w:rFonts w:ascii="Calibri"/>
          <w:sz w:val="20"/>
        </w:rPr>
      </w:pPr>
      <w:r w:rsidRPr="0063451B">
        <w:rPr>
          <w:rFonts w:ascii="Calibri"/>
          <w:sz w:val="20"/>
        </w:rPr>
        <w:t xml:space="preserve">Govic, A., Penman, J., Tammer, A. H., &amp; Paolini, A. G. (2016). Paternal calorie restriction prior to conception alters anxiety-like behavior of the adult rat progeny. </w:t>
      </w:r>
      <w:r w:rsidRPr="0063451B">
        <w:rPr>
          <w:rFonts w:ascii="Calibri"/>
          <w:i/>
          <w:iCs/>
          <w:sz w:val="20"/>
        </w:rPr>
        <w:t>Psychoneuroendocrinology</w:t>
      </w:r>
      <w:r w:rsidRPr="0063451B">
        <w:rPr>
          <w:rFonts w:ascii="Calibri"/>
          <w:sz w:val="20"/>
        </w:rPr>
        <w:t xml:space="preserve">, </w:t>
      </w:r>
      <w:r w:rsidRPr="0063451B">
        <w:rPr>
          <w:rFonts w:ascii="Calibri"/>
          <w:i/>
          <w:iCs/>
          <w:sz w:val="20"/>
        </w:rPr>
        <w:t>64</w:t>
      </w:r>
      <w:r w:rsidRPr="0063451B">
        <w:rPr>
          <w:rFonts w:ascii="Calibri"/>
          <w:sz w:val="20"/>
        </w:rPr>
        <w:t>, 1–11. https://doi.org/10.1016/j.psyneuen.2015.10.020</w:t>
      </w:r>
    </w:p>
    <w:p w14:paraId="32AFC89E" w14:textId="77777777" w:rsidR="0063451B" w:rsidRPr="0063451B" w:rsidRDefault="0063451B" w:rsidP="0063451B">
      <w:pPr>
        <w:pStyle w:val="Bibliography"/>
        <w:rPr>
          <w:rFonts w:ascii="Calibri"/>
          <w:sz w:val="20"/>
        </w:rPr>
      </w:pPr>
      <w:r w:rsidRPr="0063451B">
        <w:rPr>
          <w:rFonts w:ascii="Calibri"/>
          <w:sz w:val="20"/>
        </w:rPr>
        <w:t xml:space="preserve">Halberg, N., Henriksen, M., Söderhamn, N., Stallknecht, B., Ploug, T., Schjerling, P., &amp; Dela, F. (2005). Effect of intermittent fasting and refeeding on insulin action in healthy men. </w:t>
      </w:r>
      <w:r w:rsidRPr="0063451B">
        <w:rPr>
          <w:rFonts w:ascii="Calibri"/>
          <w:i/>
          <w:iCs/>
          <w:sz w:val="20"/>
        </w:rPr>
        <w:t>Journal of Applied Physiology</w:t>
      </w:r>
      <w:r w:rsidRPr="0063451B">
        <w:rPr>
          <w:rFonts w:ascii="Calibri"/>
          <w:sz w:val="20"/>
        </w:rPr>
        <w:t xml:space="preserve">, </w:t>
      </w:r>
      <w:r w:rsidRPr="0063451B">
        <w:rPr>
          <w:rFonts w:ascii="Calibri"/>
          <w:i/>
          <w:iCs/>
          <w:sz w:val="20"/>
        </w:rPr>
        <w:t>99</w:t>
      </w:r>
      <w:r w:rsidRPr="0063451B">
        <w:rPr>
          <w:rFonts w:ascii="Calibri"/>
          <w:sz w:val="20"/>
        </w:rPr>
        <w:t>(6), 2128–2136. https://doi.org/10.1152/japplphysiol.00683.2005</w:t>
      </w:r>
    </w:p>
    <w:p w14:paraId="1CB01577" w14:textId="77777777" w:rsidR="0063451B" w:rsidRPr="0063451B" w:rsidRDefault="0063451B" w:rsidP="0063451B">
      <w:pPr>
        <w:pStyle w:val="Bibliography"/>
        <w:rPr>
          <w:rFonts w:ascii="Calibri"/>
          <w:sz w:val="20"/>
        </w:rPr>
      </w:pPr>
      <w:r w:rsidRPr="0063451B">
        <w:rPr>
          <w:rFonts w:ascii="Calibri"/>
          <w:sz w:val="20"/>
        </w:rPr>
        <w:t xml:space="preserve">Hatori, M., Vollmers, C., Zarrinpar, A., DiTacchio, L., Bushong, E. A., Gill, S., … Panda, S. (2012). Time-Restricted Feeding without Reducing Caloric Intake Prevents Metabolic Diseases in Mice Fed a High-Fat Diet. </w:t>
      </w:r>
      <w:r w:rsidRPr="0063451B">
        <w:rPr>
          <w:rFonts w:ascii="Calibri"/>
          <w:i/>
          <w:iCs/>
          <w:sz w:val="20"/>
        </w:rPr>
        <w:t>Cell Metabolism</w:t>
      </w:r>
      <w:r w:rsidRPr="0063451B">
        <w:rPr>
          <w:rFonts w:ascii="Calibri"/>
          <w:sz w:val="20"/>
        </w:rPr>
        <w:t xml:space="preserve">, </w:t>
      </w:r>
      <w:r w:rsidRPr="0063451B">
        <w:rPr>
          <w:rFonts w:ascii="Calibri"/>
          <w:i/>
          <w:iCs/>
          <w:sz w:val="20"/>
        </w:rPr>
        <w:t>15</w:t>
      </w:r>
      <w:r w:rsidRPr="0063451B">
        <w:rPr>
          <w:rFonts w:ascii="Calibri"/>
          <w:sz w:val="20"/>
        </w:rPr>
        <w:t>(6), 848–860. https://doi.org/10.1016/j.cmet.2012.04.019</w:t>
      </w:r>
    </w:p>
    <w:p w14:paraId="2A343552" w14:textId="77777777" w:rsidR="0063451B" w:rsidRPr="0063451B" w:rsidRDefault="0063451B" w:rsidP="0063451B">
      <w:pPr>
        <w:pStyle w:val="Bibliography"/>
        <w:rPr>
          <w:rFonts w:ascii="Calibri"/>
          <w:sz w:val="20"/>
        </w:rPr>
      </w:pPr>
      <w:r w:rsidRPr="0063451B">
        <w:rPr>
          <w:rFonts w:ascii="Calibri"/>
          <w:sz w:val="20"/>
        </w:rPr>
        <w:t xml:space="preserve">Hizli, D., Yilmaz, S. S., Onaran, Y., Kafali, H., Danişman, N., &amp; Mollamahmutoğlu, L. (2012). Impact of maternal fasting during Ramadan on fetal Doppler parameters, maternal lipid levels and neonatal outcomes. </w:t>
      </w:r>
      <w:r w:rsidRPr="0063451B">
        <w:rPr>
          <w:rFonts w:ascii="Calibri"/>
          <w:i/>
          <w:iCs/>
          <w:sz w:val="20"/>
        </w:rPr>
        <w:t>The Journal of Maternal-Fetal &amp; Neonatal Medicine: The Official Journal of the European Association of Perinatal Medicine, the Federation of Asia and Oceania Perinatal Societies, the International Society of Perinatal Obstetricians</w:t>
      </w:r>
      <w:r w:rsidRPr="0063451B">
        <w:rPr>
          <w:rFonts w:ascii="Calibri"/>
          <w:sz w:val="20"/>
        </w:rPr>
        <w:t xml:space="preserve">, </w:t>
      </w:r>
      <w:r w:rsidRPr="0063451B">
        <w:rPr>
          <w:rFonts w:ascii="Calibri"/>
          <w:i/>
          <w:iCs/>
          <w:sz w:val="20"/>
        </w:rPr>
        <w:t>25</w:t>
      </w:r>
      <w:r w:rsidRPr="0063451B">
        <w:rPr>
          <w:rFonts w:ascii="Calibri"/>
          <w:sz w:val="20"/>
        </w:rPr>
        <w:t>(7), 975–977. https://doi.org/10.3109/14767058.2011.602142</w:t>
      </w:r>
    </w:p>
    <w:p w14:paraId="2FEE6262" w14:textId="77777777" w:rsidR="0063451B" w:rsidRPr="0063451B" w:rsidRDefault="0063451B" w:rsidP="0063451B">
      <w:pPr>
        <w:pStyle w:val="Bibliography"/>
        <w:rPr>
          <w:rFonts w:ascii="Calibri"/>
          <w:sz w:val="20"/>
        </w:rPr>
      </w:pPr>
      <w:r w:rsidRPr="0063451B">
        <w:rPr>
          <w:rFonts w:ascii="Calibri"/>
          <w:sz w:val="20"/>
        </w:rPr>
        <w:t xml:space="preserve">Kahleova, H., Lloren, J. I., Mashchak, A., Hill, M., &amp; Fraser, G. E. (2017). Meal Frequency and Timing Are Associated with Changes in Body Mass Index in Adventist Health Study 2. </w:t>
      </w:r>
      <w:r w:rsidRPr="0063451B">
        <w:rPr>
          <w:rFonts w:ascii="Calibri"/>
          <w:i/>
          <w:iCs/>
          <w:sz w:val="20"/>
        </w:rPr>
        <w:t>The Journal of Nutrition</w:t>
      </w:r>
      <w:r w:rsidRPr="0063451B">
        <w:rPr>
          <w:rFonts w:ascii="Calibri"/>
          <w:sz w:val="20"/>
        </w:rPr>
        <w:t xml:space="preserve">, </w:t>
      </w:r>
      <w:r w:rsidRPr="0063451B">
        <w:rPr>
          <w:rFonts w:ascii="Calibri"/>
          <w:i/>
          <w:iCs/>
          <w:sz w:val="20"/>
        </w:rPr>
        <w:t>147</w:t>
      </w:r>
      <w:r w:rsidRPr="0063451B">
        <w:rPr>
          <w:rFonts w:ascii="Calibri"/>
          <w:sz w:val="20"/>
        </w:rPr>
        <w:t>(9), 1722–1728. https://doi.org/10.3945/jn.116.244749</w:t>
      </w:r>
    </w:p>
    <w:p w14:paraId="67410A0A" w14:textId="77777777" w:rsidR="0063451B" w:rsidRPr="0063451B" w:rsidRDefault="0063451B" w:rsidP="0063451B">
      <w:pPr>
        <w:pStyle w:val="Bibliography"/>
        <w:rPr>
          <w:rFonts w:ascii="Calibri"/>
          <w:sz w:val="20"/>
        </w:rPr>
      </w:pPr>
      <w:r w:rsidRPr="0063451B">
        <w:rPr>
          <w:rFonts w:ascii="Calibri"/>
          <w:sz w:val="20"/>
        </w:rPr>
        <w:t xml:space="preserve">Kramer, M. S., McLean, F. H., Eason, E. L., &amp; Usher, R. H. (1992). Maternal Nutrition and Spontaneous Preterm Birth. </w:t>
      </w:r>
      <w:r w:rsidRPr="0063451B">
        <w:rPr>
          <w:rFonts w:ascii="Calibri"/>
          <w:i/>
          <w:iCs/>
          <w:sz w:val="20"/>
        </w:rPr>
        <w:t>American Journal of Epidemiology</w:t>
      </w:r>
      <w:r w:rsidRPr="0063451B">
        <w:rPr>
          <w:rFonts w:ascii="Calibri"/>
          <w:sz w:val="20"/>
        </w:rPr>
        <w:t xml:space="preserve">, </w:t>
      </w:r>
      <w:r w:rsidRPr="0063451B">
        <w:rPr>
          <w:rFonts w:ascii="Calibri"/>
          <w:i/>
          <w:iCs/>
          <w:sz w:val="20"/>
        </w:rPr>
        <w:t>136</w:t>
      </w:r>
      <w:r w:rsidRPr="0063451B">
        <w:rPr>
          <w:rFonts w:ascii="Calibri"/>
          <w:sz w:val="20"/>
        </w:rPr>
        <w:t>(5), 574–583. https://doi.org/10.1093/oxfordjournals.aje.a116535</w:t>
      </w:r>
    </w:p>
    <w:p w14:paraId="452B0390" w14:textId="77777777" w:rsidR="0063451B" w:rsidRPr="0063451B" w:rsidRDefault="0063451B" w:rsidP="0063451B">
      <w:pPr>
        <w:pStyle w:val="Bibliography"/>
        <w:rPr>
          <w:rFonts w:ascii="Calibri"/>
          <w:sz w:val="20"/>
        </w:rPr>
      </w:pPr>
      <w:r w:rsidRPr="0063451B">
        <w:rPr>
          <w:rFonts w:ascii="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63451B">
        <w:rPr>
          <w:rFonts w:ascii="Calibri"/>
          <w:i/>
          <w:iCs/>
          <w:sz w:val="20"/>
        </w:rPr>
        <w:t>Hypertension</w:t>
      </w:r>
      <w:r w:rsidRPr="0063451B">
        <w:rPr>
          <w:rFonts w:ascii="Calibri"/>
          <w:sz w:val="20"/>
        </w:rPr>
        <w:t xml:space="preserve">, </w:t>
      </w:r>
      <w:r w:rsidRPr="0063451B">
        <w:rPr>
          <w:rFonts w:ascii="Calibri"/>
          <w:i/>
          <w:iCs/>
          <w:sz w:val="20"/>
        </w:rPr>
        <w:t>65</w:t>
      </w:r>
      <w:r w:rsidRPr="0063451B">
        <w:rPr>
          <w:rFonts w:ascii="Calibri"/>
          <w:sz w:val="20"/>
        </w:rPr>
        <w:t>(3), 607–614. https://doi.org/10.1161/HYPERTENSIONAHA.114.04662</w:t>
      </w:r>
    </w:p>
    <w:p w14:paraId="1E3494AA" w14:textId="77777777" w:rsidR="0063451B" w:rsidRPr="0063451B" w:rsidRDefault="0063451B" w:rsidP="0063451B">
      <w:pPr>
        <w:pStyle w:val="Bibliography"/>
        <w:rPr>
          <w:rFonts w:ascii="Calibri"/>
          <w:sz w:val="20"/>
        </w:rPr>
      </w:pPr>
      <w:r w:rsidRPr="0063451B">
        <w:rPr>
          <w:rFonts w:ascii="Calibri"/>
          <w:sz w:val="20"/>
        </w:rPr>
        <w:lastRenderedPageBreak/>
        <w:t xml:space="preserve">Liu, B., Page, A. J., Hatzinikolas, G., Chen, M., Wittert, G. A., &amp; Heilbronn, L. K. (2019). Intermittent Fasting Improves Glucose Tolerance and Promotes Adipose Tissue Remodeling in Male Mice Fed a High-Fat Diet. </w:t>
      </w:r>
      <w:r w:rsidRPr="0063451B">
        <w:rPr>
          <w:rFonts w:ascii="Calibri"/>
          <w:i/>
          <w:iCs/>
          <w:sz w:val="20"/>
        </w:rPr>
        <w:t>Endocrinology</w:t>
      </w:r>
      <w:r w:rsidRPr="0063451B">
        <w:rPr>
          <w:rFonts w:ascii="Calibri"/>
          <w:sz w:val="20"/>
        </w:rPr>
        <w:t xml:space="preserve">, </w:t>
      </w:r>
      <w:r w:rsidRPr="0063451B">
        <w:rPr>
          <w:rFonts w:ascii="Calibri"/>
          <w:i/>
          <w:iCs/>
          <w:sz w:val="20"/>
        </w:rPr>
        <w:t>160</w:t>
      </w:r>
      <w:r w:rsidRPr="0063451B">
        <w:rPr>
          <w:rFonts w:ascii="Calibri"/>
          <w:sz w:val="20"/>
        </w:rPr>
        <w:t>(1), 169–180. https://doi.org/10.1210/en.2018-00701</w:t>
      </w:r>
    </w:p>
    <w:p w14:paraId="62380011" w14:textId="77777777" w:rsidR="0063451B" w:rsidRPr="0063451B" w:rsidRDefault="0063451B" w:rsidP="0063451B">
      <w:pPr>
        <w:pStyle w:val="Bibliography"/>
        <w:rPr>
          <w:rFonts w:ascii="Calibri"/>
          <w:sz w:val="20"/>
        </w:rPr>
      </w:pPr>
      <w:r w:rsidRPr="0063451B">
        <w:rPr>
          <w:rFonts w:ascii="Calibri"/>
          <w:sz w:val="20"/>
        </w:rPr>
        <w:t>Meal Frequency and Timing Are Associated with Changes in Body Mass Index in Adventist Health Study 2 | The Journal of Nutrition | Oxford Academic. (n.d.). Retrieved August 16, 2019, from https://academic-oup-com.proxy.lib.umich.edu/jn/article/147/9/1722/4743530</w:t>
      </w:r>
    </w:p>
    <w:p w14:paraId="196782DD" w14:textId="77777777" w:rsidR="0063451B" w:rsidRPr="0063451B" w:rsidRDefault="0063451B" w:rsidP="0063451B">
      <w:pPr>
        <w:pStyle w:val="Bibliography"/>
        <w:rPr>
          <w:rFonts w:ascii="Calibri"/>
          <w:sz w:val="20"/>
        </w:rPr>
      </w:pPr>
      <w:r w:rsidRPr="0063451B">
        <w:rPr>
          <w:rFonts w:ascii="Calibri"/>
          <w:sz w:val="20"/>
        </w:rPr>
        <w:t xml:space="preserve">Metrustry, S. J., Karhunen, V., Edwards, M. H., Menni, C., Geisendorfer, T., Huber, A., … Valdes, A. M. (2018). Metabolomic signatures of low birthweight: Pathways to insulin resistance and oxidative stress. </w:t>
      </w:r>
      <w:r w:rsidRPr="0063451B">
        <w:rPr>
          <w:rFonts w:ascii="Calibri"/>
          <w:i/>
          <w:iCs/>
          <w:sz w:val="20"/>
        </w:rPr>
        <w:t>PloS One</w:t>
      </w:r>
      <w:r w:rsidRPr="0063451B">
        <w:rPr>
          <w:rFonts w:ascii="Calibri"/>
          <w:sz w:val="20"/>
        </w:rPr>
        <w:t xml:space="preserve">, </w:t>
      </w:r>
      <w:r w:rsidRPr="0063451B">
        <w:rPr>
          <w:rFonts w:ascii="Calibri"/>
          <w:i/>
          <w:iCs/>
          <w:sz w:val="20"/>
        </w:rPr>
        <w:t>13</w:t>
      </w:r>
      <w:r w:rsidRPr="0063451B">
        <w:rPr>
          <w:rFonts w:ascii="Calibri"/>
          <w:sz w:val="20"/>
        </w:rPr>
        <w:t>(3), e0194316. https://doi.org/10.1371/journal.pone.0194316</w:t>
      </w:r>
    </w:p>
    <w:p w14:paraId="33142756" w14:textId="77777777" w:rsidR="0063451B" w:rsidRPr="0063451B" w:rsidRDefault="0063451B" w:rsidP="0063451B">
      <w:pPr>
        <w:pStyle w:val="Bibliography"/>
        <w:rPr>
          <w:rFonts w:ascii="Calibri"/>
          <w:sz w:val="20"/>
        </w:rPr>
      </w:pPr>
      <w:r w:rsidRPr="0063451B">
        <w:rPr>
          <w:rFonts w:ascii="Calibri"/>
          <w:sz w:val="20"/>
        </w:rPr>
        <w:t xml:space="preserve">Randel, A. (2014). ACOG Releases Guideline on Gestational Diabetes. </w:t>
      </w:r>
      <w:r w:rsidRPr="0063451B">
        <w:rPr>
          <w:rFonts w:ascii="Calibri"/>
          <w:i/>
          <w:iCs/>
          <w:sz w:val="20"/>
        </w:rPr>
        <w:t>American Family Physician</w:t>
      </w:r>
      <w:r w:rsidRPr="0063451B">
        <w:rPr>
          <w:rFonts w:ascii="Calibri"/>
          <w:sz w:val="20"/>
        </w:rPr>
        <w:t xml:space="preserve">, </w:t>
      </w:r>
      <w:r w:rsidRPr="0063451B">
        <w:rPr>
          <w:rFonts w:ascii="Calibri"/>
          <w:i/>
          <w:iCs/>
          <w:sz w:val="20"/>
        </w:rPr>
        <w:t>90</w:t>
      </w:r>
      <w:r w:rsidRPr="0063451B">
        <w:rPr>
          <w:rFonts w:ascii="Calibri"/>
          <w:sz w:val="20"/>
        </w:rPr>
        <w:t>(6), 416–417.</w:t>
      </w:r>
    </w:p>
    <w:p w14:paraId="2735D9EC" w14:textId="77777777" w:rsidR="0063451B" w:rsidRPr="0063451B" w:rsidRDefault="0063451B" w:rsidP="0063451B">
      <w:pPr>
        <w:pStyle w:val="Bibliography"/>
        <w:rPr>
          <w:rFonts w:ascii="Calibri"/>
          <w:sz w:val="20"/>
        </w:rPr>
      </w:pPr>
      <w:r w:rsidRPr="0063451B">
        <w:rPr>
          <w:rFonts w:ascii="Calibri"/>
          <w:sz w:val="20"/>
        </w:rPr>
        <w:t xml:space="preserve">Rasmussen, K. M., Abrams, B., Bodnar, L. M., Butte, N. F., Catalano, P. M., &amp; Siega-Riz, A. M. (2010). Recommendations for Weight Gain During Pregnancy in the Context of the Obesity Epidemic. </w:t>
      </w:r>
      <w:r w:rsidRPr="0063451B">
        <w:rPr>
          <w:rFonts w:ascii="Calibri"/>
          <w:i/>
          <w:iCs/>
          <w:sz w:val="20"/>
        </w:rPr>
        <w:t>Obstetrics and Gynecology</w:t>
      </w:r>
      <w:r w:rsidRPr="0063451B">
        <w:rPr>
          <w:rFonts w:ascii="Calibri"/>
          <w:sz w:val="20"/>
        </w:rPr>
        <w:t xml:space="preserve">, </w:t>
      </w:r>
      <w:r w:rsidRPr="0063451B">
        <w:rPr>
          <w:rFonts w:ascii="Calibri"/>
          <w:i/>
          <w:iCs/>
          <w:sz w:val="20"/>
        </w:rPr>
        <w:t>116</w:t>
      </w:r>
      <w:r w:rsidRPr="0063451B">
        <w:rPr>
          <w:rFonts w:ascii="Calibri"/>
          <w:sz w:val="20"/>
        </w:rPr>
        <w:t>(5), 1191–1195. https://doi.org/10.1097/AOG.0b013e3181f60da7</w:t>
      </w:r>
    </w:p>
    <w:p w14:paraId="57F5F7BE" w14:textId="77777777" w:rsidR="0063451B" w:rsidRPr="0063451B" w:rsidRDefault="0063451B" w:rsidP="0063451B">
      <w:pPr>
        <w:pStyle w:val="Bibliography"/>
        <w:rPr>
          <w:rFonts w:ascii="Calibri"/>
          <w:sz w:val="20"/>
        </w:rPr>
      </w:pPr>
      <w:r w:rsidRPr="0063451B">
        <w:rPr>
          <w:rFonts w:ascii="Calibri"/>
          <w:sz w:val="20"/>
        </w:rPr>
        <w:t xml:space="preserve">Ravussin, E., Beyl, R. A., Poggiogalle, E., Hsia, D. S., &amp; Peterson, C. M. (2019). Early Time-Restricted Feeding Reduces Appetite and Increases Fat Oxidation But Does Not Affect Energy Expenditure in Humans. </w:t>
      </w:r>
      <w:r w:rsidRPr="0063451B">
        <w:rPr>
          <w:rFonts w:ascii="Calibri"/>
          <w:i/>
          <w:iCs/>
          <w:sz w:val="20"/>
        </w:rPr>
        <w:t>Obesity</w:t>
      </w:r>
      <w:r w:rsidRPr="0063451B">
        <w:rPr>
          <w:rFonts w:ascii="Calibri"/>
          <w:sz w:val="20"/>
        </w:rPr>
        <w:t xml:space="preserve">, </w:t>
      </w:r>
      <w:r w:rsidRPr="0063451B">
        <w:rPr>
          <w:rFonts w:ascii="Calibri"/>
          <w:i/>
          <w:iCs/>
          <w:sz w:val="20"/>
        </w:rPr>
        <w:t>27</w:t>
      </w:r>
      <w:r w:rsidRPr="0063451B">
        <w:rPr>
          <w:rFonts w:ascii="Calibri"/>
          <w:sz w:val="20"/>
        </w:rPr>
        <w:t>(8), 1244–1254. https://doi.org/10.1002/oby.22518</w:t>
      </w:r>
    </w:p>
    <w:p w14:paraId="122E1908" w14:textId="77777777" w:rsidR="0063451B" w:rsidRPr="0063451B" w:rsidRDefault="0063451B" w:rsidP="0063451B">
      <w:pPr>
        <w:pStyle w:val="Bibliography"/>
        <w:rPr>
          <w:rFonts w:ascii="Calibri"/>
          <w:sz w:val="20"/>
        </w:rPr>
      </w:pPr>
      <w:r w:rsidRPr="0063451B">
        <w:rPr>
          <w:rFonts w:ascii="Calibri"/>
          <w:sz w:val="20"/>
        </w:rPr>
        <w:t xml:space="preserve">Rothschild, J., Hoddy, K. K., Jambazian, P., &amp; Varady, K. A. (2014). Time-restricted feeding and risk of metabolic disease: A review of human and animal studies. </w:t>
      </w:r>
      <w:r w:rsidRPr="0063451B">
        <w:rPr>
          <w:rFonts w:ascii="Calibri"/>
          <w:i/>
          <w:iCs/>
          <w:sz w:val="20"/>
        </w:rPr>
        <w:t>Nutrition Reviews</w:t>
      </w:r>
      <w:r w:rsidRPr="0063451B">
        <w:rPr>
          <w:rFonts w:ascii="Calibri"/>
          <w:sz w:val="20"/>
        </w:rPr>
        <w:t xml:space="preserve">, </w:t>
      </w:r>
      <w:r w:rsidRPr="0063451B">
        <w:rPr>
          <w:rFonts w:ascii="Calibri"/>
          <w:i/>
          <w:iCs/>
          <w:sz w:val="20"/>
        </w:rPr>
        <w:t>72</w:t>
      </w:r>
      <w:r w:rsidRPr="0063451B">
        <w:rPr>
          <w:rFonts w:ascii="Calibri"/>
          <w:sz w:val="20"/>
        </w:rPr>
        <w:t>(5), 308–318. https://doi.org/10.1111/nure.12104</w:t>
      </w:r>
    </w:p>
    <w:p w14:paraId="0D82F5B1" w14:textId="77777777" w:rsidR="0063451B" w:rsidRPr="0063451B" w:rsidRDefault="0063451B" w:rsidP="0063451B">
      <w:pPr>
        <w:pStyle w:val="Bibliography"/>
        <w:rPr>
          <w:rFonts w:ascii="Calibri"/>
          <w:sz w:val="20"/>
        </w:rPr>
      </w:pPr>
      <w:r w:rsidRPr="0063451B">
        <w:rPr>
          <w:rFonts w:ascii="Calibri"/>
          <w:sz w:val="20"/>
        </w:rPr>
        <w:t xml:space="preserve">Safari, K., Piro, T. J., &amp; Ahmad, H. M. (2019). Perspectives and pregnancy outcomes of maternal Ramadan fasting in the second trimester of pregnancy. </w:t>
      </w:r>
      <w:r w:rsidRPr="0063451B">
        <w:rPr>
          <w:rFonts w:ascii="Calibri"/>
          <w:i/>
          <w:iCs/>
          <w:sz w:val="20"/>
        </w:rPr>
        <w:t>BMC Pregnancy and Childbirth</w:t>
      </w:r>
      <w:r w:rsidRPr="0063451B">
        <w:rPr>
          <w:rFonts w:ascii="Calibri"/>
          <w:sz w:val="20"/>
        </w:rPr>
        <w:t xml:space="preserve">, </w:t>
      </w:r>
      <w:r w:rsidRPr="0063451B">
        <w:rPr>
          <w:rFonts w:ascii="Calibri"/>
          <w:i/>
          <w:iCs/>
          <w:sz w:val="20"/>
        </w:rPr>
        <w:t>19</w:t>
      </w:r>
      <w:r w:rsidRPr="0063451B">
        <w:rPr>
          <w:rFonts w:ascii="Calibri"/>
          <w:sz w:val="20"/>
        </w:rPr>
        <w:t>. https://doi.org/10.1186/s12884-019-2275-x</w:t>
      </w:r>
    </w:p>
    <w:p w14:paraId="74183A19" w14:textId="77777777" w:rsidR="0063451B" w:rsidRPr="0063451B" w:rsidRDefault="0063451B" w:rsidP="0063451B">
      <w:pPr>
        <w:pStyle w:val="Bibliography"/>
        <w:rPr>
          <w:rFonts w:ascii="Calibri"/>
          <w:sz w:val="20"/>
        </w:rPr>
      </w:pPr>
      <w:r w:rsidRPr="0063451B">
        <w:rPr>
          <w:rFonts w:ascii="Calibri"/>
          <w:sz w:val="20"/>
        </w:rPr>
        <w:t xml:space="preserve">Savitri, A. I., Amelia, D., Painter, R. C., Baharuddin, M., Roseboom, T. J., Grobbee, D. E., &amp; Uiterwaal, C. S. P. M. (2018). Ramadan during pregnancy and birth weight of newborns. </w:t>
      </w:r>
      <w:r w:rsidRPr="0063451B">
        <w:rPr>
          <w:rFonts w:ascii="Calibri"/>
          <w:i/>
          <w:iCs/>
          <w:sz w:val="20"/>
        </w:rPr>
        <w:t>Journal of Nutritional Science</w:t>
      </w:r>
      <w:r w:rsidRPr="0063451B">
        <w:rPr>
          <w:rFonts w:ascii="Calibri"/>
          <w:sz w:val="20"/>
        </w:rPr>
        <w:t xml:space="preserve">, </w:t>
      </w:r>
      <w:r w:rsidRPr="0063451B">
        <w:rPr>
          <w:rFonts w:ascii="Calibri"/>
          <w:i/>
          <w:iCs/>
          <w:sz w:val="20"/>
        </w:rPr>
        <w:t>7</w:t>
      </w:r>
      <w:r w:rsidRPr="0063451B">
        <w:rPr>
          <w:rFonts w:ascii="Calibri"/>
          <w:sz w:val="20"/>
        </w:rPr>
        <w:t>. https://doi.org/10.1017/jns.2017.70</w:t>
      </w:r>
    </w:p>
    <w:p w14:paraId="6079D721" w14:textId="77777777" w:rsidR="0063451B" w:rsidRPr="0063451B" w:rsidRDefault="0063451B" w:rsidP="0063451B">
      <w:pPr>
        <w:pStyle w:val="Bibliography"/>
        <w:rPr>
          <w:rFonts w:ascii="Calibri"/>
          <w:sz w:val="20"/>
        </w:rPr>
      </w:pPr>
      <w:r w:rsidRPr="0063451B">
        <w:rPr>
          <w:rFonts w:ascii="Calibri"/>
          <w:sz w:val="20"/>
        </w:rPr>
        <w:lastRenderedPageBreak/>
        <w:t xml:space="preserve">Savitri, A. I., Yadegari, N., Bakker, J., van Ewijk, R. J. G., Grobbee, D. E., Painter, R. C., … Roseboom, T. J. (2014). Ramadan fasting and newborn’s birth weight in pregnant Muslim women in The Netherlands. </w:t>
      </w:r>
      <w:r w:rsidRPr="0063451B">
        <w:rPr>
          <w:rFonts w:ascii="Calibri"/>
          <w:i/>
          <w:iCs/>
          <w:sz w:val="20"/>
        </w:rPr>
        <w:t>The British Journal of Nutrition</w:t>
      </w:r>
      <w:r w:rsidRPr="0063451B">
        <w:rPr>
          <w:rFonts w:ascii="Calibri"/>
          <w:sz w:val="20"/>
        </w:rPr>
        <w:t xml:space="preserve">, </w:t>
      </w:r>
      <w:r w:rsidRPr="0063451B">
        <w:rPr>
          <w:rFonts w:ascii="Calibri"/>
          <w:i/>
          <w:iCs/>
          <w:sz w:val="20"/>
        </w:rPr>
        <w:t>112</w:t>
      </w:r>
      <w:r w:rsidRPr="0063451B">
        <w:rPr>
          <w:rFonts w:ascii="Calibri"/>
          <w:sz w:val="20"/>
        </w:rPr>
        <w:t>(9), 1503–1509. https://doi.org/10.1017/S0007114514002219</w:t>
      </w:r>
    </w:p>
    <w:p w14:paraId="3D3EE52E" w14:textId="77777777" w:rsidR="0063451B" w:rsidRPr="0063451B" w:rsidRDefault="0063451B" w:rsidP="0063451B">
      <w:pPr>
        <w:pStyle w:val="Bibliography"/>
        <w:rPr>
          <w:rFonts w:ascii="Calibri"/>
          <w:sz w:val="20"/>
        </w:rPr>
      </w:pPr>
      <w:r w:rsidRPr="0063451B">
        <w:rPr>
          <w:rFonts w:ascii="Calibri"/>
          <w:sz w:val="20"/>
        </w:rPr>
        <w:t xml:space="preserve">Schack-Nielsen, L., Michaelsen, K. F., Gamborg, M., Mortensen, E. L., &amp; Sørensen, T. I. A. (2010). Gestational weight gain in relation to offspring body mass index and obesity from infancy through adulthood. </w:t>
      </w:r>
      <w:r w:rsidRPr="0063451B">
        <w:rPr>
          <w:rFonts w:ascii="Calibri"/>
          <w:i/>
          <w:iCs/>
          <w:sz w:val="20"/>
        </w:rPr>
        <w:t>International Journal of Obesity</w:t>
      </w:r>
      <w:r w:rsidRPr="0063451B">
        <w:rPr>
          <w:rFonts w:ascii="Calibri"/>
          <w:sz w:val="20"/>
        </w:rPr>
        <w:t xml:space="preserve">, </w:t>
      </w:r>
      <w:r w:rsidRPr="0063451B">
        <w:rPr>
          <w:rFonts w:ascii="Calibri"/>
          <w:i/>
          <w:iCs/>
          <w:sz w:val="20"/>
        </w:rPr>
        <w:t>34</w:t>
      </w:r>
      <w:r w:rsidRPr="0063451B">
        <w:rPr>
          <w:rFonts w:ascii="Calibri"/>
          <w:sz w:val="20"/>
        </w:rPr>
        <w:t>(1), 67–74. https://doi.org/10.1038/ijo.2009.206</w:t>
      </w:r>
    </w:p>
    <w:p w14:paraId="30EAE789" w14:textId="77777777" w:rsidR="0063451B" w:rsidRPr="0063451B" w:rsidRDefault="0063451B" w:rsidP="0063451B">
      <w:pPr>
        <w:pStyle w:val="Bibliography"/>
        <w:rPr>
          <w:rFonts w:ascii="Calibri"/>
          <w:sz w:val="20"/>
        </w:rPr>
      </w:pPr>
      <w:r w:rsidRPr="0063451B">
        <w:rPr>
          <w:rFonts w:ascii="Calibri"/>
          <w:sz w:val="20"/>
        </w:rPr>
        <w:t xml:space="preserve">Seckl, J. R., &amp; Holmes, M. C. (2007). Mechanisms of disease: Glucocorticoids, their placental metabolism and fetal “programming” of adult pathophysiology. </w:t>
      </w:r>
      <w:r w:rsidRPr="0063451B">
        <w:rPr>
          <w:rFonts w:ascii="Calibri"/>
          <w:i/>
          <w:iCs/>
          <w:sz w:val="20"/>
        </w:rPr>
        <w:t>Nature Clinical Practice. Endocrinology &amp; Metabolism</w:t>
      </w:r>
      <w:r w:rsidRPr="0063451B">
        <w:rPr>
          <w:rFonts w:ascii="Calibri"/>
          <w:sz w:val="20"/>
        </w:rPr>
        <w:t xml:space="preserve">, </w:t>
      </w:r>
      <w:r w:rsidRPr="0063451B">
        <w:rPr>
          <w:rFonts w:ascii="Calibri"/>
          <w:i/>
          <w:iCs/>
          <w:sz w:val="20"/>
        </w:rPr>
        <w:t>3</w:t>
      </w:r>
      <w:r w:rsidRPr="0063451B">
        <w:rPr>
          <w:rFonts w:ascii="Calibri"/>
          <w:sz w:val="20"/>
        </w:rPr>
        <w:t>(6), 479–488. https://doi.org/10.1038/ncpendmet0515</w:t>
      </w:r>
    </w:p>
    <w:p w14:paraId="3EC133BC" w14:textId="77777777" w:rsidR="0063451B" w:rsidRPr="0063451B" w:rsidRDefault="0063451B" w:rsidP="0063451B">
      <w:pPr>
        <w:pStyle w:val="Bibliography"/>
        <w:rPr>
          <w:rFonts w:ascii="Calibri"/>
          <w:sz w:val="20"/>
        </w:rPr>
      </w:pPr>
      <w:r w:rsidRPr="0063451B">
        <w:rPr>
          <w:rFonts w:ascii="Calibri"/>
          <w:sz w:val="20"/>
        </w:rPr>
        <w:t xml:space="preserve">Sherman, H., Genzer, Y., Cohen, R., Chapnik, N., Madar, Z., &amp; Froy, O. (2012). Timed high-fat diet resets circadian metabolism and prevents obesity. </w:t>
      </w:r>
      <w:r w:rsidRPr="0063451B">
        <w:rPr>
          <w:rFonts w:ascii="Calibri"/>
          <w:i/>
          <w:iCs/>
          <w:sz w:val="20"/>
        </w:rPr>
        <w:t>FASEB Journal: Official Publication of the Federation of American Societies for Experimental Biology</w:t>
      </w:r>
      <w:r w:rsidRPr="0063451B">
        <w:rPr>
          <w:rFonts w:ascii="Calibri"/>
          <w:sz w:val="20"/>
        </w:rPr>
        <w:t xml:space="preserve">, </w:t>
      </w:r>
      <w:r w:rsidRPr="0063451B">
        <w:rPr>
          <w:rFonts w:ascii="Calibri"/>
          <w:i/>
          <w:iCs/>
          <w:sz w:val="20"/>
        </w:rPr>
        <w:t>26</w:t>
      </w:r>
      <w:r w:rsidRPr="0063451B">
        <w:rPr>
          <w:rFonts w:ascii="Calibri"/>
          <w:sz w:val="20"/>
        </w:rPr>
        <w:t>(8), 3493–3502. https://doi.org/10.1096/fj.12-208868</w:t>
      </w:r>
    </w:p>
    <w:p w14:paraId="14EA7948" w14:textId="77777777" w:rsidR="0063451B" w:rsidRPr="0063451B" w:rsidRDefault="0063451B" w:rsidP="0063451B">
      <w:pPr>
        <w:pStyle w:val="Bibliography"/>
        <w:rPr>
          <w:rFonts w:ascii="Calibri"/>
          <w:sz w:val="20"/>
        </w:rPr>
      </w:pPr>
      <w:r w:rsidRPr="0063451B">
        <w:rPr>
          <w:rFonts w:ascii="Calibri"/>
          <w:sz w:val="20"/>
        </w:rPr>
        <w:t xml:space="preserve">Stockman, M.-C., Thomas, D., Burke, J., &amp; Apovian, C. M. (2018). Intermittent Fasting: Is the Wait Worth the Weight? </w:t>
      </w:r>
      <w:r w:rsidRPr="0063451B">
        <w:rPr>
          <w:rFonts w:ascii="Calibri"/>
          <w:i/>
          <w:iCs/>
          <w:sz w:val="20"/>
        </w:rPr>
        <w:t>Current Obesity Reports</w:t>
      </w:r>
      <w:r w:rsidRPr="0063451B">
        <w:rPr>
          <w:rFonts w:ascii="Calibri"/>
          <w:sz w:val="20"/>
        </w:rPr>
        <w:t xml:space="preserve">, </w:t>
      </w:r>
      <w:r w:rsidRPr="0063451B">
        <w:rPr>
          <w:rFonts w:ascii="Calibri"/>
          <w:i/>
          <w:iCs/>
          <w:sz w:val="20"/>
        </w:rPr>
        <w:t>7</w:t>
      </w:r>
      <w:r w:rsidRPr="0063451B">
        <w:rPr>
          <w:rFonts w:ascii="Calibri"/>
          <w:sz w:val="20"/>
        </w:rPr>
        <w:t>(2), 172–185. https://doi.org/10.1007/s13679-018-0308-9</w:t>
      </w:r>
    </w:p>
    <w:p w14:paraId="023B8BAA" w14:textId="77777777" w:rsidR="0063451B" w:rsidRPr="0063451B" w:rsidRDefault="0063451B" w:rsidP="0063451B">
      <w:pPr>
        <w:pStyle w:val="Bibliography"/>
        <w:rPr>
          <w:rFonts w:ascii="Calibri"/>
          <w:sz w:val="20"/>
        </w:rPr>
      </w:pPr>
      <w:r w:rsidRPr="0063451B">
        <w:rPr>
          <w:rFonts w:ascii="Calibri"/>
          <w:sz w:val="20"/>
        </w:rPr>
        <w:t xml:space="preserve">Sutton, E. F., Beyl, R., Early, K. S., Cefalu, W. T., Ravussin, E., &amp; Peterson, C. M. (2018). Early Time-Restricted Feeding Improves Insulin Sensitivity, Blood Pressure, and Oxidative Stress Even without Weight Loss in Men with Prediabetes. </w:t>
      </w:r>
      <w:r w:rsidRPr="0063451B">
        <w:rPr>
          <w:rFonts w:ascii="Calibri"/>
          <w:i/>
          <w:iCs/>
          <w:sz w:val="20"/>
        </w:rPr>
        <w:t>Cell Metabolism</w:t>
      </w:r>
      <w:r w:rsidRPr="0063451B">
        <w:rPr>
          <w:rFonts w:ascii="Calibri"/>
          <w:sz w:val="20"/>
        </w:rPr>
        <w:t xml:space="preserve">, </w:t>
      </w:r>
      <w:r w:rsidRPr="0063451B">
        <w:rPr>
          <w:rFonts w:ascii="Calibri"/>
          <w:i/>
          <w:iCs/>
          <w:sz w:val="20"/>
        </w:rPr>
        <w:t>27</w:t>
      </w:r>
      <w:r w:rsidRPr="0063451B">
        <w:rPr>
          <w:rFonts w:ascii="Calibri"/>
          <w:sz w:val="20"/>
        </w:rPr>
        <w:t>(6), 1212-1221.e3. https://doi.org/10.1016/j.cmet.2018.04.010</w:t>
      </w:r>
    </w:p>
    <w:p w14:paraId="41699754" w14:textId="77777777" w:rsidR="0063451B" w:rsidRPr="0063451B" w:rsidRDefault="0063451B" w:rsidP="0063451B">
      <w:pPr>
        <w:pStyle w:val="Bibliography"/>
        <w:rPr>
          <w:rFonts w:ascii="Calibri"/>
          <w:sz w:val="20"/>
        </w:rPr>
      </w:pPr>
      <w:r w:rsidRPr="0063451B">
        <w:rPr>
          <w:rFonts w:ascii="Calibri"/>
          <w:sz w:val="20"/>
        </w:rPr>
        <w:t xml:space="preserve">Torloni, M. R., Betrán, A. P., Horta, B. L., Nakamura, M. U., Atallah, A. N., Moron, A. F., &amp; Valente, O. (2009). Prepregnancy BMI and the risk of gestational diabetes: A systematic review of the literature with meta-analysis. </w:t>
      </w:r>
      <w:r w:rsidRPr="0063451B">
        <w:rPr>
          <w:rFonts w:ascii="Calibri"/>
          <w:i/>
          <w:iCs/>
          <w:sz w:val="20"/>
        </w:rPr>
        <w:t>Obesity Reviews</w:t>
      </w:r>
      <w:r w:rsidRPr="0063451B">
        <w:rPr>
          <w:rFonts w:ascii="Calibri"/>
          <w:sz w:val="20"/>
        </w:rPr>
        <w:t xml:space="preserve">, </w:t>
      </w:r>
      <w:r w:rsidRPr="0063451B">
        <w:rPr>
          <w:rFonts w:ascii="Calibri"/>
          <w:i/>
          <w:iCs/>
          <w:sz w:val="20"/>
        </w:rPr>
        <w:t>10</w:t>
      </w:r>
      <w:r w:rsidRPr="0063451B">
        <w:rPr>
          <w:rFonts w:ascii="Calibri"/>
          <w:sz w:val="20"/>
        </w:rPr>
        <w:t>(2), 194–203. https://doi.org/10.1111/j.1467-789X.2008.00541.x</w:t>
      </w:r>
    </w:p>
    <w:p w14:paraId="0ADF4F8E" w14:textId="77777777" w:rsidR="0063451B" w:rsidRPr="0063451B" w:rsidRDefault="0063451B" w:rsidP="0063451B">
      <w:pPr>
        <w:pStyle w:val="Bibliography"/>
        <w:rPr>
          <w:rFonts w:ascii="Calibri"/>
          <w:sz w:val="20"/>
        </w:rPr>
      </w:pPr>
      <w:r w:rsidRPr="0063451B">
        <w:rPr>
          <w:rFonts w:ascii="Calibri"/>
          <w:sz w:val="20"/>
        </w:rPr>
        <w:t xml:space="preserve">Woodie, L. N., Luo, Y., Wayne, M. J., Graff, E. C., Ahmed, B., O’Neill, A. M., &amp; Greene, M. W. (2018). Restricted feeding for 9h in the active period partially abrogates the detrimental metabolic effects of a Western diet with liquid sugar consumption in mice. </w:t>
      </w:r>
      <w:r w:rsidRPr="0063451B">
        <w:rPr>
          <w:rFonts w:ascii="Calibri"/>
          <w:i/>
          <w:iCs/>
          <w:sz w:val="20"/>
        </w:rPr>
        <w:t>Metabolism</w:t>
      </w:r>
      <w:r w:rsidRPr="0063451B">
        <w:rPr>
          <w:rFonts w:ascii="Calibri"/>
          <w:sz w:val="20"/>
        </w:rPr>
        <w:t xml:space="preserve">, </w:t>
      </w:r>
      <w:r w:rsidRPr="0063451B">
        <w:rPr>
          <w:rFonts w:ascii="Calibri"/>
          <w:i/>
          <w:iCs/>
          <w:sz w:val="20"/>
        </w:rPr>
        <w:t>82</w:t>
      </w:r>
      <w:r w:rsidRPr="0063451B">
        <w:rPr>
          <w:rFonts w:ascii="Calibri"/>
          <w:sz w:val="20"/>
        </w:rPr>
        <w:t>, 1–13. https://doi.org/10.1016/j.metabol.2017.12.004</w:t>
      </w:r>
    </w:p>
    <w:p w14:paraId="33FBC37E" w14:textId="77777777" w:rsidR="0063451B" w:rsidRPr="0063451B" w:rsidRDefault="0063451B" w:rsidP="0063451B">
      <w:pPr>
        <w:pStyle w:val="Bibliography"/>
        <w:rPr>
          <w:rFonts w:ascii="Calibri"/>
          <w:sz w:val="20"/>
        </w:rPr>
      </w:pPr>
      <w:r w:rsidRPr="0063451B">
        <w:rPr>
          <w:rFonts w:ascii="Calibri"/>
          <w:sz w:val="20"/>
        </w:rPr>
        <w:t xml:space="preserve">Ziaee, V., Kihanidoost, Z., Younesian, M., Akhavirad, M.-B., Bateni, F., Kazemianfar, Z., &amp; Hantoushzadeh, S. (2010). The Effect of Ramadan Fasting on Outcome of Pregnancy. </w:t>
      </w:r>
      <w:r w:rsidRPr="0063451B">
        <w:rPr>
          <w:rFonts w:ascii="Calibri"/>
          <w:i/>
          <w:iCs/>
          <w:sz w:val="20"/>
        </w:rPr>
        <w:t>Iranian Journal of Pediatrics</w:t>
      </w:r>
      <w:r w:rsidRPr="0063451B">
        <w:rPr>
          <w:rFonts w:ascii="Calibri"/>
          <w:sz w:val="20"/>
        </w:rPr>
        <w:t xml:space="preserve">, </w:t>
      </w:r>
      <w:r w:rsidRPr="0063451B">
        <w:rPr>
          <w:rFonts w:ascii="Calibri"/>
          <w:i/>
          <w:iCs/>
          <w:sz w:val="20"/>
        </w:rPr>
        <w:t>20</w:t>
      </w:r>
      <w:r w:rsidRPr="0063451B">
        <w:rPr>
          <w:rFonts w:ascii="Calibri"/>
          <w:sz w:val="20"/>
        </w:rPr>
        <w:t>(2), 181–186.</w:t>
      </w:r>
    </w:p>
    <w:p w14:paraId="10D725B0" w14:textId="124E9910"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20EDA"/>
    <w:rsid w:val="00042A4D"/>
    <w:rsid w:val="00045C65"/>
    <w:rsid w:val="000628F8"/>
    <w:rsid w:val="000661AC"/>
    <w:rsid w:val="000A7B2F"/>
    <w:rsid w:val="000C77A4"/>
    <w:rsid w:val="000D54D1"/>
    <w:rsid w:val="000E53C3"/>
    <w:rsid w:val="000E6934"/>
    <w:rsid w:val="001009B3"/>
    <w:rsid w:val="001128F8"/>
    <w:rsid w:val="0011720E"/>
    <w:rsid w:val="00123FA3"/>
    <w:rsid w:val="001558C3"/>
    <w:rsid w:val="00160E51"/>
    <w:rsid w:val="00165478"/>
    <w:rsid w:val="00170AA3"/>
    <w:rsid w:val="0017273C"/>
    <w:rsid w:val="001761CF"/>
    <w:rsid w:val="00186B53"/>
    <w:rsid w:val="00190A56"/>
    <w:rsid w:val="0019289A"/>
    <w:rsid w:val="001976D3"/>
    <w:rsid w:val="001A104A"/>
    <w:rsid w:val="001A1FDC"/>
    <w:rsid w:val="001C5F4B"/>
    <w:rsid w:val="001C7615"/>
    <w:rsid w:val="001E610F"/>
    <w:rsid w:val="002047D2"/>
    <w:rsid w:val="002056EA"/>
    <w:rsid w:val="00212D1E"/>
    <w:rsid w:val="0021427A"/>
    <w:rsid w:val="00234CF5"/>
    <w:rsid w:val="00235EB4"/>
    <w:rsid w:val="00236B63"/>
    <w:rsid w:val="0025301E"/>
    <w:rsid w:val="002D0036"/>
    <w:rsid w:val="002D2694"/>
    <w:rsid w:val="002D7724"/>
    <w:rsid w:val="002E3A98"/>
    <w:rsid w:val="002F4DCF"/>
    <w:rsid w:val="0030552D"/>
    <w:rsid w:val="00311456"/>
    <w:rsid w:val="0032451B"/>
    <w:rsid w:val="00336C4A"/>
    <w:rsid w:val="00341C5C"/>
    <w:rsid w:val="0034278D"/>
    <w:rsid w:val="00357D4F"/>
    <w:rsid w:val="00391167"/>
    <w:rsid w:val="00396AE7"/>
    <w:rsid w:val="003A6BF1"/>
    <w:rsid w:val="003B39F4"/>
    <w:rsid w:val="003D1594"/>
    <w:rsid w:val="003F0D5C"/>
    <w:rsid w:val="00404585"/>
    <w:rsid w:val="004151DF"/>
    <w:rsid w:val="00443A77"/>
    <w:rsid w:val="00454F31"/>
    <w:rsid w:val="0049313F"/>
    <w:rsid w:val="004A09BB"/>
    <w:rsid w:val="004A5D7C"/>
    <w:rsid w:val="004A7299"/>
    <w:rsid w:val="004A7837"/>
    <w:rsid w:val="004B32ED"/>
    <w:rsid w:val="004B34B6"/>
    <w:rsid w:val="004B7D0A"/>
    <w:rsid w:val="004E47A2"/>
    <w:rsid w:val="004F1ECC"/>
    <w:rsid w:val="00524EE5"/>
    <w:rsid w:val="005658CA"/>
    <w:rsid w:val="0058458A"/>
    <w:rsid w:val="00585E67"/>
    <w:rsid w:val="00587EB0"/>
    <w:rsid w:val="005A77D1"/>
    <w:rsid w:val="005B59C0"/>
    <w:rsid w:val="005C04E5"/>
    <w:rsid w:val="005D4D73"/>
    <w:rsid w:val="005F05A8"/>
    <w:rsid w:val="005F085A"/>
    <w:rsid w:val="005F153A"/>
    <w:rsid w:val="006158C3"/>
    <w:rsid w:val="00626B37"/>
    <w:rsid w:val="00631DAA"/>
    <w:rsid w:val="00632513"/>
    <w:rsid w:val="0063377B"/>
    <w:rsid w:val="0063451B"/>
    <w:rsid w:val="006433D4"/>
    <w:rsid w:val="006573D4"/>
    <w:rsid w:val="00661EE1"/>
    <w:rsid w:val="00675BEA"/>
    <w:rsid w:val="00691022"/>
    <w:rsid w:val="006A33A0"/>
    <w:rsid w:val="006B6F41"/>
    <w:rsid w:val="006D0C87"/>
    <w:rsid w:val="006D4B8D"/>
    <w:rsid w:val="006D56A8"/>
    <w:rsid w:val="006E2457"/>
    <w:rsid w:val="006F35CA"/>
    <w:rsid w:val="00727B35"/>
    <w:rsid w:val="007444DD"/>
    <w:rsid w:val="00752734"/>
    <w:rsid w:val="00757BB3"/>
    <w:rsid w:val="007645B3"/>
    <w:rsid w:val="0077375D"/>
    <w:rsid w:val="00782C3A"/>
    <w:rsid w:val="007E0F24"/>
    <w:rsid w:val="007E426C"/>
    <w:rsid w:val="0080130E"/>
    <w:rsid w:val="00832199"/>
    <w:rsid w:val="00835FE8"/>
    <w:rsid w:val="00836B61"/>
    <w:rsid w:val="00837E12"/>
    <w:rsid w:val="00843B2D"/>
    <w:rsid w:val="00852045"/>
    <w:rsid w:val="008653F5"/>
    <w:rsid w:val="008740BF"/>
    <w:rsid w:val="00883BA9"/>
    <w:rsid w:val="008879C3"/>
    <w:rsid w:val="00896452"/>
    <w:rsid w:val="008C3EE9"/>
    <w:rsid w:val="008C671D"/>
    <w:rsid w:val="008E33D1"/>
    <w:rsid w:val="008E75BF"/>
    <w:rsid w:val="009217F5"/>
    <w:rsid w:val="009266E6"/>
    <w:rsid w:val="009458EA"/>
    <w:rsid w:val="009460F0"/>
    <w:rsid w:val="00954A7E"/>
    <w:rsid w:val="00965DDC"/>
    <w:rsid w:val="009A0E18"/>
    <w:rsid w:val="009D7380"/>
    <w:rsid w:val="009E2604"/>
    <w:rsid w:val="009E651B"/>
    <w:rsid w:val="009E7211"/>
    <w:rsid w:val="009F5166"/>
    <w:rsid w:val="009F7140"/>
    <w:rsid w:val="00A056C8"/>
    <w:rsid w:val="00A269B3"/>
    <w:rsid w:val="00A47E79"/>
    <w:rsid w:val="00A63A76"/>
    <w:rsid w:val="00A72CDB"/>
    <w:rsid w:val="00A81367"/>
    <w:rsid w:val="00A977F5"/>
    <w:rsid w:val="00AD65AB"/>
    <w:rsid w:val="00AF183D"/>
    <w:rsid w:val="00AF4FEC"/>
    <w:rsid w:val="00B10379"/>
    <w:rsid w:val="00B109AC"/>
    <w:rsid w:val="00B15686"/>
    <w:rsid w:val="00B27277"/>
    <w:rsid w:val="00B32654"/>
    <w:rsid w:val="00B34C3C"/>
    <w:rsid w:val="00BA5C18"/>
    <w:rsid w:val="00BA7939"/>
    <w:rsid w:val="00BB475C"/>
    <w:rsid w:val="00BC503B"/>
    <w:rsid w:val="00BC5240"/>
    <w:rsid w:val="00BD2DF0"/>
    <w:rsid w:val="00BE7432"/>
    <w:rsid w:val="00BE7A11"/>
    <w:rsid w:val="00C053CD"/>
    <w:rsid w:val="00C07757"/>
    <w:rsid w:val="00C07BE7"/>
    <w:rsid w:val="00C23BEB"/>
    <w:rsid w:val="00C26F78"/>
    <w:rsid w:val="00C66499"/>
    <w:rsid w:val="00C9638E"/>
    <w:rsid w:val="00CB51AB"/>
    <w:rsid w:val="00CE2E11"/>
    <w:rsid w:val="00CF1632"/>
    <w:rsid w:val="00D15159"/>
    <w:rsid w:val="00D365A2"/>
    <w:rsid w:val="00D448E9"/>
    <w:rsid w:val="00D47344"/>
    <w:rsid w:val="00D56E95"/>
    <w:rsid w:val="00D710F4"/>
    <w:rsid w:val="00DA35E0"/>
    <w:rsid w:val="00DC69E0"/>
    <w:rsid w:val="00DE1ADE"/>
    <w:rsid w:val="00E13A30"/>
    <w:rsid w:val="00E15ED0"/>
    <w:rsid w:val="00E75FD7"/>
    <w:rsid w:val="00E87F8A"/>
    <w:rsid w:val="00E9677A"/>
    <w:rsid w:val="00E96979"/>
    <w:rsid w:val="00EA6700"/>
    <w:rsid w:val="00EC1D0C"/>
    <w:rsid w:val="00EC4456"/>
    <w:rsid w:val="00ED7C27"/>
    <w:rsid w:val="00F06810"/>
    <w:rsid w:val="00F10D03"/>
    <w:rsid w:val="00F52B7A"/>
    <w:rsid w:val="00F66111"/>
    <w:rsid w:val="00F75B80"/>
    <w:rsid w:val="00F87257"/>
    <w:rsid w:val="00F9070B"/>
    <w:rsid w:val="00FA63D8"/>
    <w:rsid w:val="00FE22E0"/>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paragraph" w:styleId="Heading1">
    <w:name w:val="heading 1"/>
    <w:basedOn w:val="Normal"/>
    <w:next w:val="Normal"/>
    <w:link w:val="Heading1Char"/>
    <w:uiPriority w:val="9"/>
    <w:qFormat/>
    <w:rsid w:val="001558C3"/>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558C3"/>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558C3"/>
    <w:pPr>
      <w:keepNext/>
      <w:keepLines/>
      <w:spacing w:before="40"/>
      <w:outlineLvl w:val="2"/>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 w:type="character" w:customStyle="1" w:styleId="Heading2Char">
    <w:name w:val="Heading 2 Char"/>
    <w:basedOn w:val="DefaultParagraphFont"/>
    <w:link w:val="Heading2"/>
    <w:uiPriority w:val="9"/>
    <w:rsid w:val="001558C3"/>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558C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558C3"/>
    <w:rPr>
      <w:rFonts w:ascii="Times New Roman" w:eastAsiaTheme="majorEastAsia" w:hAnsi="Times New Roman" w:cstheme="majorBidi"/>
      <w:b/>
      <w:color w:val="000000" w:themeColor="text1"/>
      <w:sz w:val="28"/>
      <w:szCs w:val="32"/>
    </w:rPr>
  </w:style>
  <w:style w:type="paragraph" w:customStyle="1" w:styleId="prelim4">
    <w:name w:val="prelim 4"/>
    <w:basedOn w:val="Heading3"/>
    <w:qFormat/>
    <w:rsid w:val="001558C3"/>
    <w:rPr>
      <w:i/>
    </w:rPr>
  </w:style>
  <w:style w:type="paragraph" w:styleId="NormalWeb">
    <w:name w:val="Normal (Web)"/>
    <w:basedOn w:val="Normal"/>
    <w:uiPriority w:val="99"/>
    <w:semiHidden/>
    <w:unhideWhenUsed/>
    <w:rsid w:val="00B2727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91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360161239">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17</Pages>
  <Words>20851</Words>
  <Characters>118851</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157</cp:revision>
  <dcterms:created xsi:type="dcterms:W3CDTF">2019-12-11T21:32:00Z</dcterms:created>
  <dcterms:modified xsi:type="dcterms:W3CDTF">2019-12-20T20:10:00Z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id="heszFRWm"/&gt;&lt;style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