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2550A014"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 xml:space="preserve">Erika </w:t>
      </w:r>
      <w:r w:rsidR="00590345">
        <w:t xml:space="preserve">R. </w:t>
      </w:r>
      <w:r w:rsidR="00A13213">
        <w:t>Yates</w:t>
      </w:r>
      <w:r w:rsidR="00A13213">
        <w:rPr>
          <w:vertAlign w:val="superscript"/>
        </w:rPr>
        <w:t>1</w:t>
      </w:r>
      <w:r w:rsidR="00A13213">
        <w:t xml:space="preserve">, </w:t>
      </w:r>
      <w:proofErr w:type="spellStart"/>
      <w:r w:rsidR="00A5301A">
        <w:t>JeAnna</w:t>
      </w:r>
      <w:proofErr w:type="spellEnd"/>
      <w:r w:rsidR="00A5301A">
        <w:t xml:space="preserve"> </w:t>
      </w:r>
      <w:r w:rsidR="00C0563F">
        <w:t xml:space="preserve">R. </w:t>
      </w:r>
      <w:r w:rsidR="00A5301A">
        <w:t>Redd</w:t>
      </w:r>
      <w:r w:rsidR="00A5301A">
        <w:rPr>
          <w:vertAlign w:val="superscript"/>
        </w:rPr>
        <w:t>1</w:t>
      </w:r>
      <w:r w:rsidR="00A5301A">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7E5E2BA7"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1367E8">
        <w:t>and myosin heavy chain isoforms decrease</w:t>
      </w:r>
      <w:r>
        <w:t xml:space="preserve"> when C2C12 cells are treated with </w:t>
      </w:r>
      <w:proofErr w:type="spellStart"/>
      <w:r>
        <w:t>rapamycin</w:t>
      </w:r>
      <w:proofErr w:type="spellEnd"/>
      <w:r w:rsidR="00404E72">
        <w:t xml:space="preserve">, </w:t>
      </w:r>
      <w:r w:rsidR="00883918">
        <w:t>supporting</w:t>
      </w:r>
      <w:r w:rsidR="00404E72">
        <w:t xml:space="preserve">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w:t>
      </w:r>
      <w:r w:rsidR="00883918">
        <w:t>sential d</w:t>
      </w:r>
      <w:r>
        <w:t xml:space="preserve">TORC1 subunit </w:t>
      </w:r>
      <w:r w:rsidRPr="001367E8">
        <w:rPr>
          <w:i/>
        </w:rPr>
        <w:t>Raptor</w:t>
      </w:r>
      <w:r>
        <w:t xml:space="preserve"> in </w:t>
      </w:r>
      <w:r>
        <w:rPr>
          <w:i/>
        </w:rPr>
        <w:t>Drosophi</w:t>
      </w:r>
      <w:r w:rsidR="00404E72">
        <w:rPr>
          <w:i/>
        </w:rPr>
        <w:t>l</w:t>
      </w:r>
      <w:r>
        <w:rPr>
          <w:i/>
        </w:rPr>
        <w:t>a melanogaster</w:t>
      </w:r>
      <w:r>
        <w:t xml:space="preserve"> and found that muscle-specific </w:t>
      </w:r>
      <w:r w:rsidR="00B15C05">
        <w:t>knockdown</w:t>
      </w:r>
      <w:r>
        <w:t xml:space="preserve">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w:t>
      </w:r>
      <w:r w:rsidR="001367E8">
        <w:t xml:space="preserve">Using a series of GAL4 drivers we also show that muscle-specific </w:t>
      </w:r>
      <w:r w:rsidR="001367E8">
        <w:rPr>
          <w:i/>
        </w:rPr>
        <w:t>Raptor</w:t>
      </w:r>
      <w:r w:rsidR="001367E8">
        <w:t xml:space="preserve"> knockdown also causes shortened lifespan, even when </w:t>
      </w:r>
      <w:proofErr w:type="spellStart"/>
      <w:r w:rsidR="001367E8">
        <w:t>eclosure</w:t>
      </w:r>
      <w:proofErr w:type="spellEnd"/>
      <w:r w:rsidR="001367E8">
        <w:t xml:space="preserve"> is unaffected</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in muscle development</w:t>
      </w:r>
      <w:r w:rsidR="00537C7B">
        <w:t xml:space="preserve">, integrity </w:t>
      </w:r>
      <w:r w:rsidR="00155AEE">
        <w:t>and</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4F2A415C"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w:t>
      </w:r>
      <w:r w:rsidR="00D71024">
        <w:lastRenderedPageBreak/>
        <w:t xml:space="preserve">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C0439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FEFECFF" w:rsidR="006A4D21" w:rsidRPr="00335C71" w:rsidRDefault="008870F2" w:rsidP="002E2075">
      <w:pPr>
        <w:spacing w:line="480" w:lineRule="auto"/>
        <w:jc w:val="both"/>
      </w:pPr>
      <w:r>
        <w:t>New muscle fiber formation</w:t>
      </w:r>
      <w:r w:rsidR="005D5E1F">
        <w:t xml:space="preserve"> occurs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6F3DD195"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ing an essential developmental role of TORC1 in muscle development</w:t>
      </w:r>
      <w:r w:rsidR="00B64A0B">
        <w:t xml:space="preserve"> and/or </w:t>
      </w:r>
      <w:proofErr w:type="spellStart"/>
      <w:r w:rsidR="00B15C05">
        <w:t>integreity</w:t>
      </w:r>
      <w:proofErr w:type="spellEnd"/>
      <w:r w:rsidR="006A4D21">
        <w:t>.</w:t>
      </w:r>
    </w:p>
    <w:p w14:paraId="70B3CDA0" w14:textId="28D0E804" w:rsidR="00C35D4F" w:rsidRDefault="007B38A0" w:rsidP="002E2075">
      <w:pPr>
        <w:pStyle w:val="Heading1"/>
        <w:spacing w:line="480" w:lineRule="auto"/>
        <w:jc w:val="both"/>
      </w:pPr>
      <w:r>
        <w:lastRenderedPageBreak/>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79335D">
        <w:t xml:space="preserve">Power </w:t>
      </w:r>
      <w:r w:rsidRPr="00E56C2A">
        <w:t xml:space="preserve">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lastRenderedPageBreak/>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48DF9271" w:rsidR="002759D1" w:rsidRPr="00061E90" w:rsidRDefault="009F743D" w:rsidP="002E2075">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w:t>
      </w:r>
      <w:r w:rsidR="00B15C05">
        <w:rPr>
          <w:rFonts w:ascii="Cambria" w:hAnsi="Cambria"/>
        </w:rPr>
        <w:t>°</w:t>
      </w:r>
      <w:r>
        <w:t>C.  Clarified lysates were loaded on SDS-PAGE gels, transferred and blotted using</w:t>
      </w:r>
      <w:r w:rsidR="0079335D">
        <w:t xml:space="preserve"> antibodies raised against </w:t>
      </w:r>
      <w:proofErr w:type="spellStart"/>
      <w:r>
        <w:t>MyoD</w:t>
      </w:r>
      <w:proofErr w:type="spell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w:t>
      </w:r>
      <w:proofErr w:type="spellStart"/>
      <w:r w:rsidR="008A7FA9">
        <w:t>LiCOR</w:t>
      </w:r>
      <w:proofErr w:type="spellEnd"/>
      <w:r w:rsidR="008A7FA9">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139A16C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15C05">
        <w:rPr>
          <w:i/>
        </w:rPr>
        <w:t>Hand</w:t>
      </w:r>
      <w:r w:rsidR="00B601BB">
        <w:t xml:space="preserve">-GAL4, </w:t>
      </w:r>
      <w:r w:rsidRPr="00B15C05">
        <w:rPr>
          <w:i/>
        </w:rPr>
        <w:t>c179</w:t>
      </w:r>
      <w:r>
        <w:t xml:space="preserve">-GAL4 and </w:t>
      </w:r>
      <w:r w:rsidR="00B15C05">
        <w:rPr>
          <w:i/>
        </w:rPr>
        <w:t>M</w:t>
      </w:r>
      <w:r w:rsidRPr="00241C16">
        <w:rPr>
          <w:i/>
        </w:rPr>
        <w:t>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were obta</w:t>
      </w:r>
      <w:r w:rsidR="00B15C05">
        <w:t>ined from the Bloomington Stock</w:t>
      </w:r>
      <w:r>
        <w:t xml:space="preserve">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C</w:t>
      </w:r>
      <w:r>
        <w:rPr>
          <w:b/>
        </w:rPr>
        <w:t xml:space="preserve">.  </w:t>
      </w:r>
      <w:r w:rsidR="00BE0793">
        <w:t xml:space="preserve">To prepare the crosses, virgin females were </w:t>
      </w:r>
      <w:r w:rsidR="00900345">
        <w:t>collected</w:t>
      </w:r>
      <w:r w:rsidR="00BE0793">
        <w:t xml:space="preserve"> </w:t>
      </w:r>
      <w:r w:rsidR="00BE0793">
        <w:lastRenderedPageBreak/>
        <w:t xml:space="preserve">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w:t>
      </w:r>
      <w:r w:rsidR="00B15C05">
        <w:t>phenotype</w:t>
      </w:r>
      <w:r w:rsidR="00922DE5">
        <w:t xml:space="preserv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w:t>
      </w:r>
      <w:r w:rsidR="00495F9F">
        <w:lastRenderedPageBreak/>
        <w:t xml:space="preserve">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6CF1BD6"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C0439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r w:rsidR="004A69CC">
        <w:lastRenderedPageBreak/>
        <w:t>Wi</w:t>
      </w:r>
      <w:r w:rsidR="00B15C05">
        <w:t>l</w:t>
      </w:r>
      <w:r w:rsidR="004A69CC">
        <w:t>coxon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C0439D">
        <w:instrText>ADDIN CSL_CITATION { "citationItems" : [ { "id" : "ITEM-1", "itemData" : { "DOI" : "10.5281/zenodo.13367",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"ZENODO",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7AE0D17A" w:rsidR="00C2697E" w:rsidRPr="00C2697E" w:rsidRDefault="00C2697E" w:rsidP="00963A23">
      <w:pPr>
        <w:pStyle w:val="Heading1"/>
        <w:spacing w:line="480" w:lineRule="auto"/>
        <w:jc w:val="both"/>
      </w:pPr>
      <w:r>
        <w:t>Results</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2D657497"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1467DD">
        <w:rPr>
          <w:i/>
        </w:rPr>
        <w:t xml:space="preserve"> </w:t>
      </w:r>
      <w:r w:rsidR="001467DD">
        <w:t xml:space="preserve">as well as the major myosin heavy chain genes in these cells </w:t>
      </w:r>
      <w:r w:rsidR="001467DD">
        <w:rPr>
          <w:i/>
        </w:rPr>
        <w:t xml:space="preserve">Myh1, Myh3 </w:t>
      </w:r>
      <w:r w:rsidR="001467DD" w:rsidRPr="001467DD">
        <w:t>and</w:t>
      </w:r>
      <w:r w:rsidR="001467DD">
        <w:rPr>
          <w:i/>
        </w:rPr>
        <w:t xml:space="preserve"> Myh7</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B15C05">
        <w:t>(~</w:t>
      </w:r>
      <w:r w:rsidR="00C8511F">
        <w:t xml:space="preserve">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 xml:space="preserve">day 5 </w:t>
      </w:r>
      <w:r w:rsidR="001467DD">
        <w:t xml:space="preserve">and </w:t>
      </w:r>
      <w:r w:rsidR="001467DD">
        <w:rPr>
          <w:i/>
        </w:rPr>
        <w:t>Myh1</w:t>
      </w:r>
      <w:r w:rsidR="001467DD">
        <w:t xml:space="preserve"> increasing around day 7 </w:t>
      </w:r>
      <w:r w:rsidR="00940B52">
        <w:t>(Figure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C0439D">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"id" : "ITEM-2", "itemData" : { "DOI" : "10.1007/s10974-011-9267-4", "ISSN" : "1573-2657", "PMID" : "22012579", "abstract" : "The regulation of muscle fibre transitions has mainly been studied in vivo using conventional histological or immunohistochemical techniques. In order to investigate the molecular regulation of myosin heavy chain (MyHC) isoform expression in cell culture studies, we first characterised the normal transitions in endogenous expression of the MyHC isoforms and the myogenic regulatory factors during differentiation of C2C12 muscle cells. Interestingly, across the time course of differentiation, MyHC mRNA isoforms were expressed in a distinct temporal pattern as two distinct cohorts, one including MyHC I, embryonic and neonatal, the other including MyHC IIa, IIx and IIb. The pattern of expression suggests a transition in MyHC isoforms, from one cohort to another, occurs during muscle cell differentiation and that these transitions occur independent of nerve innervation. To our knowledge, this is the most comprehensive analysis of in vitro MyHC mRNA isoform transitions and provides important information for studying the regulation of transitions in MyHC isoforms in cell culture systems.", "author" : [ { "dropping-particle" : "", "family" : "Brown", "given" : "David M", "non-dropping-particle" : "", "parse-names" : false, "suffix" : "" }, { "dropping-particle" : "", "family" : "Parr", "given" : "Tim", "non-dropping-particle" : "", "parse-names" : false, "suffix" : "" }, { "dropping-particle" : "", "family" : "Brameld", "given" : "John M", "non-dropping-particle" : "", "parse-names" : false, "suffix" : "" } ], "container-title" : "Journal of muscle research and cell motility", "id" : "ITEM-2", "issue" : "6", "issued" : { "date-parts" : [ [ "2012", "3" ] ] }, "page" : "383-90", "title" : "Myosin heavy chain mRNA isoforms are expressed in two distinct cohorts during C2C12 myogenesis.", "type" : "article-journal", "volume" : "32" }, "uris" : [ "http://www.mendeley.com/documents/?uuid=ab631aaa-5b8e-4d30-b6ad-6c7229f016ff" ] } ], "mendeley" : { "formattedCitation" : "&lt;sup&gt;29,30&lt;/sup&gt;", "plainTextFormattedCitation" : "29,30", "previouslyFormattedCitation" : "&lt;sup&gt;29,30&lt;/sup&gt;" }, "properties" : { "noteIndex" : 0 }, "schema" : "https://github.com/citation-style-language/schema/raw/master/csl-citation.json" }</w:instrText>
      </w:r>
      <w:r>
        <w:fldChar w:fldCharType="separate"/>
      </w:r>
      <w:r w:rsidR="00DC4F9F" w:rsidRPr="00DC4F9F">
        <w:rPr>
          <w:noProof/>
          <w:vertAlign w:val="superscript"/>
        </w:rPr>
        <w:t>29,30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19583298" w:rsidR="00D514CB"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xml:space="preserve">).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w:t>
      </w:r>
      <w:proofErr w:type="spellStart"/>
      <w:r w:rsidRPr="00E56C2A">
        <w:t>myotubes</w:t>
      </w:r>
      <w:proofErr w:type="spellEnd"/>
      <w:r w:rsidRPr="00E56C2A">
        <w:t xml:space="preserve"> (Figure 1</w:t>
      </w:r>
      <w:r w:rsidR="00940B52">
        <w:t>c</w:t>
      </w:r>
      <w:r w:rsidRPr="00E56C2A">
        <w:t xml:space="preserve">).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C0439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"&lt;sup&gt;9,11,31\u201333&lt;/sup&gt;", "plainTextFormattedCitation" : "9,11,31\u201333", "previouslyFormattedCitation" : "&lt;sup&gt;9,11,31\u201333&lt;/sup&gt;" }, "properties" : { "noteIndex" : 0 }, "schema" : "https://github.com/citation-style-language/schema/raw/master/csl-citation.json" }</w:instrText>
      </w:r>
      <w:r w:rsidR="00A313FA">
        <w:fldChar w:fldCharType="separate"/>
      </w:r>
      <w:r w:rsidR="00DC4F9F" w:rsidRPr="00DC4F9F">
        <w:rPr>
          <w:noProof/>
          <w:vertAlign w:val="superscript"/>
        </w:rPr>
        <w:t>9,11,31–33</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proofErr w:type="spellStart"/>
      <w:r>
        <w:rPr>
          <w:i/>
        </w:rPr>
        <w:t>Myod</w:t>
      </w:r>
      <w:proofErr w:type="spellEnd"/>
      <w:r>
        <w:rPr>
          <w:i/>
        </w:rPr>
        <w:t xml:space="preserve"> </w:t>
      </w:r>
      <w:r>
        <w:t xml:space="preserve">mRNA levels were unchanged, we next tested whether </w:t>
      </w:r>
      <w:proofErr w:type="spellStart"/>
      <w:r>
        <w:t>MyoD</w:t>
      </w:r>
      <w:proofErr w:type="spellEnd"/>
      <w:r>
        <w:t xml:space="preserve"> protein levels are altered by </w:t>
      </w:r>
      <w:proofErr w:type="spellStart"/>
      <w:r>
        <w:t>rapamycin</w:t>
      </w:r>
      <w:proofErr w:type="spellEnd"/>
      <w:r>
        <w:t xml:space="preserve"> treatment.  We added the differentiation media for 4h in the presence of DMSO or </w:t>
      </w:r>
      <w:proofErr w:type="spellStart"/>
      <w:r>
        <w:t>rapamycin</w:t>
      </w:r>
      <w:proofErr w:type="spellEnd"/>
      <w:r>
        <w:t xml:space="preserve"> and observed that </w:t>
      </w:r>
      <w:proofErr w:type="spellStart"/>
      <w:r>
        <w:t>rapamycin</w:t>
      </w:r>
      <w:proofErr w:type="spellEnd"/>
      <w:r>
        <w:t xml:space="preserve"> reduced </w:t>
      </w:r>
      <w:proofErr w:type="spellStart"/>
      <w:r>
        <w:t>MyoD</w:t>
      </w:r>
      <w:proofErr w:type="spellEnd"/>
      <w:r>
        <w:t xml:space="preserve">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06630534" w:rsidR="00941493" w:rsidRDefault="00941493" w:rsidP="00963A23">
      <w:pPr>
        <w:spacing w:line="480" w:lineRule="auto"/>
        <w:jc w:val="both"/>
      </w:pPr>
      <w:r>
        <w:lastRenderedPageBreak/>
        <w:t>We also observed elevations in mTORC1 activity 4h after the transition to differentiation media, as sh</w:t>
      </w:r>
      <w:r w:rsidR="00E06B0A">
        <w:t>own by increased S6 (Figure 1c</w:t>
      </w:r>
      <w:r>
        <w:t>).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xml:space="preserve">, this activation </w:t>
      </w:r>
      <w:r w:rsidR="003F653E">
        <w:t>is unlikely to be due to increased</w:t>
      </w:r>
      <w:r>
        <w:t xml:space="preserve"> of </w:t>
      </w:r>
      <w:proofErr w:type="spellStart"/>
      <w:r>
        <w:t>Akt</w:t>
      </w:r>
      <w:proofErr w:type="spellEnd"/>
      <w:r>
        <w:t xml:space="preserve"> signaling, which was actually decreased during the transition from 10% FBS to 2% horse serum.</w:t>
      </w:r>
      <w:r w:rsidR="00E06B0A">
        <w:t xml:space="preserve">  Morphologically, there was a complete lack of fused </w:t>
      </w:r>
      <w:proofErr w:type="spellStart"/>
      <w:r w:rsidR="00E06B0A">
        <w:t>myotubes</w:t>
      </w:r>
      <w:proofErr w:type="spellEnd"/>
      <w:r w:rsidR="00E06B0A">
        <w:t xml:space="preserve"> in the </w:t>
      </w:r>
      <w:proofErr w:type="spellStart"/>
      <w:r w:rsidR="00E06B0A">
        <w:t>rapamycin</w:t>
      </w:r>
      <w:proofErr w:type="spellEnd"/>
      <w:r w:rsidR="00E06B0A">
        <w:t xml:space="preserve"> treated cells at all time points observed (Figure 1e).</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26FBD288"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C0439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"&lt;sup&gt;13\u201315,34&lt;/sup&gt;" }, "properties" : { "noteIndex" : 0 }, "schema" : "https://github.com/citation-style-language/schema/raw/master/csl-citation.json" }</w:instrText>
      </w:r>
      <w:r w:rsidR="00E20164">
        <w:fldChar w:fldCharType="separate"/>
      </w:r>
      <w:r w:rsidR="00DC4F9F" w:rsidRPr="00DC4F9F">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0D69057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C0439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"&lt;sup&gt;35&lt;/sup&gt;" }, "properties" : { "noteIndex" : 0 }, "schema" : "https://github.com/citation-style-language/schema/raw/master/csl-citation.json" }</w:instrText>
      </w:r>
      <w:r w:rsidR="00F0001B">
        <w:fldChar w:fldCharType="separate"/>
      </w:r>
      <w:r w:rsidR="00DC4F9F" w:rsidRPr="00DC4F9F">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2FF7FB91"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 xml:space="preserve">A control strain, expressing no </w:t>
      </w:r>
      <w:proofErr w:type="spellStart"/>
      <w:r w:rsidR="00FC30AD">
        <w:t>shRNA</w:t>
      </w:r>
      <w:proofErr w:type="spellEnd"/>
      <w:r w:rsidR="00FC30AD">
        <w:t xml:space="preserve"> had a modest decrease in</w:t>
      </w:r>
      <w:r w:rsidR="008E7799">
        <w:t xml:space="preserve"> the number of flies with the TM</w:t>
      </w:r>
      <w:r w:rsidR="00FC30AD">
        <w:t>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w:t>
      </w:r>
      <w:r w:rsidR="00695686">
        <w:lastRenderedPageBreak/>
        <w:t>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2D2687E2"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C0439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"&lt;sup&gt;35&lt;/sup&gt;" }, "properties" : { "noteIndex" : 0 }, "schema" : "https://github.com/citation-style-language/schema/raw/master/csl-citation.json" }</w:instrText>
      </w:r>
      <w:r w:rsidR="00335DDC">
        <w:fldChar w:fldCharType="separate"/>
      </w:r>
      <w:r w:rsidR="00DC4F9F" w:rsidRPr="00DC4F9F">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22B6A853" w:rsidR="003C09B8" w:rsidRPr="000B3301" w:rsidRDefault="00A95905" w:rsidP="00963A23">
      <w:pPr>
        <w:spacing w:line="480" w:lineRule="auto"/>
        <w:jc w:val="both"/>
        <w:rPr>
          <w:rFonts w:ascii="Cambria" w:hAnsi="Cambria"/>
        </w:rPr>
      </w:pPr>
      <w:r>
        <w:t xml:space="preserve">To test </w:t>
      </w:r>
      <w:r w:rsidR="00674B7E">
        <w:t xml:space="preserve">for the stage </w:t>
      </w:r>
      <w:r w:rsidR="008E7799">
        <w:t>at</w:t>
      </w:r>
      <w:r w:rsidR="00674B7E">
        <w:t xml:space="preserve">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C0439D">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of the United States of America",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"&lt;sup&gt;36&lt;/sup&gt;" }, "properties" : { "noteIndex" : 0 }, "schema" : "https://github.com/citation-style-language/schema/raw/master/csl-citation.json" }</w:instrText>
      </w:r>
      <w:r w:rsidR="00A82B17">
        <w:fldChar w:fldCharType="separate"/>
      </w:r>
      <w:r w:rsidR="00DC4F9F" w:rsidRPr="00DC4F9F">
        <w:rPr>
          <w:noProof/>
          <w:vertAlign w:val="superscript"/>
        </w:rPr>
        <w:t>36</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1367E8">
        <w:rPr>
          <w:rFonts w:ascii="Cambria" w:hAnsi="Cambria"/>
        </w:rPr>
        <w:t>q</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1367E8">
        <w:rPr>
          <w:rFonts w:ascii="Cambria" w:hAnsi="Cambria"/>
        </w:rPr>
        <w:t>.</w:t>
      </w:r>
      <w:r w:rsidR="00510FCF">
        <w:t xml:space="preserve">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lastRenderedPageBreak/>
        <w:t xml:space="preserve">Muscle </w:t>
      </w:r>
      <w:r w:rsidRPr="00487810">
        <w:rPr>
          <w:i/>
        </w:rPr>
        <w:t>Raptor</w:t>
      </w:r>
      <w:r>
        <w:t xml:space="preserve"> Knockdown Flies Fail to </w:t>
      </w:r>
      <w:proofErr w:type="spellStart"/>
      <w:r>
        <w:t>Eclose</w:t>
      </w:r>
      <w:proofErr w:type="spellEnd"/>
      <w:r>
        <w:t xml:space="preserve"> from Pupae</w:t>
      </w:r>
    </w:p>
    <w:p w14:paraId="03E0C2EC" w14:textId="42FD3BA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8E7799">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5544080B"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8E7799">
        <w:rPr>
          <w:rFonts w:ascii="Cambria" w:hAnsi="Cambria"/>
          <w:i/>
        </w:rPr>
        <w:t>c1</w:t>
      </w:r>
      <w:r w:rsidR="0069504F">
        <w:rPr>
          <w:rFonts w:ascii="Cambria" w:hAnsi="Cambria"/>
          <w:i/>
        </w:rPr>
        <w:t>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w:t>
      </w:r>
      <w:r w:rsidR="00C1512E" w:rsidRPr="008E7799">
        <w:rPr>
          <w:rFonts w:ascii="Cambria" w:hAnsi="Cambria"/>
          <w:i/>
        </w:rPr>
        <w:t>c179</w:t>
      </w:r>
      <w:r w:rsidR="00C1512E">
        <w:rPr>
          <w:rFonts w:ascii="Cambria" w:hAnsi="Cambria"/>
        </w:rPr>
        <w:t xml:space="preserve">-GAL4,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lastRenderedPageBreak/>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w:t>
      </w:r>
      <w:r w:rsidR="00940B52">
        <w:t>l</w:t>
      </w:r>
      <w:proofErr w:type="spellEnd"/>
      <w:r w:rsidR="00940B52">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w:t>
      </w:r>
      <w:r w:rsidR="00F31273" w:rsidRPr="008C6740">
        <w:rPr>
          <w:rFonts w:ascii="Cambria" w:hAnsi="Cambria"/>
        </w:rPr>
        <w:lastRenderedPageBreak/>
        <w:t xml:space="preserve">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379DB593"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C0439D">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"DOI" : "10.1073/pnas.0607918103", "ISSN" : "0027-8424", "PMID" : "17056719", "abstract" : "Oxidative stress is implicated as a major cause of aging and age-related diseases, such as Parkinson's and Alzheimer's, as well as ischemia-reperfusion injury in stroke. The mitochondrial electron transport chain is the principal source of reactive oxygen species within cells. Despite considerable medical interest, the molecular mechanisms that regulate reactive oxygen species formation within the mitochondrion remain poorly understood. Here, we report the isolation and characterization of a Drosophila mutant with a defect in subunit b of succinate dehydrogenase (SDH; mitochondrial complex II). The sdhB mutant is hypersensitive to oxygen and displays hallmarks of a progeroid syndrome, including early-onset mortality and age-related behavioral decay. Pathological analysis of the flight muscle, which is amongst the most highly energetic tissues in the animal kingdom, reveals structural abnormalities in the mitochondria. Biochemical analysis shows that, in the mutant, there is a complex II-specific respiratory defect and impaired complex II-mediated electron transport, although the other respiratory complexes remain functionally intact. The complex II defect is associated with an increased level of mitochondrial hydrogen peroxide production, suggesting a possible mechanism for the observed sensitivity to elevated oxygen concentration and the decreased lifespan of the mutant fly.", "author" : [ { "dropping-particle" : "", "family" : "Walker", "given" : "David W", "non-dropping-particle" : "", "parse-names" : false, "suffix" : "" }, { "dropping-particle" : "", "family" : "H\u00e1jek", "given" : "Petr", "non-dropping-particle" : "", "parse-names" : false, "suffix" :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"Benzer", "given" : "Seymour", "non-dropping-particle" : "", "parse-names" : false, "suffix" : "" } ], "container-title" : "Proceedings of the National Academy of Sciences of the United States of America", "id" : "ITEM-4", "issue" : "44", "issued" : { "date-parts" : [ [ "2006", "10", "31" ] ] }, "page" : "16382-7", "title" : "Hypersensitivity to oxygen and shortened lifespan in a Drosophila mitochondrial complex II mutant.", "type" : "article-journal", "volume" : "103" }, "uris" : [ "http://www.mendeley.com/documents/?uuid=bf05c639-e015-4644-87a3-46e957a0bb55" ] } ], "mendeley" : { "formattedCitation" : "&lt;sup&gt;37\u201340&lt;/sup&gt;", "plainTextFormattedCitation" : "37\u201340", "previouslyFormattedCitation" : "&lt;sup&gt;37\u201340&lt;/sup&gt;" }, "properties" : { "noteIndex" : 0 }, "schema" : "https://github.com/citation-style-language/schema/raw/master/csl-citation.json" }</w:instrText>
      </w:r>
      <w:r w:rsidR="00765BEC">
        <w:rPr>
          <w:rFonts w:ascii="Cambria" w:hAnsi="Cambria"/>
        </w:rPr>
        <w:fldChar w:fldCharType="separate"/>
      </w:r>
      <w:r w:rsidR="00DC4F9F" w:rsidRPr="00DC4F9F">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C0439D">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"&lt;sup&gt;41\u201343&lt;/sup&gt;", "plainTextFormattedCitation" : "41\u201343", "previouslyFormattedCitation" : "&lt;sup&gt;41\u201343&lt;/sup&gt;" }, "properties" : { "noteIndex" : 0 }, "schema" : "https://github.com/citation-style-language/schema/raw/master/csl-citation.json" }</w:instrText>
      </w:r>
      <w:r w:rsidR="000E3F6C">
        <w:rPr>
          <w:rFonts w:ascii="Cambria" w:hAnsi="Cambria"/>
        </w:rPr>
        <w:fldChar w:fldCharType="separate"/>
      </w:r>
      <w:r w:rsidR="00DC4F9F" w:rsidRPr="00DC4F9F">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362552EC" w:rsidR="003D1E37" w:rsidRPr="00385218" w:rsidRDefault="003D1E37" w:rsidP="00385218">
      <w:pPr>
        <w:spacing w:line="480" w:lineRule="auto"/>
      </w:pPr>
      <w:r>
        <w:lastRenderedPageBreak/>
        <w:t xml:space="preserve">In order to evaluate the effects of </w:t>
      </w:r>
      <w:r>
        <w:rPr>
          <w:i/>
        </w:rPr>
        <w:t>Raptor</w:t>
      </w:r>
      <w:r w:rsidR="00385218">
        <w:t xml:space="preserve"> knockdown later during differentiation, we next utilized a</w:t>
      </w:r>
      <w:r w:rsidR="008E7799">
        <w:t>n</w:t>
      </w:r>
      <w:r w:rsidR="00385218">
        <w:t xml:space="preserve"> </w:t>
      </w:r>
      <w:r w:rsidR="00385218">
        <w:rPr>
          <w:i/>
        </w:rPr>
        <w:t>Mhc</w:t>
      </w:r>
      <w:r w:rsidR="00385218">
        <w:t xml:space="preserve">-GAL4 driver.  </w:t>
      </w:r>
      <w:proofErr w:type="spellStart"/>
      <w:r w:rsidR="00385218">
        <w:rPr>
          <w:i/>
        </w:rPr>
        <w:t>Mhc</w:t>
      </w:r>
      <w:proofErr w:type="spellEnd"/>
      <w:r w:rsidR="00385218">
        <w:t xml:space="preserve"> expression occurs quite late in the differentiation process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w:t>
      </w:r>
      <w:proofErr w:type="spellStart"/>
      <w:r w:rsidR="00385218">
        <w:t>eclosure</w:t>
      </w:r>
      <w:proofErr w:type="spellEnd"/>
      <w:r w:rsidR="00385218">
        <w:t xml:space="preserve"> with </w:t>
      </w:r>
      <w:r w:rsidR="00385218" w:rsidRPr="00385218">
        <w:rPr>
          <w:i/>
        </w:rPr>
        <w:t>Raptor</w:t>
      </w:r>
      <w:r w:rsidR="00385218">
        <w:t xml:space="preserve"> knockdown using the </w:t>
      </w:r>
      <w:r w:rsidR="00385218" w:rsidRPr="00385218">
        <w:rPr>
          <w:i/>
        </w:rPr>
        <w:t>Mhc</w:t>
      </w:r>
      <w:r w:rsidR="00385218">
        <w:t xml:space="preserve">-GAL4 driver (Figure 7a).  We then evaluated the </w:t>
      </w:r>
      <w:proofErr w:type="spellStart"/>
      <w:r w:rsidR="00385218">
        <w:t>eclosed</w:t>
      </w:r>
      <w:proofErr w:type="spellEnd"/>
      <w:r w:rsidR="00385218">
        <w:t xml:space="preserve">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r w:rsidR="008E7799" w:rsidRPr="008E7799">
        <w:t xml:space="preserve"> </w:t>
      </w:r>
      <w:r w:rsidR="008E7799">
        <w:t xml:space="preserve"> </w:t>
      </w:r>
      <w:r w:rsidR="008E7799" w:rsidRPr="008E7799">
        <w:t xml:space="preserve">These results indicate that raptor continues to play a role in muscle function after development and </w:t>
      </w:r>
      <w:proofErr w:type="spellStart"/>
      <w:r w:rsidR="008E7799" w:rsidRPr="008E7799">
        <w:t>eclosure</w:t>
      </w:r>
      <w:proofErr w:type="spellEnd"/>
      <w:r w:rsidR="008E7799" w:rsidRPr="008E7799">
        <w:t>.</w:t>
      </w:r>
    </w:p>
    <w:p w14:paraId="271B4AB8" w14:textId="03CE2BBE" w:rsidR="0040324E" w:rsidRDefault="002052F1" w:rsidP="004319B7">
      <w:pPr>
        <w:pStyle w:val="Heading2"/>
        <w:spacing w:line="480" w:lineRule="auto"/>
        <w:jc w:val="both"/>
      </w:pPr>
      <w:r>
        <w:t>Discussion</w:t>
      </w:r>
    </w:p>
    <w:p w14:paraId="25C8A33F" w14:textId="7A6B14F3" w:rsidR="00EC6A1C" w:rsidRDefault="002052F1" w:rsidP="00874767">
      <w:pPr>
        <w:spacing w:line="480" w:lineRule="auto"/>
        <w:jc w:val="both"/>
      </w:pPr>
      <w:r>
        <w:t xml:space="preserve">Several previous reports have implicated mTORC1 activity or activation as a necessary step in </w:t>
      </w:r>
      <w:proofErr w:type="spellStart"/>
      <w:r>
        <w:t>myogenesis</w:t>
      </w:r>
      <w:proofErr w:type="spellEnd"/>
      <w:r>
        <w:t xml:space="preserve"> </w:t>
      </w:r>
      <w:r>
        <w:rPr>
          <w:i/>
        </w:rPr>
        <w:t>in vitro</w:t>
      </w:r>
      <w:r w:rsidR="004479CA">
        <w:fldChar w:fldCharType="begin" w:fldLock="1"/>
      </w:r>
      <w:r w:rsidR="00C0439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"&lt;sup&gt;9\u201311,21,33&lt;/sup&gt;", "plainTextFormattedCitation" : "9\u201311,21,33", "previouslyFormattedCitation" : "&lt;sup&gt;9\u201311,21,33&lt;/sup&gt;" }, "properties" : { "noteIndex" : 0 }, "schema" : "https://github.com/citation-style-language/schema/raw/master/csl-citation.json" }</w:instrText>
      </w:r>
      <w:r w:rsidR="004479CA">
        <w:fldChar w:fldCharType="separate"/>
      </w:r>
      <w:r w:rsidR="00DC4F9F" w:rsidRPr="00DC4F9F">
        <w:rPr>
          <w:noProof/>
          <w:vertAlign w:val="superscript"/>
        </w:rPr>
        <w:t>9–11,21,33</w:t>
      </w:r>
      <w:r w:rsidR="004479CA">
        <w:fldChar w:fldCharType="end"/>
      </w:r>
      <w:r>
        <w:t>.  Our data is</w:t>
      </w:r>
      <w:r w:rsidR="00874767">
        <w:t xml:space="preserve"> consistent with these findings.  We provide data in support of the hypothesis that destabilization of </w:t>
      </w:r>
      <w:proofErr w:type="spellStart"/>
      <w:r w:rsidR="00874767">
        <w:t>MyoD</w:t>
      </w:r>
      <w:proofErr w:type="spellEnd"/>
      <w:r w:rsidR="00874767">
        <w:t xml:space="preserve"> with </w:t>
      </w:r>
      <w:proofErr w:type="spellStart"/>
      <w:r w:rsidR="00874767">
        <w:t>rapamycin</w:t>
      </w:r>
      <w:proofErr w:type="spellEnd"/>
      <w:r w:rsidR="00874767">
        <w:t xml:space="preserve"> treatment is an early inciting event in the inhibition of </w:t>
      </w:r>
      <w:proofErr w:type="spellStart"/>
      <w:r w:rsidR="00874767">
        <w:t>myogenesis</w:t>
      </w:r>
      <w:proofErr w:type="spellEnd"/>
      <w:r w:rsidR="00CC5B2D">
        <w:t>, occurring</w:t>
      </w:r>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w:t>
      </w:r>
      <w:r w:rsidR="00EC6A1C">
        <w:t xml:space="preserve">Although mTORC1 is the primary target of </w:t>
      </w:r>
      <w:proofErr w:type="spellStart"/>
      <w:r w:rsidR="00EC6A1C">
        <w:t>rapamycin</w:t>
      </w:r>
      <w:proofErr w:type="spellEnd"/>
      <w:r w:rsidR="00EC6A1C">
        <w:t xml:space="preserve">, studies using </w:t>
      </w:r>
      <w:proofErr w:type="spellStart"/>
      <w:r w:rsidR="00EC6A1C">
        <w:t>rapamycin</w:t>
      </w:r>
      <w:proofErr w:type="spellEnd"/>
      <w:r w:rsidR="00EC6A1C">
        <w:t xml:space="preserve">-insensitive analogs of </w:t>
      </w:r>
      <w:proofErr w:type="spellStart"/>
      <w:r w:rsidR="00EC6A1C">
        <w:t>mTOR</w:t>
      </w:r>
      <w:proofErr w:type="spellEnd"/>
      <w:r w:rsidR="00EC6A1C">
        <w:t xml:space="preserve"> have suggested there may be alternative </w:t>
      </w:r>
      <w:proofErr w:type="spellStart"/>
      <w:r w:rsidR="00EC6A1C">
        <w:t>rapamycin</w:t>
      </w:r>
      <w:proofErr w:type="spellEnd"/>
      <w:r w:rsidR="00EC6A1C">
        <w:t xml:space="preserve">-sensitive targets of </w:t>
      </w:r>
      <w:proofErr w:type="spellStart"/>
      <w:r w:rsidR="00EC6A1C">
        <w:t>rapamycin</w:t>
      </w:r>
      <w:proofErr w:type="spellEnd"/>
      <w:r w:rsidR="00EC6A1C">
        <w:t xml:space="preserve"> at other stages</w:t>
      </w:r>
      <w:r w:rsidR="00AB6D4E">
        <w:t xml:space="preserve"> of myogenesis</w:t>
      </w:r>
      <w:r w:rsidR="00EC6A1C">
        <w:fldChar w:fldCharType="begin" w:fldLock="1"/>
      </w:r>
      <w:r w:rsidR="00C0439D">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"&lt;sup&gt;11,20,33&lt;/sup&gt;", "plainTextFormattedCitation" : "11,20,33", "previouslyFormattedCitation" : "&lt;sup&gt;11,20,33&lt;/sup&gt;" }, "properties" : { "noteIndex" : 0 }, "schema" : "https://github.com/citation-style-language/schema/raw/master/csl-citation.json" }</w:instrText>
      </w:r>
      <w:r w:rsidR="00EC6A1C">
        <w:fldChar w:fldCharType="separate"/>
      </w:r>
      <w:r w:rsidR="00DC4F9F" w:rsidRPr="00DC4F9F">
        <w:rPr>
          <w:noProof/>
          <w:vertAlign w:val="superscript"/>
        </w:rPr>
        <w:t>11,20,33</w:t>
      </w:r>
      <w:r w:rsidR="00EC6A1C">
        <w:fldChar w:fldCharType="end"/>
      </w:r>
      <w:r w:rsidR="00EC6A1C">
        <w:t>.</w:t>
      </w:r>
    </w:p>
    <w:p w14:paraId="282B191B" w14:textId="77777777" w:rsidR="00EC6A1C" w:rsidRDefault="00EC6A1C" w:rsidP="00874767">
      <w:pPr>
        <w:spacing w:line="480" w:lineRule="auto"/>
        <w:jc w:val="both"/>
      </w:pPr>
    </w:p>
    <w:p w14:paraId="00422F3C" w14:textId="073EC60A" w:rsidR="00874767" w:rsidRDefault="00874767" w:rsidP="00874767">
      <w:pPr>
        <w:spacing w:line="480" w:lineRule="auto"/>
        <w:jc w:val="both"/>
      </w:pPr>
      <w:r>
        <w:lastRenderedPageBreak/>
        <w:t xml:space="preserve">At the end of the differentiation process, we did not observe any changes in </w:t>
      </w:r>
      <w:proofErr w:type="spellStart"/>
      <w:r w:rsidRPr="00874767">
        <w:rPr>
          <w:i/>
        </w:rPr>
        <w:t>Myod</w:t>
      </w:r>
      <w:proofErr w:type="spellEnd"/>
      <w:r>
        <w:t xml:space="preserve"> mRNA levels, but we did observe decreases in several other early differentiation targets, including </w:t>
      </w:r>
      <w:proofErr w:type="spellStart"/>
      <w:r w:rsidRPr="00E56C2A">
        <w:rPr>
          <w:i/>
        </w:rPr>
        <w:t>Myog</w:t>
      </w:r>
      <w:proofErr w:type="spellEnd"/>
      <w:r w:rsidRPr="00E56C2A">
        <w:t xml:space="preserve">, </w:t>
      </w:r>
      <w:r w:rsidRPr="00E56C2A">
        <w:rPr>
          <w:i/>
        </w:rPr>
        <w:t>Myf5</w:t>
      </w:r>
      <w:r>
        <w:t>, and</w:t>
      </w:r>
      <w:r w:rsidRPr="00E56C2A">
        <w:t xml:space="preserve"> </w:t>
      </w:r>
      <w:r w:rsidRPr="00E56C2A">
        <w:rPr>
          <w:i/>
        </w:rPr>
        <w:t>Cdkn1a</w:t>
      </w:r>
      <w:r>
        <w:rPr>
          <w:i/>
        </w:rPr>
        <w:t xml:space="preserve"> </w:t>
      </w:r>
      <w:r w:rsidR="00FB740E">
        <w:t xml:space="preserve">are all blocked by </w:t>
      </w:r>
      <w:proofErr w:type="spellStart"/>
      <w:r w:rsidR="00FB740E">
        <w:t>rapamycin</w:t>
      </w:r>
      <w:proofErr w:type="spellEnd"/>
      <w:r>
        <w:rPr>
          <w:i/>
        </w:rPr>
        <w:t>.</w:t>
      </w:r>
      <w:r>
        <w:t xml:space="preserve">  Since </w:t>
      </w:r>
      <w:r w:rsidRPr="00E56C2A">
        <w:rPr>
          <w:i/>
        </w:rPr>
        <w:t>Mef2c</w:t>
      </w:r>
      <w:r>
        <w:t xml:space="preserve"> is downstream of </w:t>
      </w:r>
      <w:proofErr w:type="spellStart"/>
      <w:r>
        <w:rPr>
          <w:i/>
        </w:rPr>
        <w:t>Myog</w:t>
      </w:r>
      <w:proofErr w:type="spellEnd"/>
      <w:r>
        <w:t xml:space="preserve">, reductions in </w:t>
      </w:r>
      <w:r>
        <w:rPr>
          <w:i/>
        </w:rPr>
        <w:t xml:space="preserve">Mef2c </w:t>
      </w:r>
      <w:r>
        <w:t xml:space="preserve">levels are likely due to defects upstream of </w:t>
      </w:r>
      <w:r>
        <w:rPr>
          <w:i/>
        </w:rPr>
        <w:t>Myog</w:t>
      </w:r>
      <w:r>
        <w:fldChar w:fldCharType="begin" w:fldLock="1"/>
      </w:r>
      <w:r w:rsidR="00C0439D">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"&lt;sup&gt;44&lt;/sup&gt;", "plainTextFormattedCitation" : "44", "previouslyFormattedCitation" : "&lt;sup&gt;44&lt;/sup&gt;" }, "properties" : { "noteIndex" : 0 }, "schema" : "https://github.com/citation-style-language/schema/raw/master/csl-citation.json" }</w:instrText>
      </w:r>
      <w:r>
        <w:fldChar w:fldCharType="separate"/>
      </w:r>
      <w:r w:rsidR="00DC4F9F" w:rsidRPr="00DC4F9F">
        <w:rPr>
          <w:noProof/>
          <w:vertAlign w:val="superscript"/>
        </w:rPr>
        <w:t>44</w:t>
      </w:r>
      <w:r>
        <w:fldChar w:fldCharType="end"/>
      </w:r>
      <w:r>
        <w:t xml:space="preserve">.   </w:t>
      </w:r>
      <w:r w:rsidR="00DA5FF6">
        <w:t xml:space="preserve">The decreases in the mRNA levels at the end of the study for </w:t>
      </w:r>
      <w:proofErr w:type="spellStart"/>
      <w:r w:rsidR="00DA5FF6" w:rsidRPr="00E56C2A">
        <w:rPr>
          <w:i/>
        </w:rPr>
        <w:t>Myog</w:t>
      </w:r>
      <w:proofErr w:type="spellEnd"/>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 xml:space="preserve">Although these data do not preclude the possibility of other unknown factors, our observations support the hypothesis that mTORC1 is required for </w:t>
      </w:r>
      <w:proofErr w:type="spellStart"/>
      <w:r w:rsidR="00FB740E">
        <w:t>MyoD</w:t>
      </w:r>
      <w:proofErr w:type="spellEnd"/>
      <w:r w:rsidR="00FB740E">
        <w:t xml:space="preserve"> stability, which is then required for activation of the remainder of the myogenic program.</w:t>
      </w:r>
    </w:p>
    <w:p w14:paraId="061AB97D" w14:textId="77777777" w:rsidR="00874767" w:rsidRDefault="00874767" w:rsidP="00874767">
      <w:pPr>
        <w:spacing w:line="480" w:lineRule="auto"/>
        <w:jc w:val="both"/>
      </w:pPr>
    </w:p>
    <w:p w14:paraId="7EFED685" w14:textId="6033CBE5" w:rsidR="003D62CE" w:rsidRPr="00B93021"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 xml:space="preserve">inability of flies to </w:t>
      </w:r>
      <w:proofErr w:type="spellStart"/>
      <w:r w:rsidR="00B005BD">
        <w:t>eclose</w:t>
      </w:r>
      <w:proofErr w:type="spellEnd"/>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proofErr w:type="spellStart"/>
      <w:r w:rsidR="00B005BD">
        <w:rPr>
          <w:i/>
        </w:rPr>
        <w:t>Mhc</w:t>
      </w:r>
      <w:proofErr w:type="spellEnd"/>
      <w:r w:rsidR="00CD59F2">
        <w:t xml:space="preserve"> driver.  All three of</w:t>
      </w:r>
      <w:r w:rsidR="00B005BD" w:rsidRPr="00B005BD">
        <w:t xml:space="preserve"> </w:t>
      </w:r>
      <w:r w:rsidR="00B005BD" w:rsidRPr="00B005BD">
        <w:rPr>
          <w:i/>
        </w:rPr>
        <w:t>24B</w:t>
      </w:r>
      <w:r w:rsidR="00B005BD" w:rsidRPr="00B005BD">
        <w:t>-GAL4</w:t>
      </w:r>
      <w:r w:rsidR="00B005BD" w:rsidRPr="00B005BD">
        <w:fldChar w:fldCharType="begin" w:fldLock="1"/>
      </w:r>
      <w:r w:rsidR="00C0439D">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"&lt;sup&gt;45&lt;/sup&gt;", "plainTextFormattedCitation" : "45", "previouslyFormattedCitation" : "&lt;sup&gt;45&lt;/sup&gt;" }, "properties" : { "noteIndex" : 0 }, "schema" : "https://github.com/citation-style-language/schema/raw/master/csl-citation.json" }</w:instrText>
      </w:r>
      <w:r w:rsidR="00B005BD" w:rsidRPr="00B005BD">
        <w:fldChar w:fldCharType="separate"/>
      </w:r>
      <w:r w:rsidR="00DC4F9F" w:rsidRPr="00DC4F9F">
        <w:rPr>
          <w:noProof/>
          <w:vertAlign w:val="superscript"/>
        </w:rPr>
        <w:t>45</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C0439D">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"&lt;sup&gt;46&lt;/sup&gt;", "plainTextFormattedCitation" : "46", "previouslyFormattedCitation" : "&lt;sup&gt;46&lt;/sup&gt;" }, "properties" : { "noteIndex" : 0 }, "schema" : "https://github.com/citation-style-language/schema/raw/master/csl-citation.json" }</w:instrText>
      </w:r>
      <w:r w:rsidR="00B005BD" w:rsidRPr="00B005BD">
        <w:fldChar w:fldCharType="separate"/>
      </w:r>
      <w:r w:rsidR="00DC4F9F" w:rsidRPr="00DC4F9F">
        <w:rPr>
          <w:noProof/>
          <w:vertAlign w:val="superscript"/>
        </w:rPr>
        <w:t>46</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C0439D">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"&lt;sup&gt;47,48&lt;/sup&gt;", "plainTextFormattedCitation" : "47,48", "previouslyFormattedCitation" : "&lt;sup&gt;47,48&lt;/sup&gt;" }, "properties" : { "noteIndex" : 0 }, "schema" : "https://github.com/citation-style-language/schema/raw/master/csl-citation.json" }</w:instrText>
      </w:r>
      <w:r w:rsidR="00B005BD" w:rsidRPr="00B005BD">
        <w:fldChar w:fldCharType="separate"/>
      </w:r>
      <w:r w:rsidR="00DC4F9F" w:rsidRPr="00DC4F9F">
        <w:rPr>
          <w:noProof/>
          <w:vertAlign w:val="superscript"/>
        </w:rPr>
        <w:t>47,48</w:t>
      </w:r>
      <w:r w:rsidR="00B005BD" w:rsidRPr="00B005BD">
        <w:fldChar w:fldCharType="end"/>
      </w:r>
      <w:r w:rsidR="00B005BD" w:rsidRPr="00B005BD">
        <w:t xml:space="preserve"> are reported to be expressed in wing disks</w:t>
      </w:r>
      <w:r w:rsidR="00B005BD">
        <w:t xml:space="preserve"> </w:t>
      </w:r>
      <w:r w:rsidR="00CE16C3">
        <w:t xml:space="preserve">as well as muscle </w:t>
      </w:r>
      <w:r w:rsidR="00B005BD">
        <w:t xml:space="preserve">and </w:t>
      </w:r>
      <w:proofErr w:type="spellStart"/>
      <w:r w:rsidR="00B005BD">
        <w:rPr>
          <w:i/>
        </w:rPr>
        <w:t>Mhc</w:t>
      </w:r>
      <w:proofErr w:type="spellEnd"/>
      <w:r w:rsidR="00B005BD">
        <w:t xml:space="preserve"> has been shown to be expressed in the developing embryo</w:t>
      </w:r>
      <w:r w:rsidR="00CE16C3">
        <w:t xml:space="preserve"> in addition to differentiated muscle</w:t>
      </w:r>
      <w:r w:rsidR="00B005BD">
        <w:rPr>
          <w:rFonts w:ascii="Times New Roman" w:eastAsia="Times New Roman" w:hAnsi="Times New Roman" w:cs="Times New Roman"/>
          <w:b/>
          <w:color w:val="212121"/>
        </w:rPr>
        <w:fldChar w:fldCharType="begin" w:fldLock="1"/>
      </w:r>
      <w:r w:rsidR="00C0439D">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"&lt;sup&gt;49&lt;/sup&gt;", "plainTextFormattedCitation" : "49", "previouslyFormattedCitation" : "&lt;sup&gt;49&lt;/sup&gt;"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DC4F9F" w:rsidRPr="00DC4F9F">
        <w:rPr>
          <w:rFonts w:ascii="Times New Roman" w:eastAsia="Times New Roman" w:hAnsi="Times New Roman" w:cs="Times New Roman"/>
          <w:noProof/>
          <w:color w:val="212121"/>
          <w:vertAlign w:val="superscript"/>
        </w:rPr>
        <w:t>49</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w:t>
      </w:r>
      <w:r w:rsidR="00090FA4" w:rsidRPr="00090FA4">
        <w:rPr>
          <w:rFonts w:eastAsia="Times New Roman" w:cs="Times New Roman"/>
          <w:color w:val="212121"/>
        </w:rPr>
        <w:t>was not performed in this study,</w:t>
      </w:r>
      <w:r w:rsidR="00B005BD" w:rsidRPr="0033130E">
        <w:rPr>
          <w:rFonts w:eastAsia="Times New Roman" w:cs="Times New Roman"/>
          <w:color w:val="212121"/>
        </w:rPr>
        <w:t xml:space="preserve">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proofErr w:type="spellStart"/>
      <w:r w:rsidR="0033130E" w:rsidRPr="0033130E">
        <w:rPr>
          <w:rFonts w:eastAsia="Times New Roman" w:cs="Times New Roman"/>
          <w:i/>
          <w:color w:val="212121"/>
        </w:rPr>
        <w:t>Mhc</w:t>
      </w:r>
      <w:proofErr w:type="spellEnd"/>
      <w:r w:rsidR="0033130E" w:rsidRPr="0033130E">
        <w:rPr>
          <w:rFonts w:eastAsia="Times New Roman" w:cs="Times New Roman"/>
          <w:color w:val="212121"/>
        </w:rPr>
        <w:t xml:space="preserve"> is expressed.</w:t>
      </w:r>
      <w:r w:rsidR="002D7723">
        <w:rPr>
          <w:rFonts w:eastAsia="Times New Roman" w:cs="Times New Roman"/>
          <w:color w:val="212121"/>
        </w:rPr>
        <w:t xml:space="preserve">  </w:t>
      </w:r>
      <w:proofErr w:type="gramStart"/>
      <w:r w:rsidR="002D7723">
        <w:rPr>
          <w:rFonts w:eastAsia="Times New Roman" w:cs="Times New Roman"/>
          <w:color w:val="212121"/>
        </w:rPr>
        <w:t xml:space="preserve">This </w:t>
      </w:r>
      <w:r w:rsidR="004865B0">
        <w:rPr>
          <w:rFonts w:eastAsia="Times New Roman" w:cs="Times New Roman"/>
          <w:color w:val="212121"/>
        </w:rPr>
        <w:t xml:space="preserve">hypothesis </w:t>
      </w:r>
      <w:r w:rsidR="002D7723">
        <w:rPr>
          <w:rFonts w:eastAsia="Times New Roman" w:cs="Times New Roman"/>
          <w:color w:val="212121"/>
        </w:rPr>
        <w:t>is supported by the finding</w:t>
      </w:r>
      <w:proofErr w:type="gramEnd"/>
      <w:r w:rsidR="002D7723">
        <w:rPr>
          <w:rFonts w:eastAsia="Times New Roman" w:cs="Times New Roman"/>
          <w:color w:val="212121"/>
        </w:rPr>
        <w:t xml:space="preserve"> that in C2C12 cells, </w:t>
      </w:r>
      <w:proofErr w:type="spellStart"/>
      <w:r w:rsidR="002D7723">
        <w:rPr>
          <w:rFonts w:eastAsia="Times New Roman" w:cs="Times New Roman"/>
          <w:i/>
          <w:color w:val="212121"/>
        </w:rPr>
        <w:t>Mhc</w:t>
      </w:r>
      <w:proofErr w:type="spellEnd"/>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w:t>
      </w:r>
      <w:r w:rsidR="002D7723">
        <w:rPr>
          <w:rFonts w:eastAsia="Times New Roman" w:cs="Times New Roman"/>
          <w:color w:val="212121"/>
        </w:rPr>
        <w:lastRenderedPageBreak/>
        <w:t xml:space="preserve">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proofErr w:type="spellStart"/>
      <w:r w:rsidR="002D7723" w:rsidRPr="002D7723">
        <w:rPr>
          <w:rFonts w:eastAsia="Times New Roman" w:cs="Times New Roman"/>
          <w:i/>
          <w:color w:val="212121"/>
        </w:rPr>
        <w:t>Mhc</w:t>
      </w:r>
      <w:proofErr w:type="spellEnd"/>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"&lt;sup&gt;50&lt;/sup&gt;", "plainTextFormattedCitation" : "50", "previouslyFormattedCitation" : "&lt;sup&gt;50&lt;/sup&gt;" }, "properties" : { "noteIndex" : 0 }, "schema" : "https://github.com/citation-style-language/schema/raw/master/csl-citation.json" }</w:instrText>
      </w:r>
      <w:r w:rsidR="004865B0">
        <w:rPr>
          <w:rFonts w:eastAsia="Times New Roman" w:cs="Times New Roman"/>
          <w:color w:val="212121"/>
        </w:rPr>
        <w:fldChar w:fldCharType="separate"/>
      </w:r>
      <w:r w:rsidR="00DC4F9F" w:rsidRPr="00DC4F9F">
        <w:rPr>
          <w:rFonts w:eastAsia="Times New Roman" w:cs="Times New Roman"/>
          <w:noProof/>
          <w:color w:val="212121"/>
          <w:vertAlign w:val="superscript"/>
        </w:rPr>
        <w:t>50</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it is possible that the differences observed between muscle drivers are due to diff</w:t>
      </w:r>
      <w:r w:rsidR="00203A52">
        <w:rPr>
          <w:rFonts w:eastAsia="Times New Roman" w:cs="Times New Roman"/>
          <w:color w:val="212121"/>
        </w:rPr>
        <w:t>erences in knockdown efficiency</w:t>
      </w:r>
      <w:r w:rsidR="0033130E">
        <w:rPr>
          <w:rFonts w:eastAsia="Times New Roman" w:cs="Times New Roman"/>
          <w:color w:val="212121"/>
        </w:rPr>
        <w:t xml:space="preserve"> or different anatomical locations in which these drivers are active.  </w:t>
      </w:r>
      <w:r w:rsidR="00B93021">
        <w:rPr>
          <w:rFonts w:eastAsia="Times New Roman" w:cs="Times New Roman"/>
          <w:color w:val="212121"/>
        </w:rPr>
        <w:t xml:space="preserve">A previous way to reduce dTORC1 signaling is to overexpress </w:t>
      </w:r>
      <w:r w:rsidR="00B93021">
        <w:rPr>
          <w:rFonts w:eastAsia="Times New Roman" w:cs="Times New Roman"/>
          <w:i/>
          <w:color w:val="212121"/>
        </w:rPr>
        <w:t>Tsc2</w:t>
      </w:r>
      <w:r w:rsidR="00B93021">
        <w:rPr>
          <w:rFonts w:eastAsia="Times New Roman" w:cs="Times New Roman"/>
          <w:color w:val="212121"/>
        </w:rPr>
        <w:t xml:space="preserve"> a negative regulator of dTORC1 signaling.  Using the </w:t>
      </w:r>
      <w:r w:rsidR="00B93021">
        <w:rPr>
          <w:rFonts w:eastAsia="Times New Roman" w:cs="Times New Roman"/>
          <w:i/>
          <w:color w:val="212121"/>
        </w:rPr>
        <w:t>24b</w:t>
      </w:r>
      <w:r w:rsidR="00B93021">
        <w:rPr>
          <w:rFonts w:eastAsia="Times New Roman" w:cs="Times New Roman"/>
          <w:color w:val="212121"/>
        </w:rPr>
        <w:t>-GAL4 transgene to drive UAS-</w:t>
      </w:r>
      <w:r w:rsidR="00B93021" w:rsidRPr="00B93021">
        <w:rPr>
          <w:rFonts w:eastAsia="Times New Roman" w:cs="Times New Roman"/>
          <w:i/>
          <w:color w:val="212121"/>
        </w:rPr>
        <w:t>Tsc</w:t>
      </w:r>
      <w:r w:rsidR="00B93021">
        <w:rPr>
          <w:rFonts w:eastAsia="Times New Roman" w:cs="Times New Roman"/>
          <w:i/>
          <w:color w:val="212121"/>
        </w:rPr>
        <w:t>2</w:t>
      </w:r>
      <w:r w:rsidR="00B93021">
        <w:rPr>
          <w:rFonts w:eastAsia="Times New Roman" w:cs="Times New Roman"/>
          <w:color w:val="212121"/>
        </w:rPr>
        <w:t xml:space="preserve"> expression, </w:t>
      </w:r>
      <w:proofErr w:type="spellStart"/>
      <w:r w:rsidR="00B93021">
        <w:rPr>
          <w:rFonts w:eastAsia="Times New Roman" w:cs="Times New Roman"/>
          <w:color w:val="212121"/>
        </w:rPr>
        <w:t>Kapahi</w:t>
      </w:r>
      <w:proofErr w:type="spellEnd"/>
      <w:r w:rsidR="00B93021">
        <w:rPr>
          <w:rFonts w:eastAsia="Times New Roman" w:cs="Times New Roman"/>
          <w:color w:val="212121"/>
        </w:rPr>
        <w:t xml:space="preserve"> and colleagues showed that these flies had reduced lifespan, consistent with our findings, although they did not report any </w:t>
      </w:r>
      <w:proofErr w:type="spellStart"/>
      <w:r w:rsidR="00B93021">
        <w:rPr>
          <w:rFonts w:eastAsia="Times New Roman" w:cs="Times New Roman"/>
          <w:color w:val="212121"/>
        </w:rPr>
        <w:t>eclosure</w:t>
      </w:r>
      <w:proofErr w:type="spellEnd"/>
      <w:r w:rsidR="00B93021">
        <w:rPr>
          <w:rFonts w:eastAsia="Times New Roman" w:cs="Times New Roman"/>
          <w:color w:val="212121"/>
        </w:rPr>
        <w:t xml:space="preserve"> defects</w:t>
      </w:r>
      <w:r w:rsidR="00B93021">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"id" : "ITEM-1",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"&lt;sup&gt;51&lt;/sup&gt;", "plainTextFormattedCitation" : "51", "previouslyFormattedCitation" : "&lt;sup&gt;51&lt;/sup&gt;" }, "properties" : { "noteIndex" : 0 }, "schema" : "https://github.com/citation-style-language/schema/raw/master/csl-citation.json" }</w:instrText>
      </w:r>
      <w:r w:rsidR="00B93021">
        <w:rPr>
          <w:rFonts w:eastAsia="Times New Roman" w:cs="Times New Roman"/>
          <w:color w:val="212121"/>
        </w:rPr>
        <w:fldChar w:fldCharType="separate"/>
      </w:r>
      <w:r w:rsidR="00DC4F9F" w:rsidRPr="00DC4F9F">
        <w:rPr>
          <w:rFonts w:eastAsia="Times New Roman" w:cs="Times New Roman"/>
          <w:noProof/>
          <w:color w:val="212121"/>
          <w:vertAlign w:val="superscript"/>
        </w:rPr>
        <w:t>51</w:t>
      </w:r>
      <w:r w:rsidR="00B93021">
        <w:rPr>
          <w:rFonts w:eastAsia="Times New Roman" w:cs="Times New Roman"/>
          <w:color w:val="212121"/>
        </w:rPr>
        <w:fldChar w:fldCharType="end"/>
      </w:r>
      <w:r w:rsidR="00B93021">
        <w:rPr>
          <w:rFonts w:eastAsia="Times New Roman" w:cs="Times New Roman"/>
          <w:color w:val="212121"/>
        </w:rPr>
        <w:t>.</w:t>
      </w:r>
    </w:p>
    <w:p w14:paraId="2BCE5EEE" w14:textId="77777777" w:rsidR="00014025" w:rsidRDefault="00014025" w:rsidP="00963A23">
      <w:pPr>
        <w:spacing w:line="480" w:lineRule="auto"/>
        <w:jc w:val="both"/>
        <w:rPr>
          <w:rFonts w:eastAsia="Times New Roman" w:cs="Times New Roman"/>
          <w:color w:val="212121"/>
        </w:rPr>
      </w:pPr>
    </w:p>
    <w:p w14:paraId="739B6714" w14:textId="5365216E" w:rsidR="00014025" w:rsidRPr="006102A8" w:rsidRDefault="008A3903" w:rsidP="00014025">
      <w:pPr>
        <w:spacing w:line="480" w:lineRule="auto"/>
        <w:jc w:val="both"/>
        <w:rPr>
          <w:rFonts w:eastAsia="Times New Roman" w:cs="Times New Roman"/>
          <w:color w:val="212121"/>
        </w:rPr>
      </w:pPr>
      <w:r>
        <w:rPr>
          <w:rFonts w:eastAsia="Times New Roman" w:cs="Times New Roman"/>
          <w:color w:val="212121"/>
        </w:rPr>
        <w:t>As</w:t>
      </w:r>
      <w:r w:rsidR="00014025">
        <w:rPr>
          <w:rFonts w:eastAsia="Times New Roman" w:cs="Times New Roman"/>
          <w:color w:val="212121"/>
        </w:rPr>
        <w:t xml:space="preserve"> shown in Figure 4, we are able to rescue the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lethality of these flies by assisting with their </w:t>
      </w:r>
      <w:proofErr w:type="spellStart"/>
      <w:r w:rsidR="00014025">
        <w:rPr>
          <w:rFonts w:eastAsia="Times New Roman" w:cs="Times New Roman"/>
          <w:color w:val="212121"/>
        </w:rPr>
        <w:t>eclosure</w:t>
      </w:r>
      <w:proofErr w:type="spellEnd"/>
      <w:r w:rsidR="00014025">
        <w:rPr>
          <w:rFonts w:eastAsia="Times New Roman" w:cs="Times New Roman"/>
          <w:color w:val="212121"/>
        </w:rPr>
        <w:t xml:space="preserve"> from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cases, but even when the flies emerge, they are noticeably weaker.  This suggests that there </w:t>
      </w:r>
      <w:r w:rsidR="008416F8" w:rsidRPr="008416F8">
        <w:rPr>
          <w:rFonts w:eastAsia="Times New Roman" w:cs="Times New Roman"/>
          <w:color w:val="212121"/>
        </w:rPr>
        <w:t xml:space="preserve">may be a developmental defect or muscle maintenance defect </w:t>
      </w:r>
      <w:r w:rsidR="00014025">
        <w:rPr>
          <w:rFonts w:eastAsia="Times New Roman" w:cs="Times New Roman"/>
          <w:i/>
          <w:color w:val="212121"/>
        </w:rPr>
        <w:t>Mef2</w:t>
      </w:r>
      <w:r w:rsidR="00014025">
        <w:rPr>
          <w:rFonts w:eastAsia="Times New Roman" w:cs="Times New Roman"/>
          <w:color w:val="212121"/>
        </w:rPr>
        <w:t xml:space="preserve">-GAL4 &gt; </w:t>
      </w:r>
      <w:r w:rsidR="00014025">
        <w:rPr>
          <w:rFonts w:eastAsia="Times New Roman" w:cs="Times New Roman"/>
          <w:i/>
          <w:color w:val="212121"/>
        </w:rPr>
        <w:t>Raptor</w:t>
      </w:r>
      <w:r w:rsidR="00014025">
        <w:rPr>
          <w:rFonts w:eastAsia="Times New Roman" w:cs="Times New Roman"/>
          <w:color w:val="212121"/>
        </w:rPr>
        <w:t xml:space="preserve"> knockdown flies, and the observed lethality </w:t>
      </w:r>
      <w:r w:rsidR="008416F8">
        <w:rPr>
          <w:rFonts w:eastAsia="Times New Roman" w:cs="Times New Roman"/>
          <w:color w:val="212121"/>
        </w:rPr>
        <w:t>is most likely</w:t>
      </w:r>
      <w:r w:rsidR="00014025">
        <w:rPr>
          <w:rFonts w:eastAsia="Times New Roman" w:cs="Times New Roman"/>
          <w:color w:val="212121"/>
        </w:rPr>
        <w:t xml:space="preserve"> due to an inability to emerge from </w:t>
      </w:r>
      <w:proofErr w:type="spellStart"/>
      <w:r w:rsidR="00014025">
        <w:rPr>
          <w:rFonts w:eastAsia="Times New Roman" w:cs="Times New Roman"/>
          <w:color w:val="212121"/>
        </w:rPr>
        <w:t>pupal</w:t>
      </w:r>
      <w:proofErr w:type="spellEnd"/>
      <w:r w:rsidR="00014025">
        <w:rPr>
          <w:rFonts w:eastAsia="Times New Roman" w:cs="Times New Roman"/>
          <w:color w:val="212121"/>
        </w:rPr>
        <w:t xml:space="preserve"> cases due to weakened muscle strength.</w:t>
      </w:r>
      <w:r w:rsidR="00A867DF">
        <w:rPr>
          <w:rFonts w:eastAsia="Times New Roman" w:cs="Times New Roman"/>
          <w:color w:val="212121"/>
        </w:rPr>
        <w:t xml:space="preserve">  This study did not address biochemical or morphological differences </w:t>
      </w:r>
      <w:r w:rsidR="006102A8">
        <w:rPr>
          <w:rFonts w:eastAsia="Times New Roman" w:cs="Times New Roman"/>
          <w:color w:val="212121"/>
        </w:rPr>
        <w:t xml:space="preserve">between </w:t>
      </w:r>
      <w:proofErr w:type="gramStart"/>
      <w:r w:rsidR="006102A8">
        <w:rPr>
          <w:rFonts w:eastAsia="Times New Roman" w:cs="Times New Roman"/>
          <w:color w:val="212121"/>
        </w:rPr>
        <w:t>wild-type</w:t>
      </w:r>
      <w:proofErr w:type="gramEnd"/>
      <w:r w:rsidR="006102A8">
        <w:rPr>
          <w:rFonts w:eastAsia="Times New Roman" w:cs="Times New Roman"/>
          <w:color w:val="212121"/>
        </w:rPr>
        <w:t xml:space="preserve"> and </w:t>
      </w:r>
      <w:r w:rsidR="006102A8">
        <w:rPr>
          <w:rFonts w:eastAsia="Times New Roman" w:cs="Times New Roman"/>
          <w:i/>
          <w:color w:val="212121"/>
        </w:rPr>
        <w:t xml:space="preserve">Raptor </w:t>
      </w:r>
      <w:r w:rsidR="006102A8">
        <w:rPr>
          <w:rFonts w:eastAsia="Times New Roman" w:cs="Times New Roman"/>
          <w:color w:val="212121"/>
        </w:rPr>
        <w:t>knockdown muscles, though the exact molecular nature of these changes in muscle strength warrant</w:t>
      </w:r>
      <w:r w:rsidR="004D6B3F">
        <w:rPr>
          <w:rFonts w:eastAsia="Times New Roman" w:cs="Times New Roman"/>
          <w:color w:val="212121"/>
        </w:rPr>
        <w:t>s</w:t>
      </w:r>
      <w:r w:rsidR="006102A8">
        <w:rPr>
          <w:rFonts w:eastAsia="Times New Roman" w:cs="Times New Roman"/>
          <w:color w:val="212121"/>
        </w:rPr>
        <w:t xml:space="preserve"> further study.</w:t>
      </w:r>
    </w:p>
    <w:p w14:paraId="5E3FD379" w14:textId="77777777" w:rsidR="003D62CE" w:rsidRDefault="003D62CE" w:rsidP="00963A23">
      <w:pPr>
        <w:spacing w:line="480" w:lineRule="auto"/>
        <w:jc w:val="both"/>
        <w:rPr>
          <w:rFonts w:eastAsia="Times New Roman" w:cs="Times New Roman"/>
          <w:color w:val="212121"/>
        </w:rPr>
      </w:pPr>
    </w:p>
    <w:p w14:paraId="18B1B5CC" w14:textId="6BD72F34"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w:t>
      </w:r>
      <w:proofErr w:type="spellStart"/>
      <w:r w:rsidR="003D62CE">
        <w:rPr>
          <w:rFonts w:eastAsia="Times New Roman" w:cs="Times New Roman"/>
          <w:color w:val="212121"/>
        </w:rPr>
        <w:t>Cre</w:t>
      </w:r>
      <w:proofErr w:type="spellEnd"/>
      <w:r w:rsidR="003D62CE">
        <w:rPr>
          <w:rFonts w:eastAsia="Times New Roman" w:cs="Times New Roman"/>
          <w:color w:val="212121"/>
        </w:rPr>
        <w:t xml:space="preserve"> expression drove the knockout of muscle </w:t>
      </w:r>
      <w:proofErr w:type="spellStart"/>
      <w:r w:rsidR="003D62CE">
        <w:rPr>
          <w:rFonts w:eastAsia="Times New Roman" w:cs="Times New Roman"/>
          <w:i/>
          <w:color w:val="212121"/>
        </w:rPr>
        <w:t>Rptor</w:t>
      </w:r>
      <w:proofErr w:type="spellEnd"/>
      <w:r w:rsidR="003D62CE">
        <w:rPr>
          <w:rFonts w:eastAsia="Times New Roman" w:cs="Times New Roman"/>
          <w:color w:val="212121"/>
        </w:rPr>
        <w:t xml:space="preserve">.  These mice were observed to be weaker than littermate controls, and prone to early </w:t>
      </w:r>
      <w:r w:rsidR="003D62CE">
        <w:rPr>
          <w:rFonts w:eastAsia="Times New Roman" w:cs="Times New Roman"/>
          <w:color w:val="212121"/>
        </w:rPr>
        <w:lastRenderedPageBreak/>
        <w:t>death</w:t>
      </w:r>
      <w:r w:rsidR="003D62CE">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"&lt;sup&gt;52&lt;/sup&gt;", "plainTextFormattedCitation" : "52", "previouslyFormattedCitation" : "&lt;sup&gt;52&lt;/sup&gt;" }, "properties" : { "noteIndex" : 0 }, "schema" : "https://github.com/citation-style-language/schema/raw/master/csl-citation.json" }</w:instrText>
      </w:r>
      <w:r w:rsidR="003D62CE">
        <w:rPr>
          <w:rFonts w:eastAsia="Times New Roman" w:cs="Times New Roman"/>
          <w:color w:val="212121"/>
        </w:rPr>
        <w:fldChar w:fldCharType="separate"/>
      </w:r>
      <w:r w:rsidR="00DC4F9F" w:rsidRPr="00DC4F9F">
        <w:rPr>
          <w:rFonts w:eastAsia="Times New Roman" w:cs="Times New Roman"/>
          <w:noProof/>
          <w:color w:val="212121"/>
          <w:vertAlign w:val="superscript"/>
        </w:rPr>
        <w:t>52</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proofErr w:type="spellStart"/>
      <w:r w:rsidR="00014025">
        <w:rPr>
          <w:rFonts w:eastAsia="Times New Roman" w:cs="Times New Roman"/>
          <w:i/>
          <w:color w:val="212121"/>
        </w:rPr>
        <w:t>Rptor</w:t>
      </w:r>
      <w:proofErr w:type="spellEnd"/>
      <w:r w:rsidR="00014025">
        <w:rPr>
          <w:rFonts w:eastAsia="Times New Roman" w:cs="Times New Roman"/>
          <w:i/>
          <w:color w:val="212121"/>
        </w:rPr>
        <w:t xml:space="preserve">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w:t>
      </w:r>
      <w:proofErr w:type="spellStart"/>
      <w:r w:rsidR="00014025">
        <w:rPr>
          <w:rFonts w:eastAsia="Times New Roman" w:cs="Times New Roman"/>
          <w:color w:val="212121"/>
        </w:rPr>
        <w:t>myogenesis</w:t>
      </w:r>
      <w:proofErr w:type="spellEnd"/>
      <w:r w:rsidR="00014025">
        <w:rPr>
          <w:rFonts w:eastAsia="Times New Roman" w:cs="Times New Roman"/>
          <w:color w:val="212121"/>
        </w:rPr>
        <w:t>, and not at all in satellite cells</w:t>
      </w:r>
      <w:r w:rsidR="00B229A3">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"&lt;sup&gt;53&lt;/sup&gt;", "plainTextFormattedCitation" : "53", "previouslyFormattedCitation" : "&lt;sup&gt;53&lt;/sup&gt;" }, "properties" : { "noteIndex" : 0 }, "schema" : "https://github.com/citation-style-language/schema/raw/master/csl-citation.json" }</w:instrText>
      </w:r>
      <w:r w:rsidR="00B229A3">
        <w:rPr>
          <w:rFonts w:eastAsia="Times New Roman" w:cs="Times New Roman"/>
          <w:color w:val="212121"/>
        </w:rPr>
        <w:fldChar w:fldCharType="separate"/>
      </w:r>
      <w:r w:rsidR="00DC4F9F" w:rsidRPr="00DC4F9F">
        <w:rPr>
          <w:rFonts w:eastAsia="Times New Roman" w:cs="Times New Roman"/>
          <w:noProof/>
          <w:color w:val="212121"/>
          <w:vertAlign w:val="superscript"/>
        </w:rPr>
        <w:t>53</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w:t>
      </w:r>
      <w:proofErr w:type="spellStart"/>
      <w:r w:rsidR="003D62CE" w:rsidRPr="008C6740">
        <w:rPr>
          <w:rFonts w:ascii="Cambria" w:hAnsi="Cambria"/>
        </w:rPr>
        <w:t>eclosure</w:t>
      </w:r>
      <w:proofErr w:type="spellEnd"/>
      <w:r w:rsidR="003D62CE" w:rsidRPr="008C6740">
        <w:rPr>
          <w:rFonts w:ascii="Cambria" w:hAnsi="Cambria"/>
        </w:rPr>
        <w:t xml:space="preserv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proofErr w:type="spellStart"/>
      <w:r w:rsidR="00CA7825">
        <w:rPr>
          <w:rFonts w:eastAsia="Times New Roman" w:cs="Times New Roman"/>
          <w:i/>
          <w:color w:val="212121"/>
        </w:rPr>
        <w:t>R</w:t>
      </w:r>
      <w:r w:rsidR="00B229A3">
        <w:rPr>
          <w:rFonts w:eastAsia="Times New Roman" w:cs="Times New Roman"/>
          <w:i/>
          <w:color w:val="212121"/>
        </w:rPr>
        <w:t>ptor</w:t>
      </w:r>
      <w:proofErr w:type="spellEnd"/>
      <w:r w:rsidR="00B229A3">
        <w:rPr>
          <w:rFonts w:eastAsia="Times New Roman" w:cs="Times New Roman"/>
          <w:i/>
          <w:color w:val="212121"/>
        </w:rPr>
        <w:t xml:space="preserve"> </w:t>
      </w:r>
      <w:r w:rsidR="00B229A3">
        <w:rPr>
          <w:rFonts w:eastAsia="Times New Roman" w:cs="Times New Roman"/>
          <w:color w:val="212121"/>
        </w:rPr>
        <w:t xml:space="preserve">knockout studies did not evaluate mTORC1-dependent </w:t>
      </w:r>
      <w:proofErr w:type="spellStart"/>
      <w:r w:rsidR="00B229A3">
        <w:rPr>
          <w:rFonts w:eastAsia="Times New Roman" w:cs="Times New Roman"/>
          <w:color w:val="212121"/>
        </w:rPr>
        <w:t>myogenesis</w:t>
      </w:r>
      <w:proofErr w:type="spellEnd"/>
      <w:r w:rsidR="00B229A3">
        <w:rPr>
          <w:rFonts w:eastAsia="Times New Roman" w:cs="Times New Roman"/>
          <w:color w:val="212121"/>
        </w:rPr>
        <w:t xml:space="preserve">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"&lt;sup&gt;54&lt;/sup&gt;", "plainTextFormattedCitation" : "54", "previouslyFormattedCitation" : "&lt;sup&gt;54&lt;/sup&gt;" }, "properties" : { "noteIndex" : 0 }, "schema" : "https://github.com/citation-style-language/schema/raw/master/csl-citation.json" }</w:instrText>
      </w:r>
      <w:r w:rsidR="00106AAA">
        <w:rPr>
          <w:rFonts w:eastAsia="Times New Roman" w:cs="Times New Roman"/>
          <w:color w:val="212121"/>
        </w:rPr>
        <w:fldChar w:fldCharType="separate"/>
      </w:r>
      <w:r w:rsidR="00DC4F9F" w:rsidRPr="00DC4F9F">
        <w:rPr>
          <w:rFonts w:eastAsia="Times New Roman" w:cs="Times New Roman"/>
          <w:noProof/>
          <w:color w:val="212121"/>
          <w:vertAlign w:val="superscript"/>
        </w:rPr>
        <w:t>54</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w:t>
      </w:r>
      <w:proofErr w:type="spellStart"/>
      <w:r w:rsidR="00106AAA">
        <w:rPr>
          <w:rFonts w:eastAsia="Times New Roman" w:cs="Times New Roman"/>
          <w:color w:val="212121"/>
        </w:rPr>
        <w:t>myogenesis</w:t>
      </w:r>
      <w:proofErr w:type="spellEnd"/>
      <w:r w:rsidR="00106AAA">
        <w:rPr>
          <w:rFonts w:eastAsia="Times New Roman" w:cs="Times New Roman"/>
          <w:color w:val="212121"/>
        </w:rPr>
        <w:t xml:space="preserve">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21C0B5A8" w:rsidR="00D07587" w:rsidRPr="00D07587" w:rsidRDefault="00D07587" w:rsidP="00963A23">
      <w:pPr>
        <w:spacing w:line="480" w:lineRule="auto"/>
        <w:jc w:val="both"/>
      </w:pPr>
      <w:r>
        <w:t>The authors would like to thank the members of the Bridges</w:t>
      </w:r>
      <w:r w:rsidR="00A5301A">
        <w:t xml:space="preserve">, </w:t>
      </w:r>
      <w:proofErr w:type="spellStart"/>
      <w:r w:rsidR="00A5301A">
        <w:t>Bissler</w:t>
      </w:r>
      <w:proofErr w:type="spellEnd"/>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w:t>
      </w:r>
      <w:proofErr w:type="spellStart"/>
      <w:r w:rsidR="002F603A">
        <w:t>Ruegg</w:t>
      </w:r>
      <w:proofErr w:type="spellEnd"/>
      <w:r w:rsidR="002F603A">
        <w:t xml:space="preserve"> (University of Basel) for helpful discussions regarding this work.  </w:t>
      </w:r>
      <w:r w:rsidR="00A47170">
        <w:t xml:space="preserve">The </w:t>
      </w:r>
      <w:proofErr w:type="spellStart"/>
      <w:r w:rsidR="00A47170">
        <w:t>qPCR</w:t>
      </w:r>
      <w:proofErr w:type="spellEnd"/>
      <w:r w:rsidR="00A47170">
        <w:t xml:space="preserve"> instrumentation used in this study was provided by the Molecular Resource Center at UTHSC, and we would like to thank William Taylor and Felicia Waller for their assistance. </w:t>
      </w:r>
      <w:r w:rsidR="001A363B">
        <w:t xml:space="preserve">This study used stocks obtained from the Bloomington Stock Center (funded by NIH Grant P40OD018537). </w:t>
      </w:r>
      <w:r>
        <w:t xml:space="preserve">This work was </w:t>
      </w:r>
      <w:r>
        <w:lastRenderedPageBreak/>
        <w:t xml:space="preserve">supported </w:t>
      </w:r>
      <w:r w:rsidR="00081B89">
        <w:t xml:space="preserve">in part </w:t>
      </w:r>
      <w:r>
        <w:t xml:space="preserve">by </w:t>
      </w:r>
      <w:r w:rsidR="00147489">
        <w:t xml:space="preserve">a Dean’s Neurology Support Fund </w:t>
      </w:r>
      <w:r w:rsidR="00636E3E">
        <w:t xml:space="preserve">to </w:t>
      </w:r>
      <w:r>
        <w:t>LTR</w:t>
      </w:r>
      <w:r w:rsidR="00C95FA3">
        <w:t xml:space="preserve"> and the UTHSC Drosophila Transgenic Core</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lastRenderedPageBreak/>
        <w:t>References</w:t>
      </w:r>
    </w:p>
    <w:p w14:paraId="18E1BC53" w14:textId="22E2996E" w:rsidR="00C0439D" w:rsidRPr="00C0439D" w:rsidRDefault="00D07587">
      <w:pPr>
        <w:pStyle w:val="NormalWeb"/>
        <w:ind w:left="640" w:hanging="640"/>
        <w:divId w:val="960110724"/>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C0439D" w:rsidRPr="00C0439D">
        <w:rPr>
          <w:rFonts w:ascii="Cambria" w:hAnsi="Cambria"/>
          <w:noProof/>
          <w:sz w:val="24"/>
        </w:rPr>
        <w:t>1.</w:t>
      </w:r>
      <w:r w:rsidR="00C0439D" w:rsidRPr="00C0439D">
        <w:rPr>
          <w:rFonts w:ascii="Cambria" w:hAnsi="Cambria"/>
          <w:noProof/>
          <w:sz w:val="24"/>
        </w:rPr>
        <w:tab/>
        <w:t xml:space="preserve">Loewith, R. &amp; Hall, M. N. Target of rapamycin (TOR) in nutrient signaling and growth control. </w:t>
      </w:r>
      <w:r w:rsidR="00C0439D" w:rsidRPr="00C0439D">
        <w:rPr>
          <w:rFonts w:ascii="Cambria" w:hAnsi="Cambria"/>
          <w:i/>
          <w:iCs/>
          <w:noProof/>
          <w:sz w:val="24"/>
        </w:rPr>
        <w:t>Genetics</w:t>
      </w:r>
      <w:r w:rsidR="00C0439D" w:rsidRPr="00C0439D">
        <w:rPr>
          <w:rFonts w:ascii="Cambria" w:hAnsi="Cambria"/>
          <w:noProof/>
          <w:sz w:val="24"/>
        </w:rPr>
        <w:t xml:space="preserve"> </w:t>
      </w:r>
      <w:r w:rsidR="00C0439D" w:rsidRPr="00C0439D">
        <w:rPr>
          <w:rFonts w:ascii="Cambria" w:hAnsi="Cambria"/>
          <w:b/>
          <w:bCs/>
          <w:noProof/>
          <w:sz w:val="24"/>
        </w:rPr>
        <w:t>189,</w:t>
      </w:r>
      <w:r w:rsidR="00C0439D" w:rsidRPr="00C0439D">
        <w:rPr>
          <w:rFonts w:ascii="Cambria" w:hAnsi="Cambria"/>
          <w:noProof/>
          <w:sz w:val="24"/>
        </w:rPr>
        <w:t xml:space="preserve"> 1177–201 (2011).</w:t>
      </w:r>
    </w:p>
    <w:p w14:paraId="27028E2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w:t>
      </w:r>
      <w:r w:rsidRPr="00C0439D">
        <w:rPr>
          <w:rFonts w:ascii="Cambria" w:hAnsi="Cambria"/>
          <w:noProof/>
          <w:sz w:val="24"/>
        </w:rPr>
        <w:tab/>
        <w:t xml:space="preserve">Zoncu, R., Efeyan, A. &amp; Sabatini, D. M. mTOR: from growth signal integration to cancer, diabetes and ageing. </w:t>
      </w:r>
      <w:r w:rsidRPr="00C0439D">
        <w:rPr>
          <w:rFonts w:ascii="Cambria" w:hAnsi="Cambria"/>
          <w:i/>
          <w:iCs/>
          <w:noProof/>
          <w:sz w:val="24"/>
        </w:rPr>
        <w:t>Nat. Rev. Mol. Cell Biol.</w:t>
      </w:r>
      <w:r w:rsidRPr="00C0439D">
        <w:rPr>
          <w:rFonts w:ascii="Cambria" w:hAnsi="Cambria"/>
          <w:noProof/>
          <w:sz w:val="24"/>
        </w:rPr>
        <w:t xml:space="preserve"> </w:t>
      </w:r>
      <w:r w:rsidRPr="00C0439D">
        <w:rPr>
          <w:rFonts w:ascii="Cambria" w:hAnsi="Cambria"/>
          <w:b/>
          <w:bCs/>
          <w:noProof/>
          <w:sz w:val="24"/>
        </w:rPr>
        <w:t>12,</w:t>
      </w:r>
      <w:r w:rsidRPr="00C0439D">
        <w:rPr>
          <w:rFonts w:ascii="Cambria" w:hAnsi="Cambria"/>
          <w:noProof/>
          <w:sz w:val="24"/>
        </w:rPr>
        <w:t xml:space="preserve"> 21–35 (2010).</w:t>
      </w:r>
    </w:p>
    <w:p w14:paraId="28133087"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w:t>
      </w:r>
      <w:r w:rsidRPr="00C0439D">
        <w:rPr>
          <w:rFonts w:ascii="Cambria" w:hAnsi="Cambria"/>
          <w:noProof/>
          <w:sz w:val="24"/>
        </w:rPr>
        <w:tab/>
        <w:t xml:space="preserve">Howell, J. J., Ricoult, S. J. H., Ben-Sahra, I. &amp; Manning, B. D. A growing role for mTOR in promoting anabolic metabolism. </w:t>
      </w:r>
      <w:r w:rsidRPr="00C0439D">
        <w:rPr>
          <w:rFonts w:ascii="Cambria" w:hAnsi="Cambria"/>
          <w:i/>
          <w:iCs/>
          <w:noProof/>
          <w:sz w:val="24"/>
        </w:rPr>
        <w:t>Biochem. Soc. Trans.</w:t>
      </w:r>
      <w:r w:rsidRPr="00C0439D">
        <w:rPr>
          <w:rFonts w:ascii="Cambria" w:hAnsi="Cambria"/>
          <w:noProof/>
          <w:sz w:val="24"/>
        </w:rPr>
        <w:t xml:space="preserve"> </w:t>
      </w:r>
      <w:r w:rsidRPr="00C0439D">
        <w:rPr>
          <w:rFonts w:ascii="Cambria" w:hAnsi="Cambria"/>
          <w:b/>
          <w:bCs/>
          <w:noProof/>
          <w:sz w:val="24"/>
        </w:rPr>
        <w:t>41,</w:t>
      </w:r>
      <w:r w:rsidRPr="00C0439D">
        <w:rPr>
          <w:rFonts w:ascii="Cambria" w:hAnsi="Cambria"/>
          <w:noProof/>
          <w:sz w:val="24"/>
        </w:rPr>
        <w:t xml:space="preserve"> 906–12 (2013).</w:t>
      </w:r>
    </w:p>
    <w:p w14:paraId="033968C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w:t>
      </w:r>
      <w:r w:rsidRPr="00C0439D">
        <w:rPr>
          <w:rFonts w:ascii="Cambria" w:hAnsi="Cambria"/>
          <w:noProof/>
          <w:sz w:val="24"/>
        </w:rPr>
        <w:tab/>
        <w:t xml:space="preserve">Cornu, M., Albert, V. &amp; Hall, M. N. mTOR in aging, metabolism, and cancer. </w:t>
      </w:r>
      <w:r w:rsidRPr="00C0439D">
        <w:rPr>
          <w:rFonts w:ascii="Cambria" w:hAnsi="Cambria"/>
          <w:i/>
          <w:iCs/>
          <w:noProof/>
          <w:sz w:val="24"/>
        </w:rPr>
        <w:t>Curr. Opin. Genet. Dev.</w:t>
      </w:r>
      <w:r w:rsidRPr="00C0439D">
        <w:rPr>
          <w:rFonts w:ascii="Cambria" w:hAnsi="Cambria"/>
          <w:noProof/>
          <w:sz w:val="24"/>
        </w:rPr>
        <w:t xml:space="preserve"> </w:t>
      </w:r>
      <w:r w:rsidRPr="00C0439D">
        <w:rPr>
          <w:rFonts w:ascii="Cambria" w:hAnsi="Cambria"/>
          <w:b/>
          <w:bCs/>
          <w:noProof/>
          <w:sz w:val="24"/>
        </w:rPr>
        <w:t>23,</w:t>
      </w:r>
      <w:r w:rsidRPr="00C0439D">
        <w:rPr>
          <w:rFonts w:ascii="Cambria" w:hAnsi="Cambria"/>
          <w:noProof/>
          <w:sz w:val="24"/>
        </w:rPr>
        <w:t xml:space="preserve"> 53–62 (2013).</w:t>
      </w:r>
    </w:p>
    <w:p w14:paraId="4C75B44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w:t>
      </w:r>
      <w:r w:rsidRPr="00C0439D">
        <w:rPr>
          <w:rFonts w:ascii="Cambria" w:hAnsi="Cambria"/>
          <w:noProof/>
          <w:sz w:val="24"/>
        </w:rPr>
        <w:tab/>
        <w:t xml:space="preserve">Lamming, D. W., Ye, L., Sabatini, D. M. &amp; Baur, J. A. Rapalogs and mTOR inhibitors as anti-aging therapeutics. </w:t>
      </w:r>
      <w:r w:rsidRPr="00C0439D">
        <w:rPr>
          <w:rFonts w:ascii="Cambria" w:hAnsi="Cambria"/>
          <w:i/>
          <w:iCs/>
          <w:noProof/>
          <w:sz w:val="24"/>
        </w:rPr>
        <w:t>J. Clin. Invest.</w:t>
      </w:r>
      <w:r w:rsidRPr="00C0439D">
        <w:rPr>
          <w:rFonts w:ascii="Cambria" w:hAnsi="Cambria"/>
          <w:noProof/>
          <w:sz w:val="24"/>
        </w:rPr>
        <w:t xml:space="preserve"> </w:t>
      </w:r>
      <w:r w:rsidRPr="00C0439D">
        <w:rPr>
          <w:rFonts w:ascii="Cambria" w:hAnsi="Cambria"/>
          <w:b/>
          <w:bCs/>
          <w:noProof/>
          <w:sz w:val="24"/>
        </w:rPr>
        <w:t>123,</w:t>
      </w:r>
      <w:r w:rsidRPr="00C0439D">
        <w:rPr>
          <w:rFonts w:ascii="Cambria" w:hAnsi="Cambria"/>
          <w:noProof/>
          <w:sz w:val="24"/>
        </w:rPr>
        <w:t xml:space="preserve"> 980–9 (2013).</w:t>
      </w:r>
    </w:p>
    <w:p w14:paraId="5A919F52"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6.</w:t>
      </w:r>
      <w:r w:rsidRPr="00C0439D">
        <w:rPr>
          <w:rFonts w:ascii="Cambria" w:hAnsi="Cambria"/>
          <w:noProof/>
          <w:sz w:val="24"/>
        </w:rPr>
        <w:tab/>
        <w:t xml:space="preserve">Zeng, M. &amp; Zhou, J.-N. Roles of autophagy and mTOR signaling in neuronal differentiation of mouse neuroblastoma cells. </w:t>
      </w:r>
      <w:r w:rsidRPr="00C0439D">
        <w:rPr>
          <w:rFonts w:ascii="Cambria" w:hAnsi="Cambria"/>
          <w:i/>
          <w:iCs/>
          <w:noProof/>
          <w:sz w:val="24"/>
        </w:rPr>
        <w:t>Cell. Signal.</w:t>
      </w:r>
      <w:r w:rsidRPr="00C0439D">
        <w:rPr>
          <w:rFonts w:ascii="Cambria" w:hAnsi="Cambria"/>
          <w:noProof/>
          <w:sz w:val="24"/>
        </w:rPr>
        <w:t xml:space="preserve"> </w:t>
      </w:r>
      <w:r w:rsidRPr="00C0439D">
        <w:rPr>
          <w:rFonts w:ascii="Cambria" w:hAnsi="Cambria"/>
          <w:b/>
          <w:bCs/>
          <w:noProof/>
          <w:sz w:val="24"/>
        </w:rPr>
        <w:t>20,</w:t>
      </w:r>
      <w:r w:rsidRPr="00C0439D">
        <w:rPr>
          <w:rFonts w:ascii="Cambria" w:hAnsi="Cambria"/>
          <w:noProof/>
          <w:sz w:val="24"/>
        </w:rPr>
        <w:t xml:space="preserve"> 659–65 (2008).</w:t>
      </w:r>
    </w:p>
    <w:p w14:paraId="1F99FEF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7.</w:t>
      </w:r>
      <w:r w:rsidRPr="00C0439D">
        <w:rPr>
          <w:rFonts w:ascii="Cambria" w:hAnsi="Cambria"/>
          <w:noProof/>
          <w:sz w:val="24"/>
        </w:rPr>
        <w:tab/>
        <w:t xml:space="preserve">Tyler, W. A. </w:t>
      </w:r>
      <w:r w:rsidRPr="00C0439D">
        <w:rPr>
          <w:rFonts w:ascii="Cambria" w:hAnsi="Cambria"/>
          <w:i/>
          <w:iCs/>
          <w:noProof/>
          <w:sz w:val="24"/>
        </w:rPr>
        <w:t>et al.</w:t>
      </w:r>
      <w:r w:rsidRPr="00C0439D">
        <w:rPr>
          <w:rFonts w:ascii="Cambria" w:hAnsi="Cambria"/>
          <w:noProof/>
          <w:sz w:val="24"/>
        </w:rPr>
        <w:t xml:space="preserve"> Activation of the mammalian target of rapamycin (mTOR) is essential for oligodendrocyte differentiation. </w:t>
      </w:r>
      <w:r w:rsidRPr="00C0439D">
        <w:rPr>
          <w:rFonts w:ascii="Cambria" w:hAnsi="Cambria"/>
          <w:i/>
          <w:iCs/>
          <w:noProof/>
          <w:sz w:val="24"/>
        </w:rPr>
        <w:t>J. Neurosci.</w:t>
      </w:r>
      <w:r w:rsidRPr="00C0439D">
        <w:rPr>
          <w:rFonts w:ascii="Cambria" w:hAnsi="Cambria"/>
          <w:noProof/>
          <w:sz w:val="24"/>
        </w:rPr>
        <w:t xml:space="preserve"> </w:t>
      </w:r>
      <w:r w:rsidRPr="00C0439D">
        <w:rPr>
          <w:rFonts w:ascii="Cambria" w:hAnsi="Cambria"/>
          <w:b/>
          <w:bCs/>
          <w:noProof/>
          <w:sz w:val="24"/>
        </w:rPr>
        <w:t>29,</w:t>
      </w:r>
      <w:r w:rsidRPr="00C0439D">
        <w:rPr>
          <w:rFonts w:ascii="Cambria" w:hAnsi="Cambria"/>
          <w:noProof/>
          <w:sz w:val="24"/>
        </w:rPr>
        <w:t xml:space="preserve"> 6367–78 (2009).</w:t>
      </w:r>
    </w:p>
    <w:p w14:paraId="71D7B62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8.</w:t>
      </w:r>
      <w:r w:rsidRPr="00C0439D">
        <w:rPr>
          <w:rFonts w:ascii="Cambria" w:hAnsi="Cambria"/>
          <w:noProof/>
          <w:sz w:val="24"/>
        </w:rPr>
        <w:tab/>
        <w:t xml:space="preserve">Zhang, H. H. </w:t>
      </w:r>
      <w:r w:rsidRPr="00C0439D">
        <w:rPr>
          <w:rFonts w:ascii="Cambria" w:hAnsi="Cambria"/>
          <w:i/>
          <w:iCs/>
          <w:noProof/>
          <w:sz w:val="24"/>
        </w:rPr>
        <w:t>et al.</w:t>
      </w:r>
      <w:r w:rsidRPr="00C0439D">
        <w:rPr>
          <w:rFonts w:ascii="Cambria" w:hAnsi="Cambria"/>
          <w:noProof/>
          <w:sz w:val="24"/>
        </w:rPr>
        <w:t xml:space="preserve"> Insulin stimulates adipogenesis through the Akt-TSC2-mTORC1 pathway. </w:t>
      </w:r>
      <w:r w:rsidRPr="00C0439D">
        <w:rPr>
          <w:rFonts w:ascii="Cambria" w:hAnsi="Cambria"/>
          <w:i/>
          <w:iCs/>
          <w:noProof/>
          <w:sz w:val="24"/>
        </w:rPr>
        <w:t>PLoS One</w:t>
      </w:r>
      <w:r w:rsidRPr="00C0439D">
        <w:rPr>
          <w:rFonts w:ascii="Cambria" w:hAnsi="Cambria"/>
          <w:noProof/>
          <w:sz w:val="24"/>
        </w:rPr>
        <w:t xml:space="preserve"> </w:t>
      </w:r>
      <w:r w:rsidRPr="00C0439D">
        <w:rPr>
          <w:rFonts w:ascii="Cambria" w:hAnsi="Cambria"/>
          <w:b/>
          <w:bCs/>
          <w:noProof/>
          <w:sz w:val="24"/>
        </w:rPr>
        <w:t>4,</w:t>
      </w:r>
      <w:r w:rsidRPr="00C0439D">
        <w:rPr>
          <w:rFonts w:ascii="Cambria" w:hAnsi="Cambria"/>
          <w:noProof/>
          <w:sz w:val="24"/>
        </w:rPr>
        <w:t xml:space="preserve"> e6189 (2009).</w:t>
      </w:r>
    </w:p>
    <w:p w14:paraId="7B72ECB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9.</w:t>
      </w:r>
      <w:r w:rsidRPr="00C0439D">
        <w:rPr>
          <w:rFonts w:ascii="Cambria" w:hAnsi="Cambria"/>
          <w:noProof/>
          <w:sz w:val="24"/>
        </w:rPr>
        <w:tab/>
        <w:t xml:space="preserve">Cuenda, A. &amp; Cohen, P. Stress-activated protein kinase-2/p38 and a rapamycin-sensitive pathway are required for C2C12 myogenesis.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274,</w:t>
      </w:r>
      <w:r w:rsidRPr="00C0439D">
        <w:rPr>
          <w:rFonts w:ascii="Cambria" w:hAnsi="Cambria"/>
          <w:noProof/>
          <w:sz w:val="24"/>
        </w:rPr>
        <w:t xml:space="preserve"> 4341–6 (1999).</w:t>
      </w:r>
    </w:p>
    <w:p w14:paraId="02F156CC"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10.</w:t>
      </w:r>
      <w:r w:rsidRPr="00C0439D">
        <w:rPr>
          <w:rFonts w:ascii="Cambria" w:hAnsi="Cambria"/>
          <w:noProof/>
          <w:sz w:val="24"/>
        </w:rPr>
        <w:tab/>
        <w:t xml:space="preserve">Shu, L., Zhang, X. &amp; Houghton, P. J. Myogenic differentiation is dependent on both the kinase function and the N-terminal sequence of mammalian target of rapamycin.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277,</w:t>
      </w:r>
      <w:r w:rsidRPr="00C0439D">
        <w:rPr>
          <w:rFonts w:ascii="Cambria" w:hAnsi="Cambria"/>
          <w:noProof/>
          <w:sz w:val="24"/>
        </w:rPr>
        <w:t xml:space="preserve"> 16726–32 (2002).</w:t>
      </w:r>
    </w:p>
    <w:p w14:paraId="7F9B89E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11.</w:t>
      </w:r>
      <w:r w:rsidRPr="00C0439D">
        <w:rPr>
          <w:rFonts w:ascii="Cambria" w:hAnsi="Cambria"/>
          <w:noProof/>
          <w:sz w:val="24"/>
        </w:rPr>
        <w:tab/>
        <w:t xml:space="preserve">Erbay, E. &amp; Chen, J. The mammalian target of rapamycin regulates C2C12 myogenesis via a kinase-independent mechanism.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276,</w:t>
      </w:r>
      <w:r w:rsidRPr="00C0439D">
        <w:rPr>
          <w:rFonts w:ascii="Cambria" w:hAnsi="Cambria"/>
          <w:noProof/>
          <w:sz w:val="24"/>
        </w:rPr>
        <w:t xml:space="preserve"> 36079–82 (2001).</w:t>
      </w:r>
    </w:p>
    <w:p w14:paraId="0D05584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12.</w:t>
      </w:r>
      <w:r w:rsidRPr="00C0439D">
        <w:rPr>
          <w:rFonts w:ascii="Cambria" w:hAnsi="Cambria"/>
          <w:noProof/>
          <w:sz w:val="24"/>
        </w:rPr>
        <w:tab/>
        <w:t xml:space="preserve">Hentges, K. E. </w:t>
      </w:r>
      <w:r w:rsidRPr="00C0439D">
        <w:rPr>
          <w:rFonts w:ascii="Cambria" w:hAnsi="Cambria"/>
          <w:i/>
          <w:iCs/>
          <w:noProof/>
          <w:sz w:val="24"/>
        </w:rPr>
        <w:t>et al.</w:t>
      </w:r>
      <w:r w:rsidRPr="00C0439D">
        <w:rPr>
          <w:rFonts w:ascii="Cambria" w:hAnsi="Cambria"/>
          <w:noProof/>
          <w:sz w:val="24"/>
        </w:rPr>
        <w:t xml:space="preserve"> FRAP/mTOR is required for proliferation and patterning during embryonic development in the mouse.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98,</w:t>
      </w:r>
      <w:r w:rsidRPr="00C0439D">
        <w:rPr>
          <w:rFonts w:ascii="Cambria" w:hAnsi="Cambria"/>
          <w:noProof/>
          <w:sz w:val="24"/>
        </w:rPr>
        <w:t xml:space="preserve"> 13796–801 (2001).</w:t>
      </w:r>
    </w:p>
    <w:p w14:paraId="2119718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13.</w:t>
      </w:r>
      <w:r w:rsidRPr="00C0439D">
        <w:rPr>
          <w:rFonts w:ascii="Cambria" w:hAnsi="Cambria"/>
          <w:noProof/>
          <w:sz w:val="24"/>
        </w:rPr>
        <w:tab/>
        <w:t xml:space="preserve">Guertin, D. A. </w:t>
      </w:r>
      <w:r w:rsidRPr="00C0439D">
        <w:rPr>
          <w:rFonts w:ascii="Cambria" w:hAnsi="Cambria"/>
          <w:i/>
          <w:iCs/>
          <w:noProof/>
          <w:sz w:val="24"/>
        </w:rPr>
        <w:t>et al.</w:t>
      </w:r>
      <w:r w:rsidRPr="00C0439D">
        <w:rPr>
          <w:rFonts w:ascii="Cambria" w:hAnsi="Cambria"/>
          <w:noProof/>
          <w:sz w:val="24"/>
        </w:rPr>
        <w:t xml:space="preserve"> Ablation in mice of the mTORC components raptor, rictor, or mLST8 reveals that mTORC2 is required for signaling to Akt-FOXO and PKCalpha, but not S6K1. </w:t>
      </w:r>
      <w:r w:rsidRPr="00C0439D">
        <w:rPr>
          <w:rFonts w:ascii="Cambria" w:hAnsi="Cambria"/>
          <w:i/>
          <w:iCs/>
          <w:noProof/>
          <w:sz w:val="24"/>
        </w:rPr>
        <w:t>Dev. Cell</w:t>
      </w:r>
      <w:r w:rsidRPr="00C0439D">
        <w:rPr>
          <w:rFonts w:ascii="Cambria" w:hAnsi="Cambria"/>
          <w:noProof/>
          <w:sz w:val="24"/>
        </w:rPr>
        <w:t xml:space="preserve"> </w:t>
      </w:r>
      <w:r w:rsidRPr="00C0439D">
        <w:rPr>
          <w:rFonts w:ascii="Cambria" w:hAnsi="Cambria"/>
          <w:b/>
          <w:bCs/>
          <w:noProof/>
          <w:sz w:val="24"/>
        </w:rPr>
        <w:t>11,</w:t>
      </w:r>
      <w:r w:rsidRPr="00C0439D">
        <w:rPr>
          <w:rFonts w:ascii="Cambria" w:hAnsi="Cambria"/>
          <w:noProof/>
          <w:sz w:val="24"/>
        </w:rPr>
        <w:t xml:space="preserve"> 859–871 (2006).</w:t>
      </w:r>
    </w:p>
    <w:p w14:paraId="6825A6B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14.</w:t>
      </w:r>
      <w:r w:rsidRPr="00C0439D">
        <w:rPr>
          <w:rFonts w:ascii="Cambria" w:hAnsi="Cambria"/>
          <w:noProof/>
          <w:sz w:val="24"/>
        </w:rPr>
        <w:tab/>
        <w:t xml:space="preserve">Gangloff, Y. </w:t>
      </w:r>
      <w:r w:rsidRPr="00C0439D">
        <w:rPr>
          <w:rFonts w:ascii="Cambria" w:hAnsi="Cambria"/>
          <w:i/>
          <w:iCs/>
          <w:noProof/>
          <w:sz w:val="24"/>
        </w:rPr>
        <w:t>et al.</w:t>
      </w:r>
      <w:r w:rsidRPr="00C0439D">
        <w:rPr>
          <w:rFonts w:ascii="Cambria" w:hAnsi="Cambria"/>
          <w:noProof/>
          <w:sz w:val="24"/>
        </w:rPr>
        <w:t xml:space="preserve"> Disruption of the mouse mTOR gene leads to early postimplantation lethality and prohibits embryonic stem cell development. </w:t>
      </w:r>
      <w:r w:rsidRPr="00C0439D">
        <w:rPr>
          <w:rFonts w:ascii="Cambria" w:hAnsi="Cambria"/>
          <w:i/>
          <w:iCs/>
          <w:noProof/>
          <w:sz w:val="24"/>
        </w:rPr>
        <w:t>Mol. Cell. Biol.</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9508–16 (2004).</w:t>
      </w:r>
    </w:p>
    <w:p w14:paraId="077A277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15.</w:t>
      </w:r>
      <w:r w:rsidRPr="00C0439D">
        <w:rPr>
          <w:rFonts w:ascii="Cambria" w:hAnsi="Cambria"/>
          <w:noProof/>
          <w:sz w:val="24"/>
        </w:rPr>
        <w:tab/>
        <w:t xml:space="preserve">Jia, K., Chen, D. &amp; Riddle, D. L. The TOR pathway interacts with the insulin signaling pathway to regulate C. elegans larval development, metabolism and life span. </w:t>
      </w:r>
      <w:r w:rsidRPr="00C0439D">
        <w:rPr>
          <w:rFonts w:ascii="Cambria" w:hAnsi="Cambria"/>
          <w:i/>
          <w:iCs/>
          <w:noProof/>
          <w:sz w:val="24"/>
        </w:rPr>
        <w:t>Development</w:t>
      </w:r>
      <w:r w:rsidRPr="00C0439D">
        <w:rPr>
          <w:rFonts w:ascii="Cambria" w:hAnsi="Cambria"/>
          <w:noProof/>
          <w:sz w:val="24"/>
        </w:rPr>
        <w:t xml:space="preserve"> </w:t>
      </w:r>
      <w:r w:rsidRPr="00C0439D">
        <w:rPr>
          <w:rFonts w:ascii="Cambria" w:hAnsi="Cambria"/>
          <w:b/>
          <w:bCs/>
          <w:noProof/>
          <w:sz w:val="24"/>
        </w:rPr>
        <w:t>131,</w:t>
      </w:r>
      <w:r w:rsidRPr="00C0439D">
        <w:rPr>
          <w:rFonts w:ascii="Cambria" w:hAnsi="Cambria"/>
          <w:noProof/>
          <w:sz w:val="24"/>
        </w:rPr>
        <w:t xml:space="preserve"> 3897–906 (2004).</w:t>
      </w:r>
    </w:p>
    <w:p w14:paraId="7449617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16.</w:t>
      </w:r>
      <w:r w:rsidRPr="00C0439D">
        <w:rPr>
          <w:rFonts w:ascii="Cambria" w:hAnsi="Cambria"/>
          <w:noProof/>
          <w:sz w:val="24"/>
        </w:rPr>
        <w:tab/>
        <w:t xml:space="preserve">Bjedov, I. </w:t>
      </w:r>
      <w:r w:rsidRPr="00C0439D">
        <w:rPr>
          <w:rFonts w:ascii="Cambria" w:hAnsi="Cambria"/>
          <w:i/>
          <w:iCs/>
          <w:noProof/>
          <w:sz w:val="24"/>
        </w:rPr>
        <w:t>et al.</w:t>
      </w:r>
      <w:r w:rsidRPr="00C0439D">
        <w:rPr>
          <w:rFonts w:ascii="Cambria" w:hAnsi="Cambria"/>
          <w:noProof/>
          <w:sz w:val="24"/>
        </w:rPr>
        <w:t xml:space="preserve"> Mechanisms of life span extension by rapamycin in the fruit fly Drosophila melanogaster. </w:t>
      </w:r>
      <w:r w:rsidRPr="00C0439D">
        <w:rPr>
          <w:rFonts w:ascii="Cambria" w:hAnsi="Cambria"/>
          <w:i/>
          <w:iCs/>
          <w:noProof/>
          <w:sz w:val="24"/>
        </w:rPr>
        <w:t>Cell Metab.</w:t>
      </w:r>
      <w:r w:rsidRPr="00C0439D">
        <w:rPr>
          <w:rFonts w:ascii="Cambria" w:hAnsi="Cambria"/>
          <w:noProof/>
          <w:sz w:val="24"/>
        </w:rPr>
        <w:t xml:space="preserve"> </w:t>
      </w:r>
      <w:r w:rsidRPr="00C0439D">
        <w:rPr>
          <w:rFonts w:ascii="Cambria" w:hAnsi="Cambria"/>
          <w:b/>
          <w:bCs/>
          <w:noProof/>
          <w:sz w:val="24"/>
        </w:rPr>
        <w:t>11,</w:t>
      </w:r>
      <w:r w:rsidRPr="00C0439D">
        <w:rPr>
          <w:rFonts w:ascii="Cambria" w:hAnsi="Cambria"/>
          <w:noProof/>
          <w:sz w:val="24"/>
        </w:rPr>
        <w:t xml:space="preserve"> 35–46 (2010).</w:t>
      </w:r>
    </w:p>
    <w:p w14:paraId="3E2CEC8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17.</w:t>
      </w:r>
      <w:r w:rsidRPr="00C0439D">
        <w:rPr>
          <w:rFonts w:ascii="Cambria" w:hAnsi="Cambria"/>
          <w:noProof/>
          <w:sz w:val="24"/>
        </w:rPr>
        <w:tab/>
        <w:t xml:space="preserve">Mauro, A. Satellite cell of skeletal muscle fibers. </w:t>
      </w:r>
      <w:r w:rsidRPr="00C0439D">
        <w:rPr>
          <w:rFonts w:ascii="Cambria" w:hAnsi="Cambria"/>
          <w:i/>
          <w:iCs/>
          <w:noProof/>
          <w:sz w:val="24"/>
        </w:rPr>
        <w:t>J. Biophys. Biochem. Cytol.</w:t>
      </w:r>
      <w:r w:rsidRPr="00C0439D">
        <w:rPr>
          <w:rFonts w:ascii="Cambria" w:hAnsi="Cambria"/>
          <w:noProof/>
          <w:sz w:val="24"/>
        </w:rPr>
        <w:t xml:space="preserve"> </w:t>
      </w:r>
      <w:r w:rsidRPr="00C0439D">
        <w:rPr>
          <w:rFonts w:ascii="Cambria" w:hAnsi="Cambria"/>
          <w:b/>
          <w:bCs/>
          <w:noProof/>
          <w:sz w:val="24"/>
        </w:rPr>
        <w:t>9,</w:t>
      </w:r>
      <w:r w:rsidRPr="00C0439D">
        <w:rPr>
          <w:rFonts w:ascii="Cambria" w:hAnsi="Cambria"/>
          <w:noProof/>
          <w:sz w:val="24"/>
        </w:rPr>
        <w:t xml:space="preserve"> 493–5 (1961).</w:t>
      </w:r>
    </w:p>
    <w:p w14:paraId="5C7A7F82"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18.</w:t>
      </w:r>
      <w:r w:rsidRPr="00C0439D">
        <w:rPr>
          <w:rFonts w:ascii="Cambria" w:hAnsi="Cambria"/>
          <w:noProof/>
          <w:sz w:val="24"/>
        </w:rPr>
        <w:tab/>
        <w:t xml:space="preserve">Collins, C. a </w:t>
      </w:r>
      <w:r w:rsidRPr="00C0439D">
        <w:rPr>
          <w:rFonts w:ascii="Cambria" w:hAnsi="Cambria"/>
          <w:i/>
          <w:iCs/>
          <w:noProof/>
          <w:sz w:val="24"/>
        </w:rPr>
        <w:t>et al.</w:t>
      </w:r>
      <w:r w:rsidRPr="00C0439D">
        <w:rPr>
          <w:rFonts w:ascii="Cambria" w:hAnsi="Cambria"/>
          <w:noProof/>
          <w:sz w:val="24"/>
        </w:rPr>
        <w:t xml:space="preserve"> Stem cell function, self-renewal, and behavioral heterogeneity of cells from the adult muscle satellite cell niche.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122,</w:t>
      </w:r>
      <w:r w:rsidRPr="00C0439D">
        <w:rPr>
          <w:rFonts w:ascii="Cambria" w:hAnsi="Cambria"/>
          <w:noProof/>
          <w:sz w:val="24"/>
        </w:rPr>
        <w:t xml:space="preserve"> 289–301 (2005).</w:t>
      </w:r>
    </w:p>
    <w:p w14:paraId="627A8C3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19.</w:t>
      </w:r>
      <w:r w:rsidRPr="00C0439D">
        <w:rPr>
          <w:rFonts w:ascii="Cambria" w:hAnsi="Cambria"/>
          <w:noProof/>
          <w:sz w:val="24"/>
        </w:rPr>
        <w:tab/>
        <w:t xml:space="preserve">Eng, D., Ma, H.-Y., Gross, M. K. &amp; Kioussi, C. Gene Networks during Skeletal Myogenesis. </w:t>
      </w:r>
      <w:r w:rsidRPr="00C0439D">
        <w:rPr>
          <w:rFonts w:ascii="Cambria" w:hAnsi="Cambria"/>
          <w:i/>
          <w:iCs/>
          <w:noProof/>
          <w:sz w:val="24"/>
        </w:rPr>
        <w:t>ISRN Dev. Biol.</w:t>
      </w:r>
      <w:r w:rsidRPr="00C0439D">
        <w:rPr>
          <w:rFonts w:ascii="Cambria" w:hAnsi="Cambria"/>
          <w:noProof/>
          <w:sz w:val="24"/>
        </w:rPr>
        <w:t xml:space="preserve"> </w:t>
      </w:r>
      <w:r w:rsidRPr="00C0439D">
        <w:rPr>
          <w:rFonts w:ascii="Cambria" w:hAnsi="Cambria"/>
          <w:b/>
          <w:bCs/>
          <w:noProof/>
          <w:sz w:val="24"/>
        </w:rPr>
        <w:t>2013,</w:t>
      </w:r>
      <w:r w:rsidRPr="00C0439D">
        <w:rPr>
          <w:rFonts w:ascii="Cambria" w:hAnsi="Cambria"/>
          <w:noProof/>
          <w:sz w:val="24"/>
        </w:rPr>
        <w:t xml:space="preserve"> 1–8 (2013).</w:t>
      </w:r>
    </w:p>
    <w:p w14:paraId="1262331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20.</w:t>
      </w:r>
      <w:r w:rsidRPr="00C0439D">
        <w:rPr>
          <w:rFonts w:ascii="Cambria" w:hAnsi="Cambria"/>
          <w:noProof/>
          <w:sz w:val="24"/>
        </w:rPr>
        <w:tab/>
        <w:t xml:space="preserve">Ge, Y. &amp; Chen, J. Mammalian target of rapamycin (mTOR) signaling network in skeletal myogenesis.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287,</w:t>
      </w:r>
      <w:r w:rsidRPr="00C0439D">
        <w:rPr>
          <w:rFonts w:ascii="Cambria" w:hAnsi="Cambria"/>
          <w:noProof/>
          <w:sz w:val="24"/>
        </w:rPr>
        <w:t xml:space="preserve"> 43928–35 (2012).</w:t>
      </w:r>
    </w:p>
    <w:p w14:paraId="5C4DA3C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21.</w:t>
      </w:r>
      <w:r w:rsidRPr="00C0439D">
        <w:rPr>
          <w:rFonts w:ascii="Cambria" w:hAnsi="Cambria"/>
          <w:noProof/>
          <w:sz w:val="24"/>
        </w:rPr>
        <w:tab/>
        <w:t xml:space="preserve">Sun, Y. </w:t>
      </w:r>
      <w:r w:rsidRPr="00C0439D">
        <w:rPr>
          <w:rFonts w:ascii="Cambria" w:hAnsi="Cambria"/>
          <w:i/>
          <w:iCs/>
          <w:noProof/>
          <w:sz w:val="24"/>
        </w:rPr>
        <w:t>et al.</w:t>
      </w:r>
      <w:r w:rsidRPr="00C0439D">
        <w:rPr>
          <w:rFonts w:ascii="Cambria" w:hAnsi="Cambria"/>
          <w:noProof/>
          <w:sz w:val="24"/>
        </w:rPr>
        <w:t xml:space="preserve"> Mammalian target of rapamycin regulates miRNA-1 and follistatin in skeletal myogenesis. </w:t>
      </w:r>
      <w:r w:rsidRPr="00C0439D">
        <w:rPr>
          <w:rFonts w:ascii="Cambria" w:hAnsi="Cambria"/>
          <w:i/>
          <w:iCs/>
          <w:noProof/>
          <w:sz w:val="24"/>
        </w:rPr>
        <w:t>J. Cell Biol.</w:t>
      </w:r>
      <w:r w:rsidRPr="00C0439D">
        <w:rPr>
          <w:rFonts w:ascii="Cambria" w:hAnsi="Cambria"/>
          <w:noProof/>
          <w:sz w:val="24"/>
        </w:rPr>
        <w:t xml:space="preserve"> </w:t>
      </w:r>
      <w:r w:rsidRPr="00C0439D">
        <w:rPr>
          <w:rFonts w:ascii="Cambria" w:hAnsi="Cambria"/>
          <w:b/>
          <w:bCs/>
          <w:noProof/>
          <w:sz w:val="24"/>
        </w:rPr>
        <w:t>189,</w:t>
      </w:r>
      <w:r w:rsidRPr="00C0439D">
        <w:rPr>
          <w:rFonts w:ascii="Cambria" w:hAnsi="Cambria"/>
          <w:noProof/>
          <w:sz w:val="24"/>
        </w:rPr>
        <w:t xml:space="preserve"> 1157–69 (2010).</w:t>
      </w:r>
    </w:p>
    <w:p w14:paraId="2992227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22.</w:t>
      </w:r>
      <w:r w:rsidRPr="00C0439D">
        <w:rPr>
          <w:rFonts w:ascii="Cambria" w:hAnsi="Cambria"/>
          <w:noProof/>
          <w:sz w:val="24"/>
        </w:rPr>
        <w:tab/>
        <w:t xml:space="preserve">Yaffe, D. &amp; Saxel, O. Serial passaging and differentiation of myogenic cells isolated from dystrophic mouse muscle.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270,</w:t>
      </w:r>
      <w:r w:rsidRPr="00C0439D">
        <w:rPr>
          <w:rFonts w:ascii="Cambria" w:hAnsi="Cambria"/>
          <w:noProof/>
          <w:sz w:val="24"/>
        </w:rPr>
        <w:t xml:space="preserve"> 725–727 (1977).</w:t>
      </w:r>
    </w:p>
    <w:p w14:paraId="664179D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23.</w:t>
      </w:r>
      <w:r w:rsidRPr="00C0439D">
        <w:rPr>
          <w:rFonts w:ascii="Cambria" w:hAnsi="Cambria"/>
          <w:noProof/>
          <w:sz w:val="24"/>
        </w:rPr>
        <w:tab/>
        <w:t xml:space="preserve">Schmittgen, T. D. &amp; Livak, K. J. Analyzing real-time PCR data by the comparative CT method. </w:t>
      </w:r>
      <w:r w:rsidRPr="00C0439D">
        <w:rPr>
          <w:rFonts w:ascii="Cambria" w:hAnsi="Cambria"/>
          <w:i/>
          <w:iCs/>
          <w:noProof/>
          <w:sz w:val="24"/>
        </w:rPr>
        <w:t>Nat. Protoc.</w:t>
      </w:r>
      <w:r w:rsidRPr="00C0439D">
        <w:rPr>
          <w:rFonts w:ascii="Cambria" w:hAnsi="Cambria"/>
          <w:noProof/>
          <w:sz w:val="24"/>
        </w:rPr>
        <w:t xml:space="preserve"> </w:t>
      </w:r>
      <w:r w:rsidRPr="00C0439D">
        <w:rPr>
          <w:rFonts w:ascii="Cambria" w:hAnsi="Cambria"/>
          <w:b/>
          <w:bCs/>
          <w:noProof/>
          <w:sz w:val="24"/>
        </w:rPr>
        <w:t>3,</w:t>
      </w:r>
      <w:r w:rsidRPr="00C0439D">
        <w:rPr>
          <w:rFonts w:ascii="Cambria" w:hAnsi="Cambria"/>
          <w:noProof/>
          <w:sz w:val="24"/>
        </w:rPr>
        <w:t xml:space="preserve"> 1101–1108 (2008).</w:t>
      </w:r>
    </w:p>
    <w:p w14:paraId="78EBE693"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24.</w:t>
      </w:r>
      <w:r w:rsidRPr="00C0439D">
        <w:rPr>
          <w:rFonts w:ascii="Cambria" w:hAnsi="Cambria"/>
          <w:noProof/>
          <w:sz w:val="24"/>
        </w:rPr>
        <w:tab/>
        <w:t xml:space="preserve">Ni, J. </w:t>
      </w:r>
      <w:r w:rsidRPr="00C0439D">
        <w:rPr>
          <w:rFonts w:ascii="Cambria" w:hAnsi="Cambria"/>
          <w:i/>
          <w:iCs/>
          <w:noProof/>
          <w:sz w:val="24"/>
        </w:rPr>
        <w:t>et al.</w:t>
      </w:r>
      <w:r w:rsidRPr="00C0439D">
        <w:rPr>
          <w:rFonts w:ascii="Cambria" w:hAnsi="Cambria"/>
          <w:noProof/>
          <w:sz w:val="24"/>
        </w:rPr>
        <w:t xml:space="preserve"> A genome-scale shRNA resource for transgenic RNAi in Drosophila. </w:t>
      </w:r>
      <w:r w:rsidRPr="00C0439D">
        <w:rPr>
          <w:rFonts w:ascii="Cambria" w:hAnsi="Cambria"/>
          <w:i/>
          <w:iCs/>
          <w:noProof/>
          <w:sz w:val="24"/>
        </w:rPr>
        <w:t>Nat. Methods</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405–7 (2011).</w:t>
      </w:r>
    </w:p>
    <w:p w14:paraId="0CF97B75" w14:textId="5BBA9FC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25.</w:t>
      </w:r>
      <w:r w:rsidRPr="00C0439D">
        <w:rPr>
          <w:rFonts w:ascii="Cambria" w:hAnsi="Cambria"/>
          <w:noProof/>
          <w:sz w:val="24"/>
        </w:rPr>
        <w:tab/>
        <w:t>R Core Team. R: A Language and Environment for Statistical Computing. (2013).</w:t>
      </w:r>
      <w:r>
        <w:rPr>
          <w:rFonts w:ascii="Cambria" w:hAnsi="Cambria"/>
          <w:noProof/>
          <w:sz w:val="24"/>
        </w:rPr>
        <w:t xml:space="preserve"> </w:t>
      </w:r>
      <w:r w:rsidRPr="00C0439D">
        <w:rPr>
          <w:rFonts w:ascii="Cambria" w:hAnsi="Cambria"/>
          <w:noProof/>
          <w:sz w:val="24"/>
        </w:rPr>
        <w:t>http://www.R-project.org/</w:t>
      </w:r>
      <w:r w:rsidR="00717AC0">
        <w:rPr>
          <w:rFonts w:ascii="Cambria" w:hAnsi="Cambria"/>
          <w:noProof/>
          <w:sz w:val="24"/>
        </w:rPr>
        <w:t xml:space="preserve"> Date of access: 08/01/2015</w:t>
      </w:r>
    </w:p>
    <w:p w14:paraId="5A01FA4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26.</w:t>
      </w:r>
      <w:r w:rsidRPr="00C0439D">
        <w:rPr>
          <w:rFonts w:ascii="Cambria" w:hAnsi="Cambria"/>
          <w:noProof/>
          <w:sz w:val="24"/>
        </w:rPr>
        <w:tab/>
        <w:t xml:space="preserve">Fox, J. &amp; Weisberg, S. </w:t>
      </w:r>
      <w:r w:rsidRPr="00C0439D">
        <w:rPr>
          <w:rFonts w:ascii="Cambria" w:hAnsi="Cambria"/>
          <w:i/>
          <w:iCs/>
          <w:noProof/>
          <w:sz w:val="24"/>
        </w:rPr>
        <w:t>An {R} Companion to Applied Regression</w:t>
      </w:r>
      <w:r w:rsidRPr="00C0439D">
        <w:rPr>
          <w:rFonts w:ascii="Cambria" w:hAnsi="Cambria"/>
          <w:noProof/>
          <w:sz w:val="24"/>
        </w:rPr>
        <w:t>. (Sage, 2011).</w:t>
      </w:r>
    </w:p>
    <w:p w14:paraId="18EAD67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27.</w:t>
      </w:r>
      <w:r w:rsidRPr="00C0439D">
        <w:rPr>
          <w:rFonts w:ascii="Cambria" w:hAnsi="Cambria"/>
          <w:noProof/>
          <w:sz w:val="24"/>
        </w:rPr>
        <w:tab/>
        <w:t xml:space="preserve">Benjamini, Y. &amp; Hochberg, Y. Controlling the False Discovery Rate: A Practical and Powerful Approach to Multiple Testing. </w:t>
      </w:r>
      <w:r w:rsidRPr="00C0439D">
        <w:rPr>
          <w:rFonts w:ascii="Cambria" w:hAnsi="Cambria"/>
          <w:i/>
          <w:iCs/>
          <w:noProof/>
          <w:sz w:val="24"/>
        </w:rPr>
        <w:t>J. R. Stat. Soc. Ser. B</w:t>
      </w:r>
      <w:r w:rsidRPr="00C0439D">
        <w:rPr>
          <w:rFonts w:ascii="Cambria" w:hAnsi="Cambria"/>
          <w:noProof/>
          <w:sz w:val="24"/>
        </w:rPr>
        <w:t xml:space="preserve"> </w:t>
      </w:r>
      <w:r w:rsidRPr="00C0439D">
        <w:rPr>
          <w:rFonts w:ascii="Cambria" w:hAnsi="Cambria"/>
          <w:b/>
          <w:bCs/>
          <w:noProof/>
          <w:sz w:val="24"/>
        </w:rPr>
        <w:t>57,</w:t>
      </w:r>
      <w:r w:rsidRPr="00C0439D">
        <w:rPr>
          <w:rFonts w:ascii="Cambria" w:hAnsi="Cambria"/>
          <w:noProof/>
          <w:sz w:val="24"/>
        </w:rPr>
        <w:t xml:space="preserve"> 289–300 (1995).</w:t>
      </w:r>
    </w:p>
    <w:p w14:paraId="0432BCA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28.</w:t>
      </w:r>
      <w:r w:rsidRPr="00C0439D">
        <w:rPr>
          <w:rFonts w:ascii="Cambria" w:hAnsi="Cambria"/>
          <w:noProof/>
          <w:sz w:val="24"/>
        </w:rPr>
        <w:tab/>
        <w:t xml:space="preserve">Hatfield, I. </w:t>
      </w:r>
      <w:r w:rsidRPr="00C0439D">
        <w:rPr>
          <w:rFonts w:ascii="Cambria" w:hAnsi="Cambria"/>
          <w:i/>
          <w:iCs/>
          <w:noProof/>
          <w:sz w:val="24"/>
        </w:rPr>
        <w:t>et al.</w:t>
      </w:r>
      <w:r w:rsidRPr="00C0439D">
        <w:rPr>
          <w:rFonts w:ascii="Cambria" w:hAnsi="Cambria"/>
          <w:noProof/>
          <w:sz w:val="24"/>
        </w:rPr>
        <w:t xml:space="preserve"> Dataset for Drosophila Muscle Function Studies. </w:t>
      </w:r>
      <w:r w:rsidRPr="00C0439D">
        <w:rPr>
          <w:rFonts w:ascii="Cambria" w:hAnsi="Cambria"/>
          <w:i/>
          <w:iCs/>
          <w:noProof/>
          <w:sz w:val="24"/>
        </w:rPr>
        <w:t>ZENODO</w:t>
      </w:r>
      <w:r w:rsidRPr="00C0439D">
        <w:rPr>
          <w:rFonts w:ascii="Cambria" w:hAnsi="Cambria"/>
          <w:noProof/>
          <w:sz w:val="24"/>
        </w:rPr>
        <w:t xml:space="preserve"> (2014). doi:10.5281/zenodo.13367</w:t>
      </w:r>
    </w:p>
    <w:p w14:paraId="297BD3D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29.</w:t>
      </w:r>
      <w:r w:rsidRPr="00C0439D">
        <w:rPr>
          <w:rFonts w:ascii="Cambria" w:hAnsi="Cambria"/>
          <w:noProof/>
          <w:sz w:val="24"/>
        </w:rPr>
        <w:tab/>
        <w:t xml:space="preserve">Berkes, C. a &amp; Tapscott, S. J. MyoD and the transcriptional control of myogenesis. </w:t>
      </w:r>
      <w:r w:rsidRPr="00C0439D">
        <w:rPr>
          <w:rFonts w:ascii="Cambria" w:hAnsi="Cambria"/>
          <w:i/>
          <w:iCs/>
          <w:noProof/>
          <w:sz w:val="24"/>
        </w:rPr>
        <w:t>Semin. Cell Dev. Biol.</w:t>
      </w:r>
      <w:r w:rsidRPr="00C0439D">
        <w:rPr>
          <w:rFonts w:ascii="Cambria" w:hAnsi="Cambria"/>
          <w:noProof/>
          <w:sz w:val="24"/>
        </w:rPr>
        <w:t xml:space="preserve"> </w:t>
      </w:r>
      <w:r w:rsidRPr="00C0439D">
        <w:rPr>
          <w:rFonts w:ascii="Cambria" w:hAnsi="Cambria"/>
          <w:b/>
          <w:bCs/>
          <w:noProof/>
          <w:sz w:val="24"/>
        </w:rPr>
        <w:t>16,</w:t>
      </w:r>
      <w:r w:rsidRPr="00C0439D">
        <w:rPr>
          <w:rFonts w:ascii="Cambria" w:hAnsi="Cambria"/>
          <w:noProof/>
          <w:sz w:val="24"/>
        </w:rPr>
        <w:t xml:space="preserve"> 585–95 (2005).</w:t>
      </w:r>
    </w:p>
    <w:p w14:paraId="0E7BC1E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30.</w:t>
      </w:r>
      <w:r w:rsidRPr="00C0439D">
        <w:rPr>
          <w:rFonts w:ascii="Cambria" w:hAnsi="Cambria"/>
          <w:noProof/>
          <w:sz w:val="24"/>
        </w:rPr>
        <w:tab/>
        <w:t xml:space="preserve">Brown, D. M., Parr, T. &amp; Brameld, J. M. Myosin heavy chain mRNA isoforms are expressed in two distinct cohorts during C2C12 myogenesis. </w:t>
      </w:r>
      <w:r w:rsidRPr="00C0439D">
        <w:rPr>
          <w:rFonts w:ascii="Cambria" w:hAnsi="Cambria"/>
          <w:i/>
          <w:iCs/>
          <w:noProof/>
          <w:sz w:val="24"/>
        </w:rPr>
        <w:t>J. Muscle Res. Cell Motil.</w:t>
      </w:r>
      <w:r w:rsidRPr="00C0439D">
        <w:rPr>
          <w:rFonts w:ascii="Cambria" w:hAnsi="Cambria"/>
          <w:noProof/>
          <w:sz w:val="24"/>
        </w:rPr>
        <w:t xml:space="preserve"> </w:t>
      </w:r>
      <w:r w:rsidRPr="00C0439D">
        <w:rPr>
          <w:rFonts w:ascii="Cambria" w:hAnsi="Cambria"/>
          <w:b/>
          <w:bCs/>
          <w:noProof/>
          <w:sz w:val="24"/>
        </w:rPr>
        <w:t>32,</w:t>
      </w:r>
      <w:r w:rsidRPr="00C0439D">
        <w:rPr>
          <w:rFonts w:ascii="Cambria" w:hAnsi="Cambria"/>
          <w:noProof/>
          <w:sz w:val="24"/>
        </w:rPr>
        <w:t xml:space="preserve"> 383–90 (2012).</w:t>
      </w:r>
    </w:p>
    <w:p w14:paraId="3CCA244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31.</w:t>
      </w:r>
      <w:r w:rsidRPr="00C0439D">
        <w:rPr>
          <w:rFonts w:ascii="Cambria" w:hAnsi="Cambria"/>
          <w:noProof/>
          <w:sz w:val="24"/>
        </w:rPr>
        <w:tab/>
        <w:t xml:space="preserve">Conejo, R., Valverde, A. M., Benito, M. &amp; Lorenzo, M. Insulin produces myogenesis in C2C12 myoblasts by induction of NF-kappaB and downregulation of AP-1 activities. </w:t>
      </w:r>
      <w:r w:rsidRPr="00C0439D">
        <w:rPr>
          <w:rFonts w:ascii="Cambria" w:hAnsi="Cambria"/>
          <w:i/>
          <w:iCs/>
          <w:noProof/>
          <w:sz w:val="24"/>
        </w:rPr>
        <w:t>J. Cell. Physiol.</w:t>
      </w:r>
      <w:r w:rsidRPr="00C0439D">
        <w:rPr>
          <w:rFonts w:ascii="Cambria" w:hAnsi="Cambria"/>
          <w:noProof/>
          <w:sz w:val="24"/>
        </w:rPr>
        <w:t xml:space="preserve"> </w:t>
      </w:r>
      <w:r w:rsidRPr="00C0439D">
        <w:rPr>
          <w:rFonts w:ascii="Cambria" w:hAnsi="Cambria"/>
          <w:b/>
          <w:bCs/>
          <w:noProof/>
          <w:sz w:val="24"/>
        </w:rPr>
        <w:t>186,</w:t>
      </w:r>
      <w:r w:rsidRPr="00C0439D">
        <w:rPr>
          <w:rFonts w:ascii="Cambria" w:hAnsi="Cambria"/>
          <w:noProof/>
          <w:sz w:val="24"/>
        </w:rPr>
        <w:t xml:space="preserve"> 82–94 (2001).</w:t>
      </w:r>
    </w:p>
    <w:p w14:paraId="31DF0A4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32.</w:t>
      </w:r>
      <w:r w:rsidRPr="00C0439D">
        <w:rPr>
          <w:rFonts w:ascii="Cambria" w:hAnsi="Cambria"/>
          <w:noProof/>
          <w:sz w:val="24"/>
        </w:rPr>
        <w:tab/>
        <w:t xml:space="preserve">Coolican, S. A., Samuel, D. S., Ewton, D. Z., McWade, F. J. &amp; Florini, J. R. The Mitogenic and Myogenic Actions of Insulin-like Growth Factors Utilize Distinct Signaling Pathways.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272,</w:t>
      </w:r>
      <w:r w:rsidRPr="00C0439D">
        <w:rPr>
          <w:rFonts w:ascii="Cambria" w:hAnsi="Cambria"/>
          <w:noProof/>
          <w:sz w:val="24"/>
        </w:rPr>
        <w:t xml:space="preserve"> 6653–6662 (1997).</w:t>
      </w:r>
    </w:p>
    <w:p w14:paraId="5499B54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33.</w:t>
      </w:r>
      <w:r w:rsidRPr="00C0439D">
        <w:rPr>
          <w:rFonts w:ascii="Cambria" w:hAnsi="Cambria"/>
          <w:noProof/>
          <w:sz w:val="24"/>
        </w:rPr>
        <w:tab/>
        <w:t xml:space="preserve">Park, I.-H. &amp; Chen, J. Mammalian target of rapamycin (mTOR) signaling is required for a late-stage fusion process during skeletal myotube maturation.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280,</w:t>
      </w:r>
      <w:r w:rsidRPr="00C0439D">
        <w:rPr>
          <w:rFonts w:ascii="Cambria" w:hAnsi="Cambria"/>
          <w:noProof/>
          <w:sz w:val="24"/>
        </w:rPr>
        <w:t xml:space="preserve"> 32009–17 (2005).</w:t>
      </w:r>
    </w:p>
    <w:p w14:paraId="27CD730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34.</w:t>
      </w:r>
      <w:r w:rsidRPr="00C0439D">
        <w:rPr>
          <w:rFonts w:ascii="Cambria" w:hAnsi="Cambria"/>
          <w:noProof/>
          <w:sz w:val="24"/>
        </w:rPr>
        <w:tab/>
        <w:t xml:space="preserve">Murakami, M. </w:t>
      </w:r>
      <w:r w:rsidRPr="00C0439D">
        <w:rPr>
          <w:rFonts w:ascii="Cambria" w:hAnsi="Cambria"/>
          <w:i/>
          <w:iCs/>
          <w:noProof/>
          <w:sz w:val="24"/>
        </w:rPr>
        <w:t>et al.</w:t>
      </w:r>
      <w:r w:rsidRPr="00C0439D">
        <w:rPr>
          <w:rFonts w:ascii="Cambria" w:hAnsi="Cambria"/>
          <w:noProof/>
          <w:sz w:val="24"/>
        </w:rPr>
        <w:t xml:space="preserve"> mTOR is essential for growth and proliferation in early mouse embryos and embryonic stem cells. </w:t>
      </w:r>
      <w:r w:rsidRPr="00C0439D">
        <w:rPr>
          <w:rFonts w:ascii="Cambria" w:hAnsi="Cambria"/>
          <w:i/>
          <w:iCs/>
          <w:noProof/>
          <w:sz w:val="24"/>
        </w:rPr>
        <w:t>Mol. Cell. Biol.</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6710–8 (2004).</w:t>
      </w:r>
    </w:p>
    <w:p w14:paraId="0FC30A39"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35.</w:t>
      </w:r>
      <w:r w:rsidRPr="00C0439D">
        <w:rPr>
          <w:rFonts w:ascii="Cambria" w:hAnsi="Cambria"/>
          <w:noProof/>
          <w:sz w:val="24"/>
        </w:rPr>
        <w:tab/>
        <w:t xml:space="preserve">Duffy, J. B. GAL4 system in Drosophila: a fly geneticist’s Swiss army knife. </w:t>
      </w:r>
      <w:r w:rsidRPr="00C0439D">
        <w:rPr>
          <w:rFonts w:ascii="Cambria" w:hAnsi="Cambria"/>
          <w:i/>
          <w:iCs/>
          <w:noProof/>
          <w:sz w:val="24"/>
        </w:rPr>
        <w:t>Genesis</w:t>
      </w:r>
      <w:r w:rsidRPr="00C0439D">
        <w:rPr>
          <w:rFonts w:ascii="Cambria" w:hAnsi="Cambria"/>
          <w:noProof/>
          <w:sz w:val="24"/>
        </w:rPr>
        <w:t xml:space="preserve"> </w:t>
      </w:r>
      <w:r w:rsidRPr="00C0439D">
        <w:rPr>
          <w:rFonts w:ascii="Cambria" w:hAnsi="Cambria"/>
          <w:b/>
          <w:bCs/>
          <w:noProof/>
          <w:sz w:val="24"/>
        </w:rPr>
        <w:t>34,</w:t>
      </w:r>
      <w:r w:rsidRPr="00C0439D">
        <w:rPr>
          <w:rFonts w:ascii="Cambria" w:hAnsi="Cambria"/>
          <w:noProof/>
          <w:sz w:val="24"/>
        </w:rPr>
        <w:t xml:space="preserve"> 1–15 (2002).</w:t>
      </w:r>
    </w:p>
    <w:p w14:paraId="486BDA0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36.</w:t>
      </w:r>
      <w:r w:rsidRPr="00C0439D">
        <w:rPr>
          <w:rFonts w:ascii="Cambria" w:hAnsi="Cambria"/>
          <w:noProof/>
          <w:sz w:val="24"/>
        </w:rPr>
        <w:tab/>
        <w:t xml:space="preserve">Mantrova, E. Y., Schulz, R. a. &amp; Hsu, T. Oogenic function of the myogenic factor D-MEF2: Negative regulation of the Decapentaplegic receptor gene thick veins.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96,</w:t>
      </w:r>
      <w:r w:rsidRPr="00C0439D">
        <w:rPr>
          <w:rFonts w:ascii="Cambria" w:hAnsi="Cambria"/>
          <w:noProof/>
          <w:sz w:val="24"/>
        </w:rPr>
        <w:t xml:space="preserve"> 11889–11894 (1999).</w:t>
      </w:r>
    </w:p>
    <w:p w14:paraId="6C988759"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37.</w:t>
      </w:r>
      <w:r w:rsidRPr="00C0439D">
        <w:rPr>
          <w:rFonts w:ascii="Cambria" w:hAnsi="Cambria"/>
          <w:noProof/>
          <w:sz w:val="24"/>
        </w:rPr>
        <w:tab/>
        <w:t xml:space="preserve">Leffelaar, D. &amp; Grigliatti, T. A. A Mutation in Drosophila That Appears to Accelerate Aging. </w:t>
      </w:r>
      <w:r w:rsidRPr="00C0439D">
        <w:rPr>
          <w:rFonts w:ascii="Cambria" w:hAnsi="Cambria"/>
          <w:b/>
          <w:bCs/>
          <w:noProof/>
          <w:sz w:val="24"/>
        </w:rPr>
        <w:t>210,</w:t>
      </w:r>
      <w:r w:rsidRPr="00C0439D">
        <w:rPr>
          <w:rFonts w:ascii="Cambria" w:hAnsi="Cambria"/>
          <w:noProof/>
          <w:sz w:val="24"/>
        </w:rPr>
        <w:t xml:space="preserve"> 199–210 (1984).</w:t>
      </w:r>
    </w:p>
    <w:p w14:paraId="328D59B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38.</w:t>
      </w:r>
      <w:r w:rsidRPr="00C0439D">
        <w:rPr>
          <w:rFonts w:ascii="Cambria" w:hAnsi="Cambria"/>
          <w:noProof/>
          <w:sz w:val="24"/>
        </w:rPr>
        <w:tab/>
        <w:t xml:space="preserve">Demontis, F., Patel, V. K., Swindell, W. R. &amp; Perrimon, N. Intertissue Control of the Nucleolus via a Myokine-Dependent Longevity Pathway. </w:t>
      </w:r>
      <w:r w:rsidRPr="00C0439D">
        <w:rPr>
          <w:rFonts w:ascii="Cambria" w:hAnsi="Cambria"/>
          <w:i/>
          <w:iCs/>
          <w:noProof/>
          <w:sz w:val="24"/>
        </w:rPr>
        <w:t>Cell Rep.</w:t>
      </w:r>
      <w:r w:rsidRPr="00C0439D">
        <w:rPr>
          <w:rFonts w:ascii="Cambria" w:hAnsi="Cambria"/>
          <w:noProof/>
          <w:sz w:val="24"/>
        </w:rPr>
        <w:t xml:space="preserve"> 1–14 (2014). doi:10.1016/j.celrep.2014.05.001</w:t>
      </w:r>
    </w:p>
    <w:p w14:paraId="73B8A3F7"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39.</w:t>
      </w:r>
      <w:r w:rsidRPr="00C0439D">
        <w:rPr>
          <w:rFonts w:ascii="Cambria" w:hAnsi="Cambria"/>
          <w:noProof/>
          <w:sz w:val="24"/>
        </w:rPr>
        <w:tab/>
        <w:t xml:space="preserve">Demontis, F. &amp; Perrimon, N. FOXO/4E-BP signaling in Drosophila muscles regulates organism-wide proteostasis during aging.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143,</w:t>
      </w:r>
      <w:r w:rsidRPr="00C0439D">
        <w:rPr>
          <w:rFonts w:ascii="Cambria" w:hAnsi="Cambria"/>
          <w:noProof/>
          <w:sz w:val="24"/>
        </w:rPr>
        <w:t xml:space="preserve"> 813–25 (2010).</w:t>
      </w:r>
    </w:p>
    <w:p w14:paraId="0D7721A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40.</w:t>
      </w:r>
      <w:r w:rsidRPr="00C0439D">
        <w:rPr>
          <w:rFonts w:ascii="Cambria" w:hAnsi="Cambria"/>
          <w:noProof/>
          <w:sz w:val="24"/>
        </w:rPr>
        <w:tab/>
        <w:t xml:space="preserve">Walker, D. W. </w:t>
      </w:r>
      <w:r w:rsidRPr="00C0439D">
        <w:rPr>
          <w:rFonts w:ascii="Cambria" w:hAnsi="Cambria"/>
          <w:i/>
          <w:iCs/>
          <w:noProof/>
          <w:sz w:val="24"/>
        </w:rPr>
        <w:t>et al.</w:t>
      </w:r>
      <w:r w:rsidRPr="00C0439D">
        <w:rPr>
          <w:rFonts w:ascii="Cambria" w:hAnsi="Cambria"/>
          <w:noProof/>
          <w:sz w:val="24"/>
        </w:rPr>
        <w:t xml:space="preserve"> Hypersensitivity to oxygen and shortened lifespan in a Drosophila mitochondrial complex II mutant.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103,</w:t>
      </w:r>
      <w:r w:rsidRPr="00C0439D">
        <w:rPr>
          <w:rFonts w:ascii="Cambria" w:hAnsi="Cambria"/>
          <w:noProof/>
          <w:sz w:val="24"/>
        </w:rPr>
        <w:t xml:space="preserve"> 16382–7 (2006).</w:t>
      </w:r>
    </w:p>
    <w:p w14:paraId="2E54003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41.</w:t>
      </w:r>
      <w:r w:rsidRPr="00C0439D">
        <w:rPr>
          <w:rFonts w:ascii="Cambria" w:hAnsi="Cambria"/>
          <w:noProof/>
          <w:sz w:val="24"/>
        </w:rPr>
        <w:tab/>
        <w:t xml:space="preserve">Pia, L., Heikkinen, E. &amp; Kauppinen, M. Muscle Strength and Mobility as Predictors of Survival in 75–84 - Year - old People. </w:t>
      </w:r>
      <w:r w:rsidRPr="00C0439D">
        <w:rPr>
          <w:rFonts w:ascii="Cambria" w:hAnsi="Cambria"/>
          <w:i/>
          <w:iCs/>
          <w:noProof/>
          <w:sz w:val="24"/>
        </w:rPr>
        <w:t>Age Ageing</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468–473 (1995).</w:t>
      </w:r>
    </w:p>
    <w:p w14:paraId="6799A01D"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42.</w:t>
      </w:r>
      <w:r w:rsidRPr="00C0439D">
        <w:rPr>
          <w:rFonts w:ascii="Cambria" w:hAnsi="Cambria"/>
          <w:noProof/>
          <w:sz w:val="24"/>
        </w:rPr>
        <w:tab/>
        <w:t xml:space="preserve">Ruiz, J. R. </w:t>
      </w:r>
      <w:r w:rsidRPr="00C0439D">
        <w:rPr>
          <w:rFonts w:ascii="Cambria" w:hAnsi="Cambria"/>
          <w:i/>
          <w:iCs/>
          <w:noProof/>
          <w:sz w:val="24"/>
        </w:rPr>
        <w:t>et al.</w:t>
      </w:r>
      <w:r w:rsidRPr="00C0439D">
        <w:rPr>
          <w:rFonts w:ascii="Cambria" w:hAnsi="Cambria"/>
          <w:noProof/>
          <w:sz w:val="24"/>
        </w:rPr>
        <w:t xml:space="preserve"> Association between muscular strength and mortality in men: prospective cohort study. </w:t>
      </w:r>
      <w:r w:rsidRPr="00C0439D">
        <w:rPr>
          <w:rFonts w:ascii="Cambria" w:hAnsi="Cambria"/>
          <w:i/>
          <w:iCs/>
          <w:noProof/>
          <w:sz w:val="24"/>
        </w:rPr>
        <w:t>BMJ</w:t>
      </w:r>
      <w:r w:rsidRPr="00C0439D">
        <w:rPr>
          <w:rFonts w:ascii="Cambria" w:hAnsi="Cambria"/>
          <w:noProof/>
          <w:sz w:val="24"/>
        </w:rPr>
        <w:t xml:space="preserve"> </w:t>
      </w:r>
      <w:r w:rsidRPr="00C0439D">
        <w:rPr>
          <w:rFonts w:ascii="Cambria" w:hAnsi="Cambria"/>
          <w:b/>
          <w:bCs/>
          <w:noProof/>
          <w:sz w:val="24"/>
        </w:rPr>
        <w:t>337,</w:t>
      </w:r>
      <w:r w:rsidRPr="00C0439D">
        <w:rPr>
          <w:rFonts w:ascii="Cambria" w:hAnsi="Cambria"/>
          <w:noProof/>
          <w:sz w:val="24"/>
        </w:rPr>
        <w:t xml:space="preserve"> a439 (2008).</w:t>
      </w:r>
    </w:p>
    <w:p w14:paraId="0BA059B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43.</w:t>
      </w:r>
      <w:r w:rsidRPr="00C0439D">
        <w:rPr>
          <w:rFonts w:ascii="Cambria" w:hAnsi="Cambria"/>
          <w:noProof/>
          <w:sz w:val="24"/>
        </w:rPr>
        <w:tab/>
        <w:t xml:space="preserve">Cooper, R., Kuh, D. &amp; Hardy, R. Objectively measured physical capability levels and mortality: systematic review and meta-analysis. </w:t>
      </w:r>
      <w:r w:rsidRPr="00C0439D">
        <w:rPr>
          <w:rFonts w:ascii="Cambria" w:hAnsi="Cambria"/>
          <w:i/>
          <w:iCs/>
          <w:noProof/>
          <w:sz w:val="24"/>
        </w:rPr>
        <w:t>BMJ</w:t>
      </w:r>
      <w:r w:rsidRPr="00C0439D">
        <w:rPr>
          <w:rFonts w:ascii="Cambria" w:hAnsi="Cambria"/>
          <w:noProof/>
          <w:sz w:val="24"/>
        </w:rPr>
        <w:t xml:space="preserve"> </w:t>
      </w:r>
      <w:r w:rsidRPr="00C0439D">
        <w:rPr>
          <w:rFonts w:ascii="Cambria" w:hAnsi="Cambria"/>
          <w:b/>
          <w:bCs/>
          <w:noProof/>
          <w:sz w:val="24"/>
        </w:rPr>
        <w:t>341,</w:t>
      </w:r>
      <w:r w:rsidRPr="00C0439D">
        <w:rPr>
          <w:rFonts w:ascii="Cambria" w:hAnsi="Cambria"/>
          <w:noProof/>
          <w:sz w:val="24"/>
        </w:rPr>
        <w:t xml:space="preserve"> c4467 (2010).</w:t>
      </w:r>
    </w:p>
    <w:p w14:paraId="219EB1E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44.</w:t>
      </w:r>
      <w:r w:rsidRPr="00C0439D">
        <w:rPr>
          <w:rFonts w:ascii="Cambria" w:hAnsi="Cambria"/>
          <w:noProof/>
          <w:sz w:val="24"/>
        </w:rPr>
        <w:tab/>
        <w:t xml:space="preserve">Rogerson, P. J., Jamali, M. &amp; Skerjanc, I. S. The C-terminus of myogenin, but not MyoD, targets upregulation of MEF2C expression. </w:t>
      </w:r>
      <w:r w:rsidRPr="00C0439D">
        <w:rPr>
          <w:rFonts w:ascii="Cambria" w:hAnsi="Cambria"/>
          <w:i/>
          <w:iCs/>
          <w:noProof/>
          <w:sz w:val="24"/>
        </w:rPr>
        <w:t>FEBS Lett.</w:t>
      </w:r>
      <w:r w:rsidRPr="00C0439D">
        <w:rPr>
          <w:rFonts w:ascii="Cambria" w:hAnsi="Cambria"/>
          <w:noProof/>
          <w:sz w:val="24"/>
        </w:rPr>
        <w:t xml:space="preserve"> </w:t>
      </w:r>
      <w:r w:rsidRPr="00C0439D">
        <w:rPr>
          <w:rFonts w:ascii="Cambria" w:hAnsi="Cambria"/>
          <w:b/>
          <w:bCs/>
          <w:noProof/>
          <w:sz w:val="24"/>
        </w:rPr>
        <w:t>524,</w:t>
      </w:r>
      <w:r w:rsidRPr="00C0439D">
        <w:rPr>
          <w:rFonts w:ascii="Cambria" w:hAnsi="Cambria"/>
          <w:noProof/>
          <w:sz w:val="24"/>
        </w:rPr>
        <w:t xml:space="preserve"> 134–8 (2002).</w:t>
      </w:r>
    </w:p>
    <w:p w14:paraId="601AA38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45.</w:t>
      </w:r>
      <w:r w:rsidRPr="00C0439D">
        <w:rPr>
          <w:rFonts w:ascii="Cambria" w:hAnsi="Cambria"/>
          <w:noProof/>
          <w:sz w:val="24"/>
        </w:rPr>
        <w:tab/>
        <w:t xml:space="preserve">Luo, L., Joyce Liao, Y., Jan, L. Y. &amp; Jan, Y. N. Distinct morphogenetic functions of similar small GTPases: Drosophila Drac1 is involved in axonal outgrowth and myoblast fusion. </w:t>
      </w:r>
      <w:r w:rsidRPr="00C0439D">
        <w:rPr>
          <w:rFonts w:ascii="Cambria" w:hAnsi="Cambria"/>
          <w:i/>
          <w:iCs/>
          <w:noProof/>
          <w:sz w:val="24"/>
        </w:rPr>
        <w:t>Genes Dev.</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1787–1802 (1994).</w:t>
      </w:r>
    </w:p>
    <w:p w14:paraId="79008B5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46.</w:t>
      </w:r>
      <w:r w:rsidRPr="00C0439D">
        <w:rPr>
          <w:rFonts w:ascii="Cambria" w:hAnsi="Cambria"/>
          <w:noProof/>
          <w:sz w:val="24"/>
        </w:rPr>
        <w:tab/>
        <w:t xml:space="preserve">Ranganayakulu, G., Schulz, R. A. &amp; Olson, E. N. Wingless Signaling Induces nautilus Expression in the Ventral Mesoderm of the Drosophila Embryo. </w:t>
      </w:r>
      <w:r w:rsidRPr="00C0439D">
        <w:rPr>
          <w:rFonts w:ascii="Cambria" w:hAnsi="Cambria"/>
          <w:b/>
          <w:bCs/>
          <w:noProof/>
          <w:sz w:val="24"/>
        </w:rPr>
        <w:t>148,</w:t>
      </w:r>
      <w:r w:rsidRPr="00C0439D">
        <w:rPr>
          <w:rFonts w:ascii="Cambria" w:hAnsi="Cambria"/>
          <w:noProof/>
          <w:sz w:val="24"/>
        </w:rPr>
        <w:t xml:space="preserve"> 143–148 (1996).</w:t>
      </w:r>
    </w:p>
    <w:p w14:paraId="24EEA13D"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47.</w:t>
      </w:r>
      <w:r w:rsidRPr="00C0439D">
        <w:rPr>
          <w:rFonts w:ascii="Cambria" w:hAnsi="Cambria"/>
          <w:noProof/>
          <w:sz w:val="24"/>
        </w:rPr>
        <w:tab/>
        <w:t xml:space="preserve">Anh, N. T. T., Nishitani, M., Harada, S., Yamaguchi, M. &amp; Kamei, K. Essential role of Duox in stabilization of Drosophila wing.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286,</w:t>
      </w:r>
      <w:r w:rsidRPr="00C0439D">
        <w:rPr>
          <w:rFonts w:ascii="Cambria" w:hAnsi="Cambria"/>
          <w:noProof/>
          <w:sz w:val="24"/>
        </w:rPr>
        <w:t xml:space="preserve"> 33244–51 (2011).</w:t>
      </w:r>
    </w:p>
    <w:p w14:paraId="71AC54C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48.</w:t>
      </w:r>
      <w:r w:rsidRPr="00C0439D">
        <w:rPr>
          <w:rFonts w:ascii="Cambria" w:hAnsi="Cambria"/>
          <w:noProof/>
          <w:sz w:val="24"/>
        </w:rPr>
        <w:tab/>
        <w:t xml:space="preserve">Celis, J. F. De </w:t>
      </w:r>
      <w:r w:rsidRPr="00C0439D">
        <w:rPr>
          <w:rFonts w:ascii="Cambria" w:hAnsi="Cambria"/>
          <w:i/>
          <w:iCs/>
          <w:noProof/>
          <w:sz w:val="24"/>
        </w:rPr>
        <w:t>et al.</w:t>
      </w:r>
      <w:r w:rsidRPr="00C0439D">
        <w:rPr>
          <w:rFonts w:ascii="Cambria" w:hAnsi="Cambria"/>
          <w:noProof/>
          <w:sz w:val="24"/>
        </w:rPr>
        <w:t xml:space="preserve"> Functional relationships between Notch , Su ( H ) and the bHLH genes of the during imaginal development. </w:t>
      </w:r>
      <w:r w:rsidRPr="00C0439D">
        <w:rPr>
          <w:rFonts w:ascii="Cambria" w:hAnsi="Cambria"/>
          <w:b/>
          <w:bCs/>
          <w:noProof/>
          <w:sz w:val="24"/>
        </w:rPr>
        <w:t>2728,</w:t>
      </w:r>
      <w:r w:rsidRPr="00C0439D">
        <w:rPr>
          <w:rFonts w:ascii="Cambria" w:hAnsi="Cambria"/>
          <w:noProof/>
          <w:sz w:val="24"/>
        </w:rPr>
        <w:t xml:space="preserve"> 2719–2728 (1996).</w:t>
      </w:r>
    </w:p>
    <w:p w14:paraId="7B3D82A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49.</w:t>
      </w:r>
      <w:r w:rsidRPr="00C0439D">
        <w:rPr>
          <w:rFonts w:ascii="Cambria" w:hAnsi="Cambria"/>
          <w:noProof/>
          <w:sz w:val="24"/>
        </w:rPr>
        <w:tab/>
        <w:t xml:space="preserve">Corbin, V. </w:t>
      </w:r>
      <w:r w:rsidRPr="00C0439D">
        <w:rPr>
          <w:rFonts w:ascii="Cambria" w:hAnsi="Cambria"/>
          <w:i/>
          <w:iCs/>
          <w:noProof/>
          <w:sz w:val="24"/>
        </w:rPr>
        <w:t>et al.</w:t>
      </w:r>
      <w:r w:rsidRPr="00C0439D">
        <w:rPr>
          <w:rFonts w:ascii="Cambria" w:hAnsi="Cambria"/>
          <w:noProof/>
          <w:sz w:val="24"/>
        </w:rPr>
        <w:t xml:space="preserve"> A role for the Drosophila neurogenic genes in mesoderm differentiation.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67,</w:t>
      </w:r>
      <w:r w:rsidRPr="00C0439D">
        <w:rPr>
          <w:rFonts w:ascii="Cambria" w:hAnsi="Cambria"/>
          <w:noProof/>
          <w:sz w:val="24"/>
        </w:rPr>
        <w:t xml:space="preserve"> 311–323 (1991).</w:t>
      </w:r>
    </w:p>
    <w:p w14:paraId="01C92BA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50.</w:t>
      </w:r>
      <w:r w:rsidRPr="00C0439D">
        <w:rPr>
          <w:rFonts w:ascii="Cambria" w:hAnsi="Cambria"/>
          <w:noProof/>
          <w:sz w:val="24"/>
        </w:rPr>
        <w:tab/>
        <w:t xml:space="preserve">Graveley, B. R. </w:t>
      </w:r>
      <w:r w:rsidRPr="00C0439D">
        <w:rPr>
          <w:rFonts w:ascii="Cambria" w:hAnsi="Cambria"/>
          <w:i/>
          <w:iCs/>
          <w:noProof/>
          <w:sz w:val="24"/>
        </w:rPr>
        <w:t>et al.</w:t>
      </w:r>
      <w:r w:rsidRPr="00C0439D">
        <w:rPr>
          <w:rFonts w:ascii="Cambria" w:hAnsi="Cambria"/>
          <w:noProof/>
          <w:sz w:val="24"/>
        </w:rPr>
        <w:t xml:space="preserve"> The developmental transcriptome of Drosophila melanogaster.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471,</w:t>
      </w:r>
      <w:r w:rsidRPr="00C0439D">
        <w:rPr>
          <w:rFonts w:ascii="Cambria" w:hAnsi="Cambria"/>
          <w:noProof/>
          <w:sz w:val="24"/>
        </w:rPr>
        <w:t xml:space="preserve"> 473–479 (2011).</w:t>
      </w:r>
    </w:p>
    <w:p w14:paraId="1D9BDB4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51.</w:t>
      </w:r>
      <w:r w:rsidRPr="00C0439D">
        <w:rPr>
          <w:rFonts w:ascii="Cambria" w:hAnsi="Cambria"/>
          <w:noProof/>
          <w:sz w:val="24"/>
        </w:rPr>
        <w:tab/>
        <w:t xml:space="preserve">Kapahi, P. </w:t>
      </w:r>
      <w:r w:rsidRPr="00C0439D">
        <w:rPr>
          <w:rFonts w:ascii="Cambria" w:hAnsi="Cambria"/>
          <w:i/>
          <w:iCs/>
          <w:noProof/>
          <w:sz w:val="24"/>
        </w:rPr>
        <w:t>et al.</w:t>
      </w:r>
      <w:r w:rsidRPr="00C0439D">
        <w:rPr>
          <w:rFonts w:ascii="Cambria" w:hAnsi="Cambria"/>
          <w:noProof/>
          <w:sz w:val="24"/>
        </w:rPr>
        <w:t xml:space="preserve"> Regulation of lifespan in Drosophila by modulation of genes in the TOR signaling pathway. </w:t>
      </w:r>
      <w:r w:rsidRPr="00C0439D">
        <w:rPr>
          <w:rFonts w:ascii="Cambria" w:hAnsi="Cambria"/>
          <w:i/>
          <w:iCs/>
          <w:noProof/>
          <w:sz w:val="24"/>
        </w:rPr>
        <w:t>Curr. Biol.</w:t>
      </w:r>
      <w:r w:rsidRPr="00C0439D">
        <w:rPr>
          <w:rFonts w:ascii="Cambria" w:hAnsi="Cambria"/>
          <w:noProof/>
          <w:sz w:val="24"/>
        </w:rPr>
        <w:t xml:space="preserve"> </w:t>
      </w:r>
      <w:r w:rsidRPr="00C0439D">
        <w:rPr>
          <w:rFonts w:ascii="Cambria" w:hAnsi="Cambria"/>
          <w:b/>
          <w:bCs/>
          <w:noProof/>
          <w:sz w:val="24"/>
        </w:rPr>
        <w:t>14,</w:t>
      </w:r>
      <w:r w:rsidRPr="00C0439D">
        <w:rPr>
          <w:rFonts w:ascii="Cambria" w:hAnsi="Cambria"/>
          <w:noProof/>
          <w:sz w:val="24"/>
        </w:rPr>
        <w:t xml:space="preserve"> 885–90 (2004).</w:t>
      </w:r>
    </w:p>
    <w:p w14:paraId="7F378B61"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52.</w:t>
      </w:r>
      <w:r w:rsidRPr="00C0439D">
        <w:rPr>
          <w:rFonts w:ascii="Cambria" w:hAnsi="Cambria"/>
          <w:noProof/>
          <w:sz w:val="24"/>
        </w:rPr>
        <w:tab/>
        <w:t xml:space="preserve">Bentzinger, C. F. </w:t>
      </w:r>
      <w:r w:rsidRPr="00C0439D">
        <w:rPr>
          <w:rFonts w:ascii="Cambria" w:hAnsi="Cambria"/>
          <w:i/>
          <w:iCs/>
          <w:noProof/>
          <w:sz w:val="24"/>
        </w:rPr>
        <w:t>et al.</w:t>
      </w:r>
      <w:r w:rsidRPr="00C0439D">
        <w:rPr>
          <w:rFonts w:ascii="Cambria" w:hAnsi="Cambria"/>
          <w:noProof/>
          <w:sz w:val="24"/>
        </w:rPr>
        <w:t xml:space="preserve"> Skeletal muscle-specific ablation of raptor, but not of rictor, causes metabolic changes and results in muscle dystrophy. </w:t>
      </w:r>
      <w:r w:rsidRPr="00C0439D">
        <w:rPr>
          <w:rFonts w:ascii="Cambria" w:hAnsi="Cambria"/>
          <w:i/>
          <w:iCs/>
          <w:noProof/>
          <w:sz w:val="24"/>
        </w:rPr>
        <w:t>Cell Metab.</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411–24 (2008).</w:t>
      </w:r>
    </w:p>
    <w:p w14:paraId="10EB0A9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53.</w:t>
      </w:r>
      <w:r w:rsidRPr="00C0439D">
        <w:rPr>
          <w:rFonts w:ascii="Cambria" w:hAnsi="Cambria"/>
          <w:noProof/>
          <w:sz w:val="24"/>
        </w:rPr>
        <w:tab/>
        <w:t xml:space="preserve">Schwander, M. </w:t>
      </w:r>
      <w:r w:rsidRPr="00C0439D">
        <w:rPr>
          <w:rFonts w:ascii="Cambria" w:hAnsi="Cambria"/>
          <w:i/>
          <w:iCs/>
          <w:noProof/>
          <w:sz w:val="24"/>
        </w:rPr>
        <w:t>et al.</w:t>
      </w:r>
      <w:r w:rsidRPr="00C0439D">
        <w:rPr>
          <w:rFonts w:ascii="Cambria" w:hAnsi="Cambria"/>
          <w:noProof/>
          <w:sz w:val="24"/>
        </w:rPr>
        <w:t xml:space="preserve"> Beta1 integrins regulate myoblast fusion and sarcomere assembly. </w:t>
      </w:r>
      <w:r w:rsidRPr="00C0439D">
        <w:rPr>
          <w:rFonts w:ascii="Cambria" w:hAnsi="Cambria"/>
          <w:i/>
          <w:iCs/>
          <w:noProof/>
          <w:sz w:val="24"/>
        </w:rPr>
        <w:t>Dev. Cell</w:t>
      </w:r>
      <w:r w:rsidRPr="00C0439D">
        <w:rPr>
          <w:rFonts w:ascii="Cambria" w:hAnsi="Cambria"/>
          <w:noProof/>
          <w:sz w:val="24"/>
        </w:rPr>
        <w:t xml:space="preserve"> </w:t>
      </w:r>
      <w:r w:rsidRPr="00C0439D">
        <w:rPr>
          <w:rFonts w:ascii="Cambria" w:hAnsi="Cambria"/>
          <w:b/>
          <w:bCs/>
          <w:noProof/>
          <w:sz w:val="24"/>
        </w:rPr>
        <w:t>4,</w:t>
      </w:r>
      <w:r w:rsidRPr="00C0439D">
        <w:rPr>
          <w:rFonts w:ascii="Cambria" w:hAnsi="Cambria"/>
          <w:noProof/>
          <w:sz w:val="24"/>
        </w:rPr>
        <w:t xml:space="preserve"> 673–85 (2003).</w:t>
      </w:r>
    </w:p>
    <w:p w14:paraId="240304F9" w14:textId="77777777" w:rsidR="00C0439D" w:rsidRDefault="00C0439D">
      <w:pPr>
        <w:pStyle w:val="NormalWeb"/>
        <w:ind w:left="640" w:hanging="640"/>
        <w:divId w:val="960110724"/>
        <w:rPr>
          <w:rFonts w:ascii="Cambria" w:hAnsi="Cambria"/>
          <w:noProof/>
          <w:sz w:val="24"/>
        </w:rPr>
      </w:pPr>
      <w:r w:rsidRPr="00C0439D">
        <w:rPr>
          <w:rFonts w:ascii="Cambria" w:hAnsi="Cambria"/>
          <w:noProof/>
          <w:sz w:val="24"/>
        </w:rPr>
        <w:t>54.</w:t>
      </w:r>
      <w:r w:rsidRPr="00C0439D">
        <w:rPr>
          <w:rFonts w:ascii="Cambria" w:hAnsi="Cambria"/>
          <w:noProof/>
          <w:sz w:val="24"/>
        </w:rPr>
        <w:tab/>
        <w:t xml:space="preserve">Rodgers, J. T. </w:t>
      </w:r>
      <w:r w:rsidRPr="00C0439D">
        <w:rPr>
          <w:rFonts w:ascii="Cambria" w:hAnsi="Cambria"/>
          <w:i/>
          <w:iCs/>
          <w:noProof/>
          <w:sz w:val="24"/>
        </w:rPr>
        <w:t>et al.</w:t>
      </w:r>
      <w:r w:rsidRPr="00C0439D">
        <w:rPr>
          <w:rFonts w:ascii="Cambria" w:hAnsi="Cambria"/>
          <w:noProof/>
          <w:sz w:val="24"/>
        </w:rPr>
        <w:t xml:space="preserve"> mTORC1 controls the adaptive transition of quiescent stem cells from G0 to G(Alert).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509,</w:t>
      </w:r>
      <w:r w:rsidRPr="00C0439D">
        <w:rPr>
          <w:rFonts w:ascii="Cambria" w:hAnsi="Cambria"/>
          <w:noProof/>
          <w:sz w:val="24"/>
        </w:rPr>
        <w:t xml:space="preserve"> 393–6 (2014). </w:t>
      </w:r>
    </w:p>
    <w:p w14:paraId="24D31170" w14:textId="77777777" w:rsidR="00A17141" w:rsidRDefault="00A17141">
      <w:pPr>
        <w:pStyle w:val="NormalWeb"/>
        <w:ind w:left="640" w:hanging="640"/>
        <w:divId w:val="960110724"/>
        <w:rPr>
          <w:rFonts w:ascii="Cambria" w:hAnsi="Cambria"/>
          <w:noProof/>
          <w:sz w:val="24"/>
        </w:rPr>
      </w:pPr>
    </w:p>
    <w:p w14:paraId="5050C08A" w14:textId="44F75994" w:rsidR="00A17141" w:rsidRDefault="00A17141" w:rsidP="00845570">
      <w:pPr>
        <w:pStyle w:val="Heading2"/>
        <w:spacing w:line="480" w:lineRule="auto"/>
        <w:divId w:val="960110724"/>
        <w:rPr>
          <w:noProof/>
        </w:rPr>
      </w:pPr>
      <w:r>
        <w:rPr>
          <w:noProof/>
        </w:rPr>
        <w:t>Author Responsibilities</w:t>
      </w:r>
    </w:p>
    <w:p w14:paraId="60346EBC" w14:textId="6A6284DC" w:rsidR="00A17141" w:rsidRDefault="009E646D" w:rsidP="00845570">
      <w:pPr>
        <w:spacing w:line="480" w:lineRule="auto"/>
        <w:divId w:val="960110724"/>
      </w:pPr>
      <w:r>
        <w:t>D.B, L.T.R., I.H.</w:t>
      </w:r>
      <w:r w:rsidR="00845570">
        <w:t xml:space="preserve"> and I.H</w:t>
      </w:r>
      <w:r>
        <w:t>.</w:t>
      </w:r>
      <w:r w:rsidR="00845570">
        <w:t xml:space="preserve"> wrote the manuscript text.  </w:t>
      </w:r>
      <w:r w:rsidR="00A17141">
        <w:t>I.H</w:t>
      </w:r>
      <w:r>
        <w:t>.</w:t>
      </w:r>
      <w:r w:rsidR="00A17141">
        <w:t xml:space="preserve"> performed the experiments in Figure </w:t>
      </w:r>
      <w:r w:rsidR="00845570">
        <w:t>1a,b and 3.  D.B performed the experim</w:t>
      </w:r>
      <w:r>
        <w:t>ents in Figure 1c-d and 4b.  I.</w:t>
      </w:r>
      <w:bookmarkStart w:id="0" w:name="_GoBack"/>
      <w:bookmarkEnd w:id="0"/>
      <w:r w:rsidR="00845570">
        <w:t>H</w:t>
      </w:r>
      <w:r>
        <w:t>.</w:t>
      </w:r>
      <w:r w:rsidR="00845570">
        <w:t xml:space="preserve"> performed the experiments in Figures 2, 3, 5 and 6 as well as Supplementary Figures 1 and 2. L.T.R. performed the experiments in Figure 4a.  E.R.Y and J.R.R. performed the experiments in Figure 7.  All authors reviewed the manuscript</w:t>
      </w:r>
      <w:r w:rsidR="00A13183">
        <w:t>.</w:t>
      </w:r>
    </w:p>
    <w:p w14:paraId="221EE5CD" w14:textId="77777777" w:rsidR="00A13183" w:rsidRDefault="00A13183" w:rsidP="00845570">
      <w:pPr>
        <w:spacing w:line="480" w:lineRule="auto"/>
        <w:divId w:val="960110724"/>
      </w:pPr>
    </w:p>
    <w:p w14:paraId="648A15A4" w14:textId="13F7033A" w:rsidR="00A13183" w:rsidRDefault="00A13183" w:rsidP="00A13183">
      <w:pPr>
        <w:pStyle w:val="Heading2"/>
        <w:spacing w:line="480" w:lineRule="auto"/>
        <w:divId w:val="960110724"/>
      </w:pPr>
      <w:r>
        <w:t>Additional Information</w:t>
      </w:r>
    </w:p>
    <w:p w14:paraId="064378A1" w14:textId="65776093" w:rsidR="00A13183" w:rsidRPr="00A13183" w:rsidRDefault="00A13183" w:rsidP="00A13183">
      <w:pPr>
        <w:spacing w:line="480" w:lineRule="auto"/>
        <w:divId w:val="960110724"/>
      </w:pPr>
      <w:r>
        <w:t>The authors declare no competing financial interests.</w:t>
      </w:r>
    </w:p>
    <w:p w14:paraId="206D1623" w14:textId="77777777" w:rsidR="00A13183" w:rsidRPr="00A17141" w:rsidRDefault="00A13183" w:rsidP="00845570">
      <w:pPr>
        <w:spacing w:line="480" w:lineRule="auto"/>
        <w:divId w:val="960110724"/>
      </w:pPr>
    </w:p>
    <w:p w14:paraId="41FF71FC" w14:textId="08BA07F6" w:rsidR="00234C0A" w:rsidRPr="008C6740" w:rsidRDefault="00D07587" w:rsidP="00C0439D">
      <w:pPr>
        <w:pStyle w:val="NormalWeb"/>
        <w:ind w:left="640" w:hanging="640"/>
        <w:divId w:val="1553274026"/>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5910571B"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w:t>
      </w:r>
      <w:r w:rsidR="00AC681A">
        <w:rPr>
          <w:noProof/>
        </w:rPr>
        <w:t>2 myoblasts in response to 10</w:t>
      </w:r>
      <w:r w:rsidRPr="00E56C2A">
        <w:rPr>
          <w:noProof/>
        </w:rPr>
        <w:t xml:space="preserve">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66B1A3FD"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1D2BA2">
        <w:rPr>
          <w:rFonts w:cs="Times"/>
        </w:rPr>
        <w:t>b</w:t>
      </w:r>
      <w:r w:rsidR="00E21A55">
        <w:rPr>
          <w:rFonts w:cs="Times"/>
        </w:rPr>
        <w:t xml:space="preserve">) </w:t>
      </w:r>
      <w:r w:rsidR="00296E19">
        <w:rPr>
          <w:rFonts w:cs="Times"/>
        </w:rPr>
        <w:t xml:space="preserve">show the total number of flies </w:t>
      </w:r>
      <w:proofErr w:type="spellStart"/>
      <w:r w:rsidR="00296E19">
        <w:rPr>
          <w:rFonts w:cs="Times"/>
        </w:rPr>
        <w:t>eclosed</w:t>
      </w:r>
      <w:proofErr w:type="spellEnd"/>
      <w:r w:rsidR="00296E19">
        <w:rPr>
          <w:rFonts w:cs="Times"/>
        </w:rPr>
        <w:t xml:space="preserve">;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485414">
        <w:rPr>
          <w:rFonts w:cs="Times"/>
        </w:rPr>
        <w:t xml:space="preserve">Wilcoxon </w:t>
      </w:r>
      <w:r w:rsidR="00296E19">
        <w:rPr>
          <w:rFonts w:cs="Times"/>
        </w:rPr>
        <w:t>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0FE562AB"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r w:rsidR="00B51EDB">
        <w:rPr>
          <w:rFonts w:cs="Times"/>
        </w:rPr>
        <w:t xml:space="preserve">expected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w:t>
      </w:r>
      <w:r w:rsidR="001D2BA2">
        <w:rPr>
          <w:rFonts w:cs="Times"/>
        </w:rPr>
        <w:t>b</w:t>
      </w:r>
      <w:r w:rsidR="00303CDF">
        <w:rPr>
          <w:rFonts w:cs="Times"/>
        </w:rPr>
        <w:t xml:space="preserve">)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w:t>
      </w:r>
      <w:r w:rsidR="00303CDF">
        <w:rPr>
          <w:rFonts w:cs="Times"/>
          <w:i/>
        </w:rPr>
        <w:t>Mef2-</w:t>
      </w:r>
      <w:r w:rsidR="00303CDF" w:rsidRPr="0005343F">
        <w:rPr>
          <w:rFonts w:cs="Times"/>
        </w:rPr>
        <w:t>GAL4</w:t>
      </w:r>
      <w:r w:rsidR="00B51EDB">
        <w:rPr>
          <w:rFonts w:cs="Times"/>
        </w:rPr>
        <w:t xml:space="preserve"> </w:t>
      </w:r>
      <w:r w:rsidR="00303CDF">
        <w:rPr>
          <w:rFonts w:cs="Times"/>
          <w:i/>
        </w:rPr>
        <w:t>&gt;</w:t>
      </w:r>
      <w:r w:rsidR="00B51EDB">
        <w:rPr>
          <w:rFonts w:cs="Times"/>
          <w:i/>
        </w:rPr>
        <w:t xml:space="preserve"> </w:t>
      </w:r>
      <w:r w:rsidR="00303CDF">
        <w:rPr>
          <w:rFonts w:cs="Times"/>
          <w:i/>
        </w:rPr>
        <w:t xml:space="preserve">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 xml:space="preserve">had </w:t>
      </w:r>
      <w:r w:rsidR="00B51EDB">
        <w:rPr>
          <w:rFonts w:cs="Times"/>
        </w:rPr>
        <w:t xml:space="preserve">significantly </w:t>
      </w:r>
      <w:r w:rsidR="00303CDF">
        <w:rPr>
          <w:rFonts w:cs="Times"/>
        </w:rPr>
        <w:t>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00E69745"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r w:rsidR="00531BAB" w:rsidRPr="00531BAB">
        <w:rPr>
          <w:rFonts w:cs="Times"/>
        </w:rPr>
        <w:t xml:space="preserve"> </w:t>
      </w:r>
      <w:r w:rsidR="00531BAB" w:rsidRPr="00531BAB">
        <w:rPr>
          <w:rFonts w:cs="Times"/>
          <w:i/>
        </w:rPr>
        <w:t>C179</w:t>
      </w:r>
      <w:r w:rsidR="00531BAB" w:rsidRPr="00531BAB">
        <w:rPr>
          <w:rFonts w:cs="Times"/>
        </w:rPr>
        <w:t>-GAL4&gt;</w:t>
      </w:r>
      <w:r w:rsidR="00531BAB" w:rsidRPr="00531BAB">
        <w:rPr>
          <w:rFonts w:cs="Times"/>
          <w:i/>
        </w:rPr>
        <w:t>Raptor</w:t>
      </w:r>
      <w:r w:rsidR="00531BAB" w:rsidRPr="00531BAB">
        <w:rPr>
          <w:rFonts w:cs="Times"/>
        </w:rPr>
        <w:t xml:space="preserve"> </w:t>
      </w:r>
      <w:proofErr w:type="spellStart"/>
      <w:r w:rsidR="00531BAB" w:rsidRPr="00531BAB">
        <w:rPr>
          <w:rFonts w:cs="Times"/>
        </w:rPr>
        <w:t>shRNA</w:t>
      </w:r>
      <w:proofErr w:type="spellEnd"/>
      <w:r w:rsidR="00531BAB" w:rsidRPr="00531BAB">
        <w:rPr>
          <w:rFonts w:cs="Times"/>
        </w:rPr>
        <w:t xml:space="preserve"> #3 had the strongest effect on lifespan for both males and females, but all three </w:t>
      </w:r>
      <w:r w:rsidR="00531BAB" w:rsidRPr="00531BAB">
        <w:rPr>
          <w:rFonts w:cs="Times"/>
          <w:i/>
        </w:rPr>
        <w:t>Raptor</w:t>
      </w:r>
      <w:r w:rsidR="00531BAB" w:rsidRPr="00531BAB">
        <w:rPr>
          <w:rFonts w:cs="Times"/>
        </w:rPr>
        <w:t xml:space="preserve"> </w:t>
      </w:r>
      <w:proofErr w:type="spellStart"/>
      <w:r w:rsidR="00531BAB" w:rsidRPr="00531BAB">
        <w:rPr>
          <w:rFonts w:cs="Times"/>
        </w:rPr>
        <w:t>shRNA</w:t>
      </w:r>
      <w:proofErr w:type="spellEnd"/>
      <w:r w:rsidR="00531BAB" w:rsidRPr="00531BAB">
        <w:rPr>
          <w:rFonts w:cs="Times"/>
        </w:rPr>
        <w:t xml:space="preserve"> constructs significantl</w:t>
      </w:r>
      <w:r w:rsidR="00531BAB">
        <w:rPr>
          <w:rFonts w:cs="Times"/>
        </w:rPr>
        <w:t>y decreased survival</w:t>
      </w:r>
      <w:r w:rsidR="00531BAB" w:rsidRPr="00531BAB">
        <w:rPr>
          <w:rFonts w:cs="Times"/>
        </w:rPr>
        <w:t>.</w:t>
      </w:r>
    </w:p>
    <w:p w14:paraId="0857B229" w14:textId="77777777" w:rsidR="00BD3C4E" w:rsidRPr="00DA59AE" w:rsidRDefault="00BD3C4E" w:rsidP="00963A23">
      <w:pPr>
        <w:spacing w:line="480" w:lineRule="auto"/>
        <w:jc w:val="both"/>
        <w:rPr>
          <w:rFonts w:cs="Times"/>
        </w:rPr>
      </w:pPr>
    </w:p>
    <w:p w14:paraId="275A7DA7" w14:textId="6A6B9EE9"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w:t>
      </w:r>
      <w:r w:rsidR="009B35B8">
        <w:rPr>
          <w:b/>
          <w:i/>
        </w:rPr>
        <w:t>c179-</w:t>
      </w:r>
      <w:r w:rsidR="009B35B8" w:rsidRPr="009B35B8">
        <w:rPr>
          <w:b/>
        </w:rPr>
        <w:t>GAL4</w:t>
      </w:r>
      <w:r w:rsidR="009B35B8">
        <w:rPr>
          <w:b/>
          <w:i/>
        </w:rPr>
        <w:t xml:space="preserve"> Driven</w:t>
      </w:r>
      <w:r w:rsidR="00C920F1" w:rsidRPr="00C920F1">
        <w:rPr>
          <w:b/>
        </w:rPr>
        <w:t xml:space="preserve">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1299C86E"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w:t>
      </w:r>
      <w:r w:rsidR="0009175B">
        <w:rPr>
          <w:b/>
          <w:noProof/>
        </w:rPr>
        <w:t>viability</w:t>
      </w:r>
      <w:r>
        <w:rPr>
          <w:b/>
          <w:noProof/>
        </w:rPr>
        <w:t xml:space="preserve"> or climbing ability.  </w:t>
      </w:r>
      <w:r>
        <w:rPr>
          <w:noProof/>
        </w:rPr>
        <w:t xml:space="preserve">a) Birth rates for crosses of </w:t>
      </w:r>
      <w:r>
        <w:rPr>
          <w:i/>
          <w:noProof/>
        </w:rPr>
        <w:t>Mhc</w:t>
      </w:r>
      <w:r w:rsidR="000112B1">
        <w:rPr>
          <w:noProof/>
        </w:rPr>
        <w:t>-GAL4/</w:t>
      </w:r>
      <w:r w:rsidR="0009175B">
        <w:rPr>
          <w:i/>
          <w:noProof/>
        </w:rPr>
        <w:t>TM</w:t>
      </w:r>
      <w:r w:rsidR="000112B1">
        <w:rPr>
          <w:i/>
          <w:noProof/>
        </w:rPr>
        <w:t>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29C4BA3C" w14:textId="77777777" w:rsidR="00F92172" w:rsidRDefault="00F92172">
      <w:pPr>
        <w:rPr>
          <w:rFonts w:cs="Times"/>
          <w:b/>
        </w:rPr>
      </w:pPr>
      <w:r>
        <w:rPr>
          <w:rFonts w:cs="Times"/>
          <w:b/>
        </w:rPr>
        <w:br w:type="page"/>
      </w:r>
    </w:p>
    <w:p w14:paraId="42C0F558" w14:textId="79BE9DD2" w:rsidR="009F58DC" w:rsidRDefault="00F92172" w:rsidP="00F92172">
      <w:pPr>
        <w:spacing w:line="480" w:lineRule="auto"/>
        <w:jc w:val="both"/>
      </w:pPr>
      <w:r>
        <w:rPr>
          <w:rFonts w:cs="Times"/>
          <w:b/>
        </w:rPr>
        <w:t>Table 1</w:t>
      </w:r>
      <w:r w:rsidRPr="00E56C2A">
        <w:rPr>
          <w:rFonts w:cs="Times"/>
          <w:b/>
        </w:rPr>
        <w:t>:</w:t>
      </w:r>
      <w:r w:rsidRPr="00E56C2A">
        <w:rPr>
          <w:rFonts w:cs="Times"/>
        </w:rPr>
        <w:t xml:space="preserve"> Forward and reverse primers used in </w:t>
      </w:r>
      <w:proofErr w:type="spellStart"/>
      <w:r w:rsidRPr="00E56C2A">
        <w:rPr>
          <w:rFonts w:cs="Times"/>
        </w:rPr>
        <w:t>qPCR</w:t>
      </w:r>
      <w:proofErr w:type="spellEnd"/>
      <w:r w:rsidRPr="00E56C2A">
        <w:rPr>
          <w:rFonts w:cs="Times"/>
        </w:rPr>
        <w:t xml:space="preserve"> experiments</w:t>
      </w:r>
      <w:r>
        <w:rPr>
          <w:rFonts w:cs="Times"/>
        </w:rPr>
        <w:t>.  All primers are based on mouse sequences.</w:t>
      </w:r>
    </w:p>
    <w:tbl>
      <w:tblPr>
        <w:tblStyle w:val="TableGrid"/>
        <w:tblpPr w:leftFromText="180" w:rightFromText="180" w:vertAnchor="page" w:horzAnchor="page" w:tblpX="1909" w:tblpY="2701"/>
        <w:tblW w:w="8968" w:type="dxa"/>
        <w:tblLook w:val="04A0" w:firstRow="1" w:lastRow="0" w:firstColumn="1" w:lastColumn="0" w:noHBand="0" w:noVBand="1"/>
      </w:tblPr>
      <w:tblGrid>
        <w:gridCol w:w="1150"/>
        <w:gridCol w:w="3871"/>
        <w:gridCol w:w="3947"/>
      </w:tblGrid>
      <w:tr w:rsidR="009F58DC" w:rsidRPr="00CB6B08" w14:paraId="55D0A9B8" w14:textId="77777777" w:rsidTr="00F92172">
        <w:tc>
          <w:tcPr>
            <w:tcW w:w="1150" w:type="dxa"/>
          </w:tcPr>
          <w:p w14:paraId="7B0170B2" w14:textId="77777777" w:rsidR="009F58DC" w:rsidRPr="00CB6B08" w:rsidRDefault="009F58DC" w:rsidP="00F92172">
            <w:pPr>
              <w:jc w:val="center"/>
              <w:rPr>
                <w:rFonts w:cs="Times New Roman"/>
              </w:rPr>
            </w:pPr>
            <w:r w:rsidRPr="00CB6B08">
              <w:rPr>
                <w:rFonts w:cs="Times New Roman"/>
              </w:rPr>
              <w:t>Gene</w:t>
            </w:r>
          </w:p>
        </w:tc>
        <w:tc>
          <w:tcPr>
            <w:tcW w:w="3871" w:type="dxa"/>
          </w:tcPr>
          <w:p w14:paraId="014D5DB2" w14:textId="77777777" w:rsidR="009F58DC" w:rsidRPr="00CB6B08" w:rsidRDefault="009F58DC" w:rsidP="00F92172">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F92172">
            <w:pPr>
              <w:jc w:val="center"/>
              <w:rPr>
                <w:rFonts w:cs="Times New Roman"/>
              </w:rPr>
            </w:pPr>
            <w:r w:rsidRPr="00CB6B08">
              <w:rPr>
                <w:rFonts w:cs="Times New Roman"/>
              </w:rPr>
              <w:t>Reverse Sequence</w:t>
            </w:r>
          </w:p>
        </w:tc>
      </w:tr>
      <w:tr w:rsidR="009F58DC" w:rsidRPr="00CB6B08" w14:paraId="1B418D96" w14:textId="77777777" w:rsidTr="00F92172">
        <w:tc>
          <w:tcPr>
            <w:tcW w:w="1150" w:type="dxa"/>
          </w:tcPr>
          <w:p w14:paraId="410BCD73" w14:textId="77777777" w:rsidR="009F58DC" w:rsidRPr="00CB6B08" w:rsidRDefault="009F58DC" w:rsidP="00F92172">
            <w:pPr>
              <w:rPr>
                <w:rFonts w:cs="Times New Roman"/>
              </w:rPr>
            </w:pPr>
            <w:r w:rsidRPr="00CB6B08">
              <w:rPr>
                <w:rFonts w:cs="Times New Roman"/>
                <w:i/>
              </w:rPr>
              <w:t>Cdkn1a</w:t>
            </w:r>
          </w:p>
        </w:tc>
        <w:tc>
          <w:tcPr>
            <w:tcW w:w="3871" w:type="dxa"/>
          </w:tcPr>
          <w:p w14:paraId="7CD58F96" w14:textId="77777777" w:rsidR="009F58DC" w:rsidRPr="00CB6B08" w:rsidRDefault="009F58DC" w:rsidP="00F92172">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F92172">
            <w:pPr>
              <w:rPr>
                <w:rFonts w:eastAsia="Times New Roman" w:cs="Times New Roman"/>
                <w:color w:val="000000"/>
              </w:rPr>
            </w:pPr>
            <w:r w:rsidRPr="00CB6B08">
              <w:rPr>
                <w:rFonts w:eastAsia="Times New Roman" w:cs="Times New Roman"/>
                <w:color w:val="000000"/>
              </w:rPr>
              <w:t>CTGACCCACAGCAGAAGAGG</w:t>
            </w:r>
          </w:p>
        </w:tc>
      </w:tr>
      <w:tr w:rsidR="00697C0B" w:rsidRPr="00CB6B08" w14:paraId="6C3BDF00" w14:textId="77777777" w:rsidTr="00F92172">
        <w:tc>
          <w:tcPr>
            <w:tcW w:w="1150" w:type="dxa"/>
          </w:tcPr>
          <w:p w14:paraId="76C52BC8" w14:textId="77777777" w:rsidR="00697C0B" w:rsidRPr="00CB6B08" w:rsidRDefault="00697C0B" w:rsidP="00F92172">
            <w:pPr>
              <w:rPr>
                <w:rFonts w:cs="Times New Roman"/>
                <w:i/>
              </w:rPr>
            </w:pPr>
            <w:proofErr w:type="spellStart"/>
            <w:r>
              <w:rPr>
                <w:rFonts w:cs="Times New Roman"/>
                <w:i/>
              </w:rPr>
              <w:t>Gapdh</w:t>
            </w:r>
            <w:proofErr w:type="spellEnd"/>
          </w:p>
        </w:tc>
        <w:tc>
          <w:tcPr>
            <w:tcW w:w="3871" w:type="dxa"/>
          </w:tcPr>
          <w:p w14:paraId="052D886D" w14:textId="77777777" w:rsidR="00697C0B" w:rsidRPr="00CB6B08" w:rsidRDefault="00697C0B" w:rsidP="00F92172">
            <w:pPr>
              <w:rPr>
                <w:rFonts w:eastAsia="Times New Roman" w:cs="Times New Roman"/>
                <w:color w:val="000000"/>
              </w:rPr>
            </w:pPr>
            <w:r w:rsidRPr="009F58DC">
              <w:rPr>
                <w:rFonts w:eastAsia="Times New Roman" w:cs="Times New Roman"/>
                <w:color w:val="000000"/>
              </w:rPr>
              <w:t>CACTTGAAGGGTGGAGCCAA</w:t>
            </w:r>
          </w:p>
        </w:tc>
        <w:tc>
          <w:tcPr>
            <w:tcW w:w="3947" w:type="dxa"/>
          </w:tcPr>
          <w:p w14:paraId="3ED77F4F" w14:textId="77777777" w:rsidR="00697C0B" w:rsidRPr="00CB6B08" w:rsidRDefault="00697C0B" w:rsidP="00F92172">
            <w:pPr>
              <w:rPr>
                <w:rFonts w:eastAsia="Times New Roman" w:cs="Times New Roman"/>
                <w:color w:val="000000"/>
              </w:rPr>
            </w:pPr>
            <w:r w:rsidRPr="009F58DC">
              <w:rPr>
                <w:rFonts w:eastAsia="Times New Roman" w:cs="Times New Roman"/>
                <w:color w:val="000000"/>
              </w:rPr>
              <w:t>ACCCATCACAAACATGGGGG</w:t>
            </w:r>
          </w:p>
        </w:tc>
      </w:tr>
      <w:tr w:rsidR="009F58DC" w:rsidRPr="00CB6B08" w14:paraId="2752EF0E" w14:textId="77777777" w:rsidTr="00F92172">
        <w:tc>
          <w:tcPr>
            <w:tcW w:w="1150" w:type="dxa"/>
          </w:tcPr>
          <w:p w14:paraId="3CE16731" w14:textId="77777777" w:rsidR="009F58DC" w:rsidRPr="00CB6B08" w:rsidRDefault="009F58DC" w:rsidP="00F92172">
            <w:pPr>
              <w:rPr>
                <w:rFonts w:cs="Times New Roman"/>
              </w:rPr>
            </w:pPr>
            <w:r w:rsidRPr="00CB6B08">
              <w:rPr>
                <w:rFonts w:cs="Times New Roman"/>
                <w:i/>
              </w:rPr>
              <w:t>Mef2c</w:t>
            </w:r>
          </w:p>
        </w:tc>
        <w:tc>
          <w:tcPr>
            <w:tcW w:w="3871" w:type="dxa"/>
          </w:tcPr>
          <w:p w14:paraId="2E40A961" w14:textId="77777777" w:rsidR="009F58DC" w:rsidRPr="00CB6B08" w:rsidRDefault="009F58DC" w:rsidP="00F92172">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F92172">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F92172">
        <w:tc>
          <w:tcPr>
            <w:tcW w:w="1150" w:type="dxa"/>
          </w:tcPr>
          <w:p w14:paraId="33A9AD47" w14:textId="77777777" w:rsidR="009F58DC" w:rsidRPr="00CB6B08" w:rsidRDefault="009F58DC" w:rsidP="00F92172">
            <w:pPr>
              <w:rPr>
                <w:rFonts w:cs="Times New Roman"/>
              </w:rPr>
            </w:pPr>
            <w:r w:rsidRPr="00CB6B08">
              <w:rPr>
                <w:rFonts w:cs="Times New Roman"/>
                <w:i/>
              </w:rPr>
              <w:t>Myf5</w:t>
            </w:r>
          </w:p>
        </w:tc>
        <w:tc>
          <w:tcPr>
            <w:tcW w:w="3871" w:type="dxa"/>
          </w:tcPr>
          <w:p w14:paraId="0F694853" w14:textId="77777777" w:rsidR="009F58DC" w:rsidRPr="00CB6B08" w:rsidRDefault="009F58DC" w:rsidP="00F92172">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F92172">
            <w:pPr>
              <w:rPr>
                <w:rFonts w:eastAsia="Times New Roman" w:cs="Times New Roman"/>
                <w:color w:val="000000"/>
              </w:rPr>
            </w:pPr>
            <w:r w:rsidRPr="00CB6B08">
              <w:rPr>
                <w:rFonts w:eastAsia="Times New Roman" w:cs="Times New Roman"/>
                <w:color w:val="000000"/>
              </w:rPr>
              <w:t>AGCTGGACACGGAGCTTTTA</w:t>
            </w:r>
          </w:p>
        </w:tc>
      </w:tr>
      <w:tr w:rsidR="00697C0B" w:rsidRPr="00CB6B08" w14:paraId="092EC0A5" w14:textId="77777777" w:rsidTr="00F92172">
        <w:tc>
          <w:tcPr>
            <w:tcW w:w="1150" w:type="dxa"/>
          </w:tcPr>
          <w:p w14:paraId="7880A608" w14:textId="3A1A7BEA" w:rsidR="00697C0B" w:rsidRPr="00CB6B08" w:rsidRDefault="00697C0B" w:rsidP="00F92172">
            <w:pPr>
              <w:rPr>
                <w:rFonts w:cs="Times New Roman"/>
              </w:rPr>
            </w:pPr>
            <w:r w:rsidRPr="0074256B">
              <w:rPr>
                <w:rFonts w:cs="Times New Roman"/>
                <w:i/>
              </w:rPr>
              <w:t>Myh1</w:t>
            </w:r>
          </w:p>
        </w:tc>
        <w:tc>
          <w:tcPr>
            <w:tcW w:w="3871" w:type="dxa"/>
          </w:tcPr>
          <w:p w14:paraId="7A6E8779" w14:textId="2510A550" w:rsidR="00697C0B" w:rsidRPr="00CB6B08" w:rsidRDefault="00697C0B" w:rsidP="00F92172">
            <w:pPr>
              <w:rPr>
                <w:rFonts w:eastAsia="Times New Roman" w:cs="Times New Roman"/>
                <w:color w:val="222222"/>
              </w:rPr>
            </w:pPr>
            <w:r w:rsidRPr="0074256B">
              <w:rPr>
                <w:rFonts w:eastAsia="Times New Roman" w:cs="Times New Roman"/>
                <w:color w:val="000000"/>
              </w:rPr>
              <w:t>CGGTCGAAGTTGCATCCCTA</w:t>
            </w:r>
          </w:p>
        </w:tc>
        <w:tc>
          <w:tcPr>
            <w:tcW w:w="3947" w:type="dxa"/>
          </w:tcPr>
          <w:p w14:paraId="7D5035D9" w14:textId="0AA2B7B8" w:rsidR="00697C0B" w:rsidRPr="00CB6B08" w:rsidRDefault="00697C0B" w:rsidP="00F92172">
            <w:pPr>
              <w:rPr>
                <w:rFonts w:eastAsia="Times New Roman" w:cs="Times New Roman"/>
                <w:color w:val="222222"/>
              </w:rPr>
            </w:pPr>
            <w:r w:rsidRPr="0074256B">
              <w:rPr>
                <w:rFonts w:eastAsia="Times New Roman" w:cs="Times New Roman"/>
                <w:color w:val="000000"/>
              </w:rPr>
              <w:t>TTCTGAGCCTCGATTCGCTC</w:t>
            </w:r>
          </w:p>
        </w:tc>
      </w:tr>
      <w:tr w:rsidR="00697C0B" w:rsidRPr="00CB6B08" w14:paraId="34E158C2" w14:textId="77777777" w:rsidTr="00F92172">
        <w:tc>
          <w:tcPr>
            <w:tcW w:w="1150" w:type="dxa"/>
          </w:tcPr>
          <w:p w14:paraId="61A12253" w14:textId="1F6ED687" w:rsidR="00697C0B" w:rsidRPr="00CB6B08" w:rsidRDefault="00697C0B" w:rsidP="00F92172">
            <w:pPr>
              <w:rPr>
                <w:rFonts w:cs="Times New Roman"/>
              </w:rPr>
            </w:pPr>
            <w:r w:rsidRPr="0074256B">
              <w:rPr>
                <w:rFonts w:cs="Times New Roman"/>
                <w:i/>
              </w:rPr>
              <w:t>Myh3</w:t>
            </w:r>
          </w:p>
        </w:tc>
        <w:tc>
          <w:tcPr>
            <w:tcW w:w="3871" w:type="dxa"/>
          </w:tcPr>
          <w:p w14:paraId="7DAEC6AE" w14:textId="7A28B3DC" w:rsidR="00697C0B" w:rsidRPr="00CB6B08" w:rsidRDefault="00697C0B" w:rsidP="00F92172">
            <w:pPr>
              <w:rPr>
                <w:rFonts w:eastAsia="Times New Roman" w:cs="Times New Roman"/>
                <w:color w:val="000000"/>
              </w:rPr>
            </w:pPr>
            <w:r w:rsidRPr="0074256B">
              <w:rPr>
                <w:rFonts w:eastAsia="Times New Roman" w:cs="Times New Roman"/>
                <w:color w:val="000000"/>
              </w:rPr>
              <w:t>ATGCTTCTCTCTGTCACAGTC</w:t>
            </w:r>
          </w:p>
        </w:tc>
        <w:tc>
          <w:tcPr>
            <w:tcW w:w="3947" w:type="dxa"/>
          </w:tcPr>
          <w:p w14:paraId="3508FD12" w14:textId="0688EF51" w:rsidR="00697C0B" w:rsidRPr="00CB6B08" w:rsidRDefault="00697C0B" w:rsidP="00F92172">
            <w:pPr>
              <w:rPr>
                <w:rFonts w:eastAsia="Times New Roman" w:cs="Times New Roman"/>
                <w:color w:val="000000"/>
              </w:rPr>
            </w:pPr>
            <w:r w:rsidRPr="0074256B">
              <w:rPr>
                <w:rFonts w:eastAsia="Times New Roman" w:cs="Times New Roman"/>
                <w:color w:val="000000"/>
              </w:rPr>
              <w:t>AAGGGCTGGTTCTGAGCTTC</w:t>
            </w:r>
          </w:p>
        </w:tc>
      </w:tr>
      <w:tr w:rsidR="00697C0B" w:rsidRPr="00CB6B08" w14:paraId="6D245702" w14:textId="77777777" w:rsidTr="00F92172">
        <w:trPr>
          <w:trHeight w:val="50"/>
        </w:trPr>
        <w:tc>
          <w:tcPr>
            <w:tcW w:w="1150" w:type="dxa"/>
          </w:tcPr>
          <w:p w14:paraId="40A4C2E7" w14:textId="4E51BB96" w:rsidR="00697C0B" w:rsidRPr="0074256B" w:rsidRDefault="00697C0B" w:rsidP="00F92172">
            <w:pPr>
              <w:rPr>
                <w:rFonts w:cs="Times New Roman"/>
                <w:i/>
              </w:rPr>
            </w:pPr>
            <w:r w:rsidRPr="0074256B">
              <w:rPr>
                <w:rFonts w:cs="Times New Roman"/>
                <w:i/>
              </w:rPr>
              <w:t>Myh7</w:t>
            </w:r>
          </w:p>
        </w:tc>
        <w:tc>
          <w:tcPr>
            <w:tcW w:w="3871" w:type="dxa"/>
          </w:tcPr>
          <w:p w14:paraId="0BD5F80E" w14:textId="30963612" w:rsidR="00697C0B" w:rsidRPr="0074256B" w:rsidRDefault="00697C0B" w:rsidP="00F92172">
            <w:pPr>
              <w:rPr>
                <w:rFonts w:eastAsia="Times New Roman" w:cs="Times New Roman"/>
                <w:color w:val="000000"/>
              </w:rPr>
            </w:pPr>
            <w:r w:rsidRPr="0074256B">
              <w:rPr>
                <w:rFonts w:eastAsia="Times New Roman" w:cs="Times New Roman"/>
                <w:color w:val="000000"/>
              </w:rPr>
              <w:t>CTCCTGCTGTTTCCTTACTTGCT</w:t>
            </w:r>
          </w:p>
        </w:tc>
        <w:tc>
          <w:tcPr>
            <w:tcW w:w="3947" w:type="dxa"/>
          </w:tcPr>
          <w:p w14:paraId="2A99E649" w14:textId="0DA51C72" w:rsidR="00697C0B" w:rsidRPr="0074256B" w:rsidRDefault="00697C0B" w:rsidP="00F92172">
            <w:pPr>
              <w:rPr>
                <w:rFonts w:eastAsia="Times New Roman" w:cs="Times New Roman"/>
                <w:color w:val="000000"/>
              </w:rPr>
            </w:pPr>
            <w:r w:rsidRPr="0074256B">
              <w:rPr>
                <w:rFonts w:eastAsia="Times New Roman" w:cs="Times New Roman"/>
                <w:color w:val="000000"/>
              </w:rPr>
              <w:t>AGCCTTGGATTCTCAAACGTGTC</w:t>
            </w:r>
          </w:p>
        </w:tc>
      </w:tr>
      <w:tr w:rsidR="00697C0B" w:rsidRPr="00CB6B08" w14:paraId="36461510" w14:textId="77777777" w:rsidTr="00F92172">
        <w:tc>
          <w:tcPr>
            <w:tcW w:w="1150" w:type="dxa"/>
          </w:tcPr>
          <w:p w14:paraId="148EAAED" w14:textId="1240F4F8" w:rsidR="00697C0B" w:rsidRPr="0074256B" w:rsidRDefault="00697C0B" w:rsidP="00F92172">
            <w:pPr>
              <w:rPr>
                <w:rFonts w:cs="Times New Roman"/>
                <w:i/>
              </w:rPr>
            </w:pPr>
            <w:r w:rsidRPr="00CB6B08">
              <w:rPr>
                <w:rFonts w:cs="Times New Roman"/>
                <w:i/>
              </w:rPr>
              <w:t>Myod1</w:t>
            </w:r>
          </w:p>
        </w:tc>
        <w:tc>
          <w:tcPr>
            <w:tcW w:w="3871" w:type="dxa"/>
          </w:tcPr>
          <w:p w14:paraId="404002A4" w14:textId="6102805E" w:rsidR="00697C0B" w:rsidRPr="0074256B" w:rsidRDefault="00697C0B" w:rsidP="00F92172">
            <w:pPr>
              <w:rPr>
                <w:rFonts w:eastAsia="Times New Roman" w:cs="Times New Roman"/>
                <w:color w:val="000000"/>
              </w:rPr>
            </w:pPr>
            <w:r w:rsidRPr="00CB6B08">
              <w:rPr>
                <w:rFonts w:eastAsia="Times New Roman" w:cs="Times New Roman"/>
                <w:color w:val="222222"/>
              </w:rPr>
              <w:t>TCCTCATAGCACAGGGGTGA</w:t>
            </w:r>
          </w:p>
        </w:tc>
        <w:tc>
          <w:tcPr>
            <w:tcW w:w="3947" w:type="dxa"/>
          </w:tcPr>
          <w:p w14:paraId="72B21E6C" w14:textId="380391C8" w:rsidR="00697C0B" w:rsidRPr="0074256B" w:rsidRDefault="00697C0B" w:rsidP="00F92172">
            <w:pPr>
              <w:rPr>
                <w:rFonts w:eastAsia="Times New Roman" w:cs="Times New Roman"/>
                <w:color w:val="000000"/>
              </w:rPr>
            </w:pPr>
            <w:r w:rsidRPr="00CB6B08">
              <w:rPr>
                <w:rFonts w:eastAsia="Times New Roman" w:cs="Times New Roman"/>
                <w:color w:val="222222"/>
              </w:rPr>
              <w:t>GCAAGCTGTGGGGAAAAGTG</w:t>
            </w:r>
          </w:p>
        </w:tc>
      </w:tr>
      <w:tr w:rsidR="00697C0B" w:rsidRPr="00CB6B08" w14:paraId="77A5A2B1" w14:textId="77777777" w:rsidTr="00F92172">
        <w:tc>
          <w:tcPr>
            <w:tcW w:w="1150" w:type="dxa"/>
          </w:tcPr>
          <w:p w14:paraId="7979AB25" w14:textId="7BFC7441" w:rsidR="00697C0B" w:rsidRPr="0074256B" w:rsidRDefault="00697C0B" w:rsidP="00F92172">
            <w:pPr>
              <w:rPr>
                <w:rFonts w:cs="Times New Roman"/>
                <w:i/>
              </w:rPr>
            </w:pPr>
            <w:proofErr w:type="spellStart"/>
            <w:r w:rsidRPr="00CB6B08">
              <w:rPr>
                <w:rFonts w:cs="Times New Roman"/>
                <w:i/>
              </w:rPr>
              <w:t>Myog</w:t>
            </w:r>
            <w:proofErr w:type="spellEnd"/>
          </w:p>
        </w:tc>
        <w:tc>
          <w:tcPr>
            <w:tcW w:w="3871" w:type="dxa"/>
          </w:tcPr>
          <w:p w14:paraId="4BA7B61B" w14:textId="1F04D036" w:rsidR="00697C0B" w:rsidRPr="0074256B" w:rsidRDefault="00697C0B" w:rsidP="00F92172">
            <w:pPr>
              <w:rPr>
                <w:rFonts w:eastAsia="Times New Roman" w:cs="Times New Roman"/>
                <w:color w:val="000000"/>
              </w:rPr>
            </w:pPr>
            <w:r w:rsidRPr="00CB6B08">
              <w:rPr>
                <w:rFonts w:eastAsia="Times New Roman" w:cs="Times New Roman"/>
                <w:color w:val="000000"/>
              </w:rPr>
              <w:t>CAGCCCAGCGAGGGAATTTA</w:t>
            </w:r>
          </w:p>
        </w:tc>
        <w:tc>
          <w:tcPr>
            <w:tcW w:w="3947" w:type="dxa"/>
          </w:tcPr>
          <w:p w14:paraId="7C0219D3" w14:textId="16B45EFE" w:rsidR="00697C0B" w:rsidRPr="0074256B" w:rsidRDefault="00697C0B" w:rsidP="00F92172">
            <w:pPr>
              <w:rPr>
                <w:rFonts w:eastAsia="Times New Roman" w:cs="Times New Roman"/>
                <w:color w:val="000000"/>
              </w:rPr>
            </w:pPr>
            <w:r w:rsidRPr="00CB6B08">
              <w:rPr>
                <w:rFonts w:eastAsia="Times New Roman" w:cs="Times New Roman"/>
                <w:color w:val="000000"/>
              </w:rPr>
              <w:t>AGAAGCTCCTGAGTTTGCCC</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pPr w:leftFromText="180" w:rightFromText="180" w:vertAnchor="page" w:horzAnchor="page" w:tblpX="1909" w:tblpY="2701"/>
        <w:tblW w:w="0" w:type="auto"/>
        <w:tblLook w:val="04A0" w:firstRow="1" w:lastRow="0" w:firstColumn="1" w:lastColumn="0" w:noHBand="0" w:noVBand="1"/>
      </w:tblPr>
      <w:tblGrid>
        <w:gridCol w:w="2520"/>
        <w:gridCol w:w="2662"/>
      </w:tblGrid>
      <w:tr w:rsidR="00B94D00" w:rsidRPr="007612F4" w14:paraId="31200F42" w14:textId="77777777" w:rsidTr="00F92172">
        <w:tc>
          <w:tcPr>
            <w:tcW w:w="2520" w:type="dxa"/>
          </w:tcPr>
          <w:p w14:paraId="38F43150" w14:textId="77777777" w:rsidR="00B94D00" w:rsidRPr="007612F4" w:rsidRDefault="00B94D00" w:rsidP="00F92172">
            <w:r w:rsidRPr="007612F4">
              <w:t xml:space="preserve">Name </w:t>
            </w:r>
          </w:p>
        </w:tc>
        <w:tc>
          <w:tcPr>
            <w:tcW w:w="2662" w:type="dxa"/>
          </w:tcPr>
          <w:p w14:paraId="0B149EE3" w14:textId="77777777" w:rsidR="00B94D00" w:rsidRPr="007612F4" w:rsidRDefault="00B94D00" w:rsidP="00F92172">
            <w:r w:rsidRPr="007612F4">
              <w:t>Bloomington Stock #</w:t>
            </w:r>
          </w:p>
        </w:tc>
      </w:tr>
      <w:tr w:rsidR="00B94D00" w:rsidRPr="007612F4" w14:paraId="5667B190" w14:textId="77777777" w:rsidTr="00F92172">
        <w:trPr>
          <w:trHeight w:val="188"/>
        </w:trPr>
        <w:tc>
          <w:tcPr>
            <w:tcW w:w="2520" w:type="dxa"/>
          </w:tcPr>
          <w:p w14:paraId="35F61192" w14:textId="77777777" w:rsidR="00B94D00" w:rsidRPr="007612F4" w:rsidRDefault="00B94D00" w:rsidP="00F92172">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F92172">
            <w:r w:rsidRPr="007612F4">
              <w:t>31528</w:t>
            </w:r>
          </w:p>
        </w:tc>
      </w:tr>
      <w:tr w:rsidR="00B94D00" w:rsidRPr="007612F4" w14:paraId="6E9BA681" w14:textId="77777777" w:rsidTr="00F92172">
        <w:tc>
          <w:tcPr>
            <w:tcW w:w="2520" w:type="dxa"/>
          </w:tcPr>
          <w:p w14:paraId="6313D320" w14:textId="77777777" w:rsidR="00B94D00" w:rsidRPr="007612F4" w:rsidRDefault="00B94D00" w:rsidP="00F92172">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F92172">
            <w:r w:rsidRPr="007612F4">
              <w:t>31529</w:t>
            </w:r>
          </w:p>
        </w:tc>
      </w:tr>
      <w:tr w:rsidR="00B94D00" w:rsidRPr="007612F4" w14:paraId="2F667E2C" w14:textId="77777777" w:rsidTr="00F92172">
        <w:tc>
          <w:tcPr>
            <w:tcW w:w="2520" w:type="dxa"/>
          </w:tcPr>
          <w:p w14:paraId="644F9C3F" w14:textId="77777777" w:rsidR="00B94D00" w:rsidRPr="007612F4" w:rsidRDefault="00B94D00" w:rsidP="00F92172">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F92172">
            <w:r w:rsidRPr="007612F4">
              <w:t>34814</w:t>
            </w:r>
          </w:p>
        </w:tc>
      </w:tr>
      <w:tr w:rsidR="00B94D00" w:rsidRPr="007612F4" w14:paraId="210A9F42" w14:textId="77777777" w:rsidTr="00F92172">
        <w:tc>
          <w:tcPr>
            <w:tcW w:w="2520" w:type="dxa"/>
          </w:tcPr>
          <w:p w14:paraId="0A03307C" w14:textId="77777777" w:rsidR="00B94D00" w:rsidRPr="007612F4" w:rsidRDefault="00B94D00" w:rsidP="00F92172">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F92172">
            <w:r w:rsidRPr="007612F4">
              <w:t>41912</w:t>
            </w:r>
          </w:p>
        </w:tc>
      </w:tr>
      <w:tr w:rsidR="00B94D00" w:rsidRPr="007612F4" w14:paraId="4C99FA83" w14:textId="77777777" w:rsidTr="00F92172">
        <w:tc>
          <w:tcPr>
            <w:tcW w:w="2520" w:type="dxa"/>
          </w:tcPr>
          <w:p w14:paraId="2F8C76DA" w14:textId="77777777" w:rsidR="00B94D00" w:rsidRPr="007612F4" w:rsidRDefault="00B94D00" w:rsidP="00F92172">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F92172">
            <w:r w:rsidRPr="007612F4">
              <w:t>31039</w:t>
            </w:r>
          </w:p>
        </w:tc>
      </w:tr>
      <w:tr w:rsidR="00B94D00" w:rsidRPr="007612F4" w14:paraId="12F5EFF0" w14:textId="77777777" w:rsidTr="00F92172">
        <w:tc>
          <w:tcPr>
            <w:tcW w:w="2520" w:type="dxa"/>
          </w:tcPr>
          <w:p w14:paraId="4A2C5CB7" w14:textId="77777777" w:rsidR="00B94D00" w:rsidRPr="007612F4" w:rsidRDefault="00B94D00" w:rsidP="00F92172">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F92172">
            <w:r w:rsidRPr="007612F4">
              <w:t>31314</w:t>
            </w:r>
          </w:p>
        </w:tc>
      </w:tr>
      <w:tr w:rsidR="00B94D00" w:rsidRPr="007612F4" w14:paraId="517DBCC1" w14:textId="77777777" w:rsidTr="00F92172">
        <w:tc>
          <w:tcPr>
            <w:tcW w:w="2520" w:type="dxa"/>
          </w:tcPr>
          <w:p w14:paraId="0002981E" w14:textId="77777777" w:rsidR="00B94D00" w:rsidRPr="007612F4" w:rsidRDefault="00B94D00" w:rsidP="00F92172">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F92172">
            <w:r w:rsidRPr="007612F4">
              <w:t>35144</w:t>
            </w:r>
          </w:p>
        </w:tc>
      </w:tr>
      <w:tr w:rsidR="00B94D00" w:rsidRPr="007612F4" w14:paraId="3BAA5506" w14:textId="77777777" w:rsidTr="00F92172">
        <w:tc>
          <w:tcPr>
            <w:tcW w:w="2520" w:type="dxa"/>
          </w:tcPr>
          <w:p w14:paraId="5FBF256F" w14:textId="77777777" w:rsidR="00B94D00" w:rsidRPr="007612F4" w:rsidRDefault="00B94D00" w:rsidP="00F92172">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F92172">
            <w:r w:rsidRPr="007612F4">
              <w:t>36304</w:t>
            </w:r>
          </w:p>
        </w:tc>
      </w:tr>
      <w:tr w:rsidR="00B94D00" w:rsidRPr="007612F4" w14:paraId="0222B793" w14:textId="77777777" w:rsidTr="00F92172">
        <w:tc>
          <w:tcPr>
            <w:tcW w:w="2520" w:type="dxa"/>
          </w:tcPr>
          <w:p w14:paraId="108CAA17" w14:textId="77777777" w:rsidR="00B94D00" w:rsidRPr="007612F4" w:rsidRDefault="00B94D00" w:rsidP="00F92172">
            <w:pPr>
              <w:rPr>
                <w:i/>
              </w:rPr>
            </w:pPr>
            <w:r w:rsidRPr="007612F4">
              <w:rPr>
                <w:i/>
              </w:rPr>
              <w:t>Hand-</w:t>
            </w:r>
            <w:r w:rsidRPr="00B94D00">
              <w:t>GAL4</w:t>
            </w:r>
          </w:p>
        </w:tc>
        <w:tc>
          <w:tcPr>
            <w:tcW w:w="2662" w:type="dxa"/>
          </w:tcPr>
          <w:p w14:paraId="7F65DED6" w14:textId="77777777" w:rsidR="00B94D00" w:rsidRPr="007612F4" w:rsidRDefault="00B94D00" w:rsidP="00F92172">
            <w:r>
              <w:t>48396</w:t>
            </w:r>
          </w:p>
        </w:tc>
      </w:tr>
      <w:tr w:rsidR="00B94D00" w:rsidRPr="007612F4" w14:paraId="41153D17" w14:textId="77777777" w:rsidTr="00F92172">
        <w:tc>
          <w:tcPr>
            <w:tcW w:w="2520" w:type="dxa"/>
          </w:tcPr>
          <w:p w14:paraId="08E93163" w14:textId="77777777" w:rsidR="00B94D00" w:rsidRPr="007612F4" w:rsidRDefault="00B94D00" w:rsidP="00F92172">
            <w:pPr>
              <w:rPr>
                <w:i/>
              </w:rPr>
            </w:pPr>
            <w:r>
              <w:rPr>
                <w:i/>
              </w:rPr>
              <w:t>24B-</w:t>
            </w:r>
            <w:r w:rsidRPr="00B94D00">
              <w:t>GAL4</w:t>
            </w:r>
          </w:p>
        </w:tc>
        <w:tc>
          <w:tcPr>
            <w:tcW w:w="2662" w:type="dxa"/>
          </w:tcPr>
          <w:p w14:paraId="7518522B" w14:textId="77777777" w:rsidR="00B94D00" w:rsidRPr="007612F4" w:rsidRDefault="00B94D00" w:rsidP="00F92172">
            <w:r>
              <w:t>1767</w:t>
            </w:r>
          </w:p>
        </w:tc>
      </w:tr>
      <w:tr w:rsidR="00B94D00" w:rsidRPr="007612F4" w14:paraId="00177438" w14:textId="77777777" w:rsidTr="00F92172">
        <w:tc>
          <w:tcPr>
            <w:tcW w:w="2520" w:type="dxa"/>
          </w:tcPr>
          <w:p w14:paraId="66D56143" w14:textId="6C2B21A6" w:rsidR="00B94D00" w:rsidRDefault="00FA462C" w:rsidP="00F92172">
            <w:pPr>
              <w:rPr>
                <w:i/>
              </w:rPr>
            </w:pPr>
            <w:proofErr w:type="gramStart"/>
            <w:r>
              <w:rPr>
                <w:i/>
              </w:rPr>
              <w:t>c</w:t>
            </w:r>
            <w:r w:rsidR="00B94D00">
              <w:rPr>
                <w:i/>
              </w:rPr>
              <w:t>179</w:t>
            </w:r>
            <w:proofErr w:type="gramEnd"/>
            <w:r w:rsidR="00B94D00">
              <w:rPr>
                <w:i/>
              </w:rPr>
              <w:t>-</w:t>
            </w:r>
            <w:r w:rsidR="00B94D00" w:rsidRPr="00B94D00">
              <w:t>GAL4</w:t>
            </w:r>
          </w:p>
        </w:tc>
        <w:tc>
          <w:tcPr>
            <w:tcW w:w="2662" w:type="dxa"/>
          </w:tcPr>
          <w:p w14:paraId="2301333D" w14:textId="77777777" w:rsidR="00B94D00" w:rsidRPr="007612F4" w:rsidRDefault="00B94D00" w:rsidP="00F92172">
            <w:r>
              <w:t>6450</w:t>
            </w:r>
          </w:p>
        </w:tc>
      </w:tr>
      <w:tr w:rsidR="00B94D00" w:rsidRPr="007612F4" w14:paraId="72C4B4D1" w14:textId="77777777" w:rsidTr="00F92172">
        <w:tc>
          <w:tcPr>
            <w:tcW w:w="2520" w:type="dxa"/>
          </w:tcPr>
          <w:p w14:paraId="1ED23FA5" w14:textId="77777777" w:rsidR="00B94D00" w:rsidRDefault="00B94D00" w:rsidP="00F92172">
            <w:pPr>
              <w:rPr>
                <w:i/>
              </w:rPr>
            </w:pPr>
            <w:r>
              <w:rPr>
                <w:i/>
              </w:rPr>
              <w:t>Mef2-</w:t>
            </w:r>
            <w:r w:rsidRPr="00B94D00">
              <w:t>GAL4</w:t>
            </w:r>
          </w:p>
        </w:tc>
        <w:tc>
          <w:tcPr>
            <w:tcW w:w="2662" w:type="dxa"/>
          </w:tcPr>
          <w:p w14:paraId="02E0525F" w14:textId="77777777" w:rsidR="00B94D00" w:rsidRPr="007612F4" w:rsidRDefault="00B94D00" w:rsidP="00F92172">
            <w:r>
              <w:t>27390</w:t>
            </w:r>
          </w:p>
        </w:tc>
      </w:tr>
      <w:tr w:rsidR="00B14885" w:rsidRPr="007612F4" w14:paraId="78EBABE9" w14:textId="77777777" w:rsidTr="00F92172">
        <w:tc>
          <w:tcPr>
            <w:tcW w:w="2520" w:type="dxa"/>
          </w:tcPr>
          <w:p w14:paraId="152BDF22" w14:textId="17D3C709" w:rsidR="00B14885" w:rsidRPr="00B14885" w:rsidRDefault="00B14885" w:rsidP="00F92172">
            <w:r>
              <w:rPr>
                <w:i/>
              </w:rPr>
              <w:t>Mhc</w:t>
            </w:r>
            <w:r>
              <w:t>-GAL4</w:t>
            </w:r>
          </w:p>
        </w:tc>
        <w:tc>
          <w:tcPr>
            <w:tcW w:w="2662" w:type="dxa"/>
          </w:tcPr>
          <w:p w14:paraId="4F1BCF47" w14:textId="62964A40" w:rsidR="00B14885" w:rsidRDefault="00B14885" w:rsidP="00F92172">
            <w:r w:rsidRPr="00B14885">
              <w:t>38464</w:t>
            </w:r>
          </w:p>
        </w:tc>
      </w:tr>
    </w:tbl>
    <w:p w14:paraId="000A9F60" w14:textId="77777777" w:rsidR="009F58DC" w:rsidRPr="00C920F1" w:rsidRDefault="009F58DC" w:rsidP="00963A23">
      <w:pPr>
        <w:spacing w:line="480" w:lineRule="auto"/>
        <w:jc w:val="both"/>
      </w:pPr>
    </w:p>
    <w:p w14:paraId="085608C4" w14:textId="77777777" w:rsidR="00F92172" w:rsidRPr="00434223" w:rsidRDefault="00F92172" w:rsidP="00F92172">
      <w:pPr>
        <w:spacing w:line="480" w:lineRule="auto"/>
        <w:jc w:val="both"/>
        <w:rPr>
          <w:rFonts w:cs="Times"/>
        </w:rPr>
      </w:pPr>
      <w:r>
        <w:rPr>
          <w:rFonts w:cs="Times"/>
          <w:b/>
        </w:rPr>
        <w:t xml:space="preserve">Table 2: </w:t>
      </w:r>
      <w:r>
        <w:rPr>
          <w:rFonts w:cs="Times"/>
        </w:rPr>
        <w:t>Fly stocks from Bloomington Stock Center used in this study.</w:t>
      </w: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0FA4"/>
    <w:rsid w:val="0009175B"/>
    <w:rsid w:val="00096F58"/>
    <w:rsid w:val="000B3301"/>
    <w:rsid w:val="000E3F6C"/>
    <w:rsid w:val="000E45D7"/>
    <w:rsid w:val="000E6DEC"/>
    <w:rsid w:val="001012AA"/>
    <w:rsid w:val="001023DD"/>
    <w:rsid w:val="00106AAA"/>
    <w:rsid w:val="00107681"/>
    <w:rsid w:val="001120E6"/>
    <w:rsid w:val="001155A3"/>
    <w:rsid w:val="00116EA4"/>
    <w:rsid w:val="00123E7E"/>
    <w:rsid w:val="001367E8"/>
    <w:rsid w:val="00140006"/>
    <w:rsid w:val="00140C24"/>
    <w:rsid w:val="001425E4"/>
    <w:rsid w:val="001437DE"/>
    <w:rsid w:val="001467DD"/>
    <w:rsid w:val="00147489"/>
    <w:rsid w:val="001530A5"/>
    <w:rsid w:val="00155AEE"/>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3A52"/>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3F653E"/>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5414"/>
    <w:rsid w:val="0048645D"/>
    <w:rsid w:val="00486518"/>
    <w:rsid w:val="004865B0"/>
    <w:rsid w:val="00487810"/>
    <w:rsid w:val="00495F9F"/>
    <w:rsid w:val="004A57A5"/>
    <w:rsid w:val="004A69CC"/>
    <w:rsid w:val="004B5387"/>
    <w:rsid w:val="004B6617"/>
    <w:rsid w:val="004B7CDC"/>
    <w:rsid w:val="004C7062"/>
    <w:rsid w:val="004D266E"/>
    <w:rsid w:val="004D6B3F"/>
    <w:rsid w:val="004E7745"/>
    <w:rsid w:val="004E7F54"/>
    <w:rsid w:val="004F0ECA"/>
    <w:rsid w:val="004F31C0"/>
    <w:rsid w:val="004F5D84"/>
    <w:rsid w:val="00505693"/>
    <w:rsid w:val="00510FCF"/>
    <w:rsid w:val="00515535"/>
    <w:rsid w:val="0052513C"/>
    <w:rsid w:val="00531BAB"/>
    <w:rsid w:val="00532448"/>
    <w:rsid w:val="00537B34"/>
    <w:rsid w:val="00537C7B"/>
    <w:rsid w:val="005537E0"/>
    <w:rsid w:val="00554FC6"/>
    <w:rsid w:val="0055797D"/>
    <w:rsid w:val="00561F32"/>
    <w:rsid w:val="0056326A"/>
    <w:rsid w:val="005637AD"/>
    <w:rsid w:val="00565EB2"/>
    <w:rsid w:val="00566E54"/>
    <w:rsid w:val="00571E6C"/>
    <w:rsid w:val="005732B6"/>
    <w:rsid w:val="005736E0"/>
    <w:rsid w:val="00581BE2"/>
    <w:rsid w:val="0058328D"/>
    <w:rsid w:val="00590345"/>
    <w:rsid w:val="00591936"/>
    <w:rsid w:val="005B2757"/>
    <w:rsid w:val="005B4AB2"/>
    <w:rsid w:val="005C3F76"/>
    <w:rsid w:val="005D5E1F"/>
    <w:rsid w:val="005D7BA9"/>
    <w:rsid w:val="005E17FC"/>
    <w:rsid w:val="005E7D74"/>
    <w:rsid w:val="00605028"/>
    <w:rsid w:val="006102A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97C0B"/>
    <w:rsid w:val="006A20BD"/>
    <w:rsid w:val="006A3628"/>
    <w:rsid w:val="006A4D21"/>
    <w:rsid w:val="006A5842"/>
    <w:rsid w:val="006C082B"/>
    <w:rsid w:val="006E4E3A"/>
    <w:rsid w:val="006F1172"/>
    <w:rsid w:val="006F193A"/>
    <w:rsid w:val="006F267C"/>
    <w:rsid w:val="006F4EC8"/>
    <w:rsid w:val="006F611A"/>
    <w:rsid w:val="00705EA3"/>
    <w:rsid w:val="00714D0A"/>
    <w:rsid w:val="00717AC0"/>
    <w:rsid w:val="0072165D"/>
    <w:rsid w:val="007237A6"/>
    <w:rsid w:val="007255E2"/>
    <w:rsid w:val="0072748C"/>
    <w:rsid w:val="007357B4"/>
    <w:rsid w:val="00740552"/>
    <w:rsid w:val="0074075B"/>
    <w:rsid w:val="0074200C"/>
    <w:rsid w:val="0074256B"/>
    <w:rsid w:val="00751EFD"/>
    <w:rsid w:val="0075212D"/>
    <w:rsid w:val="00765BEC"/>
    <w:rsid w:val="007829BF"/>
    <w:rsid w:val="00784B8B"/>
    <w:rsid w:val="0078613C"/>
    <w:rsid w:val="0079335D"/>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16F8"/>
    <w:rsid w:val="00845570"/>
    <w:rsid w:val="0084604E"/>
    <w:rsid w:val="00852231"/>
    <w:rsid w:val="00852708"/>
    <w:rsid w:val="008532DE"/>
    <w:rsid w:val="008559E4"/>
    <w:rsid w:val="008600F9"/>
    <w:rsid w:val="0086020A"/>
    <w:rsid w:val="00874767"/>
    <w:rsid w:val="00883918"/>
    <w:rsid w:val="00886ACA"/>
    <w:rsid w:val="008870F2"/>
    <w:rsid w:val="00895AB1"/>
    <w:rsid w:val="00895FB6"/>
    <w:rsid w:val="008A3903"/>
    <w:rsid w:val="008A7FA9"/>
    <w:rsid w:val="008B0C37"/>
    <w:rsid w:val="008B5CF0"/>
    <w:rsid w:val="008C6740"/>
    <w:rsid w:val="008C7002"/>
    <w:rsid w:val="008D391A"/>
    <w:rsid w:val="008D7AA8"/>
    <w:rsid w:val="008E7799"/>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B35B8"/>
    <w:rsid w:val="009C36DF"/>
    <w:rsid w:val="009C6482"/>
    <w:rsid w:val="009C7C03"/>
    <w:rsid w:val="009D3629"/>
    <w:rsid w:val="009E4939"/>
    <w:rsid w:val="009E646D"/>
    <w:rsid w:val="009F2B03"/>
    <w:rsid w:val="009F58DC"/>
    <w:rsid w:val="009F649A"/>
    <w:rsid w:val="009F743D"/>
    <w:rsid w:val="009F7B4A"/>
    <w:rsid w:val="00A13183"/>
    <w:rsid w:val="00A13213"/>
    <w:rsid w:val="00A17141"/>
    <w:rsid w:val="00A27620"/>
    <w:rsid w:val="00A313FA"/>
    <w:rsid w:val="00A35634"/>
    <w:rsid w:val="00A35B9D"/>
    <w:rsid w:val="00A47170"/>
    <w:rsid w:val="00A52511"/>
    <w:rsid w:val="00A5301A"/>
    <w:rsid w:val="00A57AAC"/>
    <w:rsid w:val="00A643C8"/>
    <w:rsid w:val="00A75F04"/>
    <w:rsid w:val="00A82B17"/>
    <w:rsid w:val="00A8530A"/>
    <w:rsid w:val="00A867DF"/>
    <w:rsid w:val="00A87B4B"/>
    <w:rsid w:val="00A95905"/>
    <w:rsid w:val="00A95BDD"/>
    <w:rsid w:val="00AA05A9"/>
    <w:rsid w:val="00AA5186"/>
    <w:rsid w:val="00AB5083"/>
    <w:rsid w:val="00AB5F98"/>
    <w:rsid w:val="00AB6D4E"/>
    <w:rsid w:val="00AC1347"/>
    <w:rsid w:val="00AC46B0"/>
    <w:rsid w:val="00AC4DDA"/>
    <w:rsid w:val="00AC63C1"/>
    <w:rsid w:val="00AC681A"/>
    <w:rsid w:val="00AE23C8"/>
    <w:rsid w:val="00AF6080"/>
    <w:rsid w:val="00B005BD"/>
    <w:rsid w:val="00B11CCB"/>
    <w:rsid w:val="00B12C37"/>
    <w:rsid w:val="00B14885"/>
    <w:rsid w:val="00B15C05"/>
    <w:rsid w:val="00B16DF5"/>
    <w:rsid w:val="00B20189"/>
    <w:rsid w:val="00B229A3"/>
    <w:rsid w:val="00B22C5A"/>
    <w:rsid w:val="00B24E32"/>
    <w:rsid w:val="00B26960"/>
    <w:rsid w:val="00B3331D"/>
    <w:rsid w:val="00B467DD"/>
    <w:rsid w:val="00B51EDB"/>
    <w:rsid w:val="00B5747D"/>
    <w:rsid w:val="00B601BB"/>
    <w:rsid w:val="00B62E08"/>
    <w:rsid w:val="00B63328"/>
    <w:rsid w:val="00B645DB"/>
    <w:rsid w:val="00B64A0B"/>
    <w:rsid w:val="00B65631"/>
    <w:rsid w:val="00B65E85"/>
    <w:rsid w:val="00B675A2"/>
    <w:rsid w:val="00B70FD4"/>
    <w:rsid w:val="00B840BA"/>
    <w:rsid w:val="00B84625"/>
    <w:rsid w:val="00B93021"/>
    <w:rsid w:val="00B93B95"/>
    <w:rsid w:val="00B94D00"/>
    <w:rsid w:val="00BB698C"/>
    <w:rsid w:val="00BC1C08"/>
    <w:rsid w:val="00BD3C4E"/>
    <w:rsid w:val="00BD6FBB"/>
    <w:rsid w:val="00BE0793"/>
    <w:rsid w:val="00BE2567"/>
    <w:rsid w:val="00BE37DD"/>
    <w:rsid w:val="00BF484F"/>
    <w:rsid w:val="00C0439D"/>
    <w:rsid w:val="00C0563F"/>
    <w:rsid w:val="00C06AF7"/>
    <w:rsid w:val="00C10A32"/>
    <w:rsid w:val="00C129B0"/>
    <w:rsid w:val="00C1512E"/>
    <w:rsid w:val="00C15FE1"/>
    <w:rsid w:val="00C2697E"/>
    <w:rsid w:val="00C2714F"/>
    <w:rsid w:val="00C30D25"/>
    <w:rsid w:val="00C35D4F"/>
    <w:rsid w:val="00C40639"/>
    <w:rsid w:val="00C441C7"/>
    <w:rsid w:val="00C518A5"/>
    <w:rsid w:val="00C524C5"/>
    <w:rsid w:val="00C570D3"/>
    <w:rsid w:val="00C574F1"/>
    <w:rsid w:val="00C665D7"/>
    <w:rsid w:val="00C7080C"/>
    <w:rsid w:val="00C8155A"/>
    <w:rsid w:val="00C838F3"/>
    <w:rsid w:val="00C8511F"/>
    <w:rsid w:val="00C920F1"/>
    <w:rsid w:val="00C95FA3"/>
    <w:rsid w:val="00CA10F5"/>
    <w:rsid w:val="00CA3EED"/>
    <w:rsid w:val="00CA697B"/>
    <w:rsid w:val="00CA7825"/>
    <w:rsid w:val="00CC06B9"/>
    <w:rsid w:val="00CC2116"/>
    <w:rsid w:val="00CC4247"/>
    <w:rsid w:val="00CC59CA"/>
    <w:rsid w:val="00CC5B2D"/>
    <w:rsid w:val="00CD59F2"/>
    <w:rsid w:val="00CD612B"/>
    <w:rsid w:val="00CD646A"/>
    <w:rsid w:val="00CE16C3"/>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C4F9F"/>
    <w:rsid w:val="00DD09CF"/>
    <w:rsid w:val="00DD6A3B"/>
    <w:rsid w:val="00DE281A"/>
    <w:rsid w:val="00DE34B5"/>
    <w:rsid w:val="00DE4D42"/>
    <w:rsid w:val="00DF02CD"/>
    <w:rsid w:val="00E06B0A"/>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64E92"/>
    <w:rsid w:val="00E73EEA"/>
    <w:rsid w:val="00E77680"/>
    <w:rsid w:val="00E822AA"/>
    <w:rsid w:val="00E9011E"/>
    <w:rsid w:val="00E95629"/>
    <w:rsid w:val="00EA3CB3"/>
    <w:rsid w:val="00EB0682"/>
    <w:rsid w:val="00EB1511"/>
    <w:rsid w:val="00EB7DB6"/>
    <w:rsid w:val="00EC6A1C"/>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2172"/>
    <w:rsid w:val="00F9363C"/>
    <w:rsid w:val="00F93DD0"/>
    <w:rsid w:val="00F93E33"/>
    <w:rsid w:val="00FA26EC"/>
    <w:rsid w:val="00FA462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672489962">
      <w:bodyDiv w:val="1"/>
      <w:marLeft w:val="0"/>
      <w:marRight w:val="0"/>
      <w:marTop w:val="0"/>
      <w:marBottom w:val="0"/>
      <w:divBdr>
        <w:top w:val="none" w:sz="0" w:space="0" w:color="auto"/>
        <w:left w:val="none" w:sz="0" w:space="0" w:color="auto"/>
        <w:bottom w:val="none" w:sz="0" w:space="0" w:color="auto"/>
        <w:right w:val="none" w:sz="0" w:space="0" w:color="auto"/>
      </w:divBdr>
    </w:div>
    <w:div w:id="1420444526">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659383828">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sChild>
                                                                                                                                                                                                                                    <w:div w:id="808782876">
                                                                                                                                                                                                                                      <w:marLeft w:val="0"/>
                                                                                                                                                                                                                                      <w:marRight w:val="0"/>
                                                                                                                                                                                                                                      <w:marTop w:val="0"/>
                                                                                                                                                                                                                                      <w:marBottom w:val="0"/>
                                                                                                                                                                                                                                      <w:divBdr>
                                                                                                                                                                                                                                        <w:top w:val="none" w:sz="0" w:space="0" w:color="auto"/>
                                                                                                                                                                                                                                        <w:left w:val="none" w:sz="0" w:space="0" w:color="auto"/>
                                                                                                                                                                                                                                        <w:bottom w:val="none" w:sz="0" w:space="0" w:color="auto"/>
                                                                                                                                                                                                                                        <w:right w:val="none" w:sz="0" w:space="0" w:color="auto"/>
                                                                                                                                                                                                                                      </w:divBdr>
                                                                                                                                                                                                                                      <w:divsChild>
                                                                                                                                                                                                                                        <w:div w:id="1132671688">
                                                                                                                                                                                                                                          <w:marLeft w:val="0"/>
                                                                                                                                                                                                                                          <w:marRight w:val="0"/>
                                                                                                                                                                                                                                          <w:marTop w:val="0"/>
                                                                                                                                                                                                                                          <w:marBottom w:val="0"/>
                                                                                                                                                                                                                                          <w:divBdr>
                                                                                                                                                                                                                                            <w:top w:val="none" w:sz="0" w:space="0" w:color="auto"/>
                                                                                                                                                                                                                                            <w:left w:val="none" w:sz="0" w:space="0" w:color="auto"/>
                                                                                                                                                                                                                                            <w:bottom w:val="none" w:sz="0" w:space="0" w:color="auto"/>
                                                                                                                                                                                                                                            <w:right w:val="none" w:sz="0" w:space="0" w:color="auto"/>
                                                                                                                                                                                                                                          </w:divBdr>
                                                                                                                                                                                                                                          <w:divsChild>
                                                                                                                                                                                                                                            <w:div w:id="1504277651">
                                                                                                                                                                                                                                              <w:marLeft w:val="0"/>
                                                                                                                                                                                                                                              <w:marRight w:val="0"/>
                                                                                                                                                                                                                                              <w:marTop w:val="0"/>
                                                                                                                                                                                                                                              <w:marBottom w:val="0"/>
                                                                                                                                                                                                                                              <w:divBdr>
                                                                                                                                                                                                                                                <w:top w:val="none" w:sz="0" w:space="0" w:color="auto"/>
                                                                                                                                                                                                                                                <w:left w:val="none" w:sz="0" w:space="0" w:color="auto"/>
                                                                                                                                                                                                                                                <w:bottom w:val="none" w:sz="0" w:space="0" w:color="auto"/>
                                                                                                                                                                                                                                                <w:right w:val="none" w:sz="0" w:space="0" w:color="auto"/>
                                                                                                                                                                                                                                              </w:divBdr>
                                                                                                                                                                                                                                              <w:divsChild>
                                                                                                                                                                                                                                                <w:div w:id="1609041887">
                                                                                                                                                                                                                                                  <w:marLeft w:val="0"/>
                                                                                                                                                                                                                                                  <w:marRight w:val="0"/>
                                                                                                                                                                                                                                                  <w:marTop w:val="0"/>
                                                                                                                                                                                                                                                  <w:marBottom w:val="0"/>
                                                                                                                                                                                                                                                  <w:divBdr>
                                                                                                                                                                                                                                                    <w:top w:val="none" w:sz="0" w:space="0" w:color="auto"/>
                                                                                                                                                                                                                                                    <w:left w:val="none" w:sz="0" w:space="0" w:color="auto"/>
                                                                                                                                                                                                                                                    <w:bottom w:val="none" w:sz="0" w:space="0" w:color="auto"/>
                                                                                                                                                                                                                                                    <w:right w:val="none" w:sz="0" w:space="0" w:color="auto"/>
                                                                                                                                                                                                                                                  </w:divBdr>
                                                                                                                                                                                                                                                  <w:divsChild>
                                                                                                                                                                                                                                                    <w:div w:id="1553274026">
                                                                                                                                                                                                                                                      <w:marLeft w:val="0"/>
                                                                                                                                                                                                                                                      <w:marRight w:val="0"/>
                                                                                                                                                                                                                                                      <w:marTop w:val="0"/>
                                                                                                                                                                                                                                                      <w:marBottom w:val="0"/>
                                                                                                                                                                                                                                                      <w:divBdr>
                                                                                                                                                                                                                                                        <w:top w:val="none" w:sz="0" w:space="0" w:color="auto"/>
                                                                                                                                                                                                                                                        <w:left w:val="none" w:sz="0" w:space="0" w:color="auto"/>
                                                                                                                                                                                                                                                        <w:bottom w:val="none" w:sz="0" w:space="0" w:color="auto"/>
                                                                                                                                                                                                                                                        <w:right w:val="none" w:sz="0" w:space="0" w:color="auto"/>
                                                                                                                                                                                                                                                      </w:divBdr>
                                                                                                                                                                                                                                                      <w:divsChild>
                                                                                                                                                                                                                                                        <w:div w:id="9601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563925">
      <w:bodyDiv w:val="1"/>
      <w:marLeft w:val="0"/>
      <w:marRight w:val="0"/>
      <w:marTop w:val="0"/>
      <w:marBottom w:val="0"/>
      <w:divBdr>
        <w:top w:val="none" w:sz="0" w:space="0" w:color="auto"/>
        <w:left w:val="none" w:sz="0" w:space="0" w:color="auto"/>
        <w:bottom w:val="none" w:sz="0" w:space="0" w:color="auto"/>
        <w:right w:val="none" w:sz="0" w:space="0" w:color="auto"/>
      </w:divBdr>
    </w:div>
    <w:div w:id="2026589269">
      <w:bodyDiv w:val="1"/>
      <w:marLeft w:val="0"/>
      <w:marRight w:val="0"/>
      <w:marTop w:val="0"/>
      <w:marBottom w:val="0"/>
      <w:divBdr>
        <w:top w:val="none" w:sz="0" w:space="0" w:color="auto"/>
        <w:left w:val="none" w:sz="0" w:space="0" w:color="auto"/>
        <w:bottom w:val="none" w:sz="0" w:space="0" w:color="auto"/>
        <w:right w:val="none" w:sz="0" w:space="0" w:color="auto"/>
      </w:divBdr>
    </w:div>
    <w:div w:id="2145124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0DFE1-B6C0-A342-9FB8-AF014D5A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31</Pages>
  <Words>32575</Words>
  <Characters>185678</Characters>
  <Application>Microsoft Macintosh Word</Application>
  <DocSecurity>0</DocSecurity>
  <Lines>1547</Lines>
  <Paragraphs>435</Paragraphs>
  <ScaleCrop>false</ScaleCrop>
  <Company>UTHSC</Company>
  <LinksUpToDate>false</LinksUpToDate>
  <CharactersWithSpaces>217818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111</cp:revision>
  <cp:lastPrinted>2014-10-23T19:33:00Z</cp:lastPrinted>
  <dcterms:created xsi:type="dcterms:W3CDTF">2014-10-23T19:27:00Z</dcterms:created>
  <dcterms:modified xsi:type="dcterms:W3CDTF">2015-02-13T15:40:00Z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