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0093A94A" w:rsidR="00404E72" w:rsidRDefault="00404E72" w:rsidP="0028099F">
      <w:pPr>
        <w:spacing w:line="360" w:lineRule="auto"/>
        <w:jc w:val="both"/>
      </w:pPr>
      <w:r>
        <w:t>Raptor plays a role in late muscle development in Drosophila.</w:t>
      </w:r>
    </w:p>
    <w:p w14:paraId="782C1B86" w14:textId="77777777" w:rsidR="00404E72" w:rsidRDefault="00404E72" w:rsidP="0028099F">
      <w:pPr>
        <w:spacing w:line="360" w:lineRule="auto"/>
        <w:jc w:val="both"/>
      </w:pPr>
    </w:p>
    <w:p w14:paraId="5BE33709" w14:textId="77777777" w:rsidR="00404E72" w:rsidRDefault="00404E72" w:rsidP="0028099F">
      <w:pPr>
        <w:spacing w:line="360" w:lineRule="auto"/>
        <w:jc w:val="both"/>
      </w:pPr>
    </w:p>
    <w:p w14:paraId="36C349AF" w14:textId="0AAA70E2" w:rsidR="00404E72" w:rsidRDefault="00404E72" w:rsidP="0028099F">
      <w:pPr>
        <w:spacing w:line="360" w:lineRule="auto"/>
        <w:jc w:val="both"/>
      </w:pPr>
      <w:r>
        <w:t>Isabella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8099F">
      <w:pPr>
        <w:spacing w:line="360" w:lineRule="auto"/>
        <w:jc w:val="both"/>
      </w:pPr>
    </w:p>
    <w:p w14:paraId="72CA4CD6" w14:textId="1197E149" w:rsidR="00404E72" w:rsidRDefault="00404E72" w:rsidP="0028099F">
      <w:pPr>
        <w:spacing w:line="36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8099F">
      <w:pPr>
        <w:spacing w:line="360" w:lineRule="auto"/>
        <w:jc w:val="both"/>
      </w:pPr>
    </w:p>
    <w:p w14:paraId="58624DB3" w14:textId="4E4BAFE8" w:rsidR="00404E72" w:rsidRDefault="00404E72" w:rsidP="0028099F">
      <w:pPr>
        <w:spacing w:line="360" w:lineRule="auto"/>
        <w:jc w:val="both"/>
      </w:pPr>
      <w:r>
        <w:t>*Corresponding Author</w:t>
      </w:r>
    </w:p>
    <w:p w14:paraId="4DA6EF24" w14:textId="77777777" w:rsidR="00B645DB" w:rsidRDefault="00B645DB" w:rsidP="00241C16">
      <w:pPr>
        <w:spacing w:line="360" w:lineRule="auto"/>
        <w:jc w:val="both"/>
      </w:pPr>
      <w:r>
        <w:br w:type="page"/>
      </w:r>
    </w:p>
    <w:p w14:paraId="63515970" w14:textId="77777777" w:rsidR="000E6DEC" w:rsidRDefault="000E6DEC" w:rsidP="00241C16">
      <w:pPr>
        <w:spacing w:line="360" w:lineRule="auto"/>
        <w:jc w:val="both"/>
      </w:pPr>
    </w:p>
    <w:p w14:paraId="0FF1E8F0" w14:textId="6C32BF50" w:rsidR="00DD6A3B" w:rsidRDefault="00DD6A3B" w:rsidP="00241C16">
      <w:pPr>
        <w:pStyle w:val="Heading1"/>
        <w:spacing w:line="360" w:lineRule="auto"/>
        <w:jc w:val="both"/>
      </w:pPr>
      <w:r>
        <w:t>Abstract</w:t>
      </w:r>
    </w:p>
    <w:p w14:paraId="4E81FF7A" w14:textId="390FA8F1" w:rsidR="00DD6A3B" w:rsidRPr="00515535" w:rsidRDefault="00515535" w:rsidP="001C2994">
      <w:pPr>
        <w:spacing w:line="360" w:lineRule="auto"/>
        <w:jc w:val="both"/>
      </w:pPr>
      <w:r>
        <w:t xml:space="preserve">Myogenesis is an important process both </w:t>
      </w:r>
      <w:r w:rsidR="00404E72">
        <w:t xml:space="preserve">during </w:t>
      </w:r>
      <w:r>
        <w:t xml:space="preserve">development and in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 pathway during muscle development</w:t>
      </w:r>
      <w:r>
        <w:t xml:space="preserve">.  To </w:t>
      </w:r>
      <w:r w:rsidR="00404E72">
        <w:t>investigate the possibility that mTOR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Raptor causes </w:t>
      </w:r>
      <w:r w:rsidR="00F9363C">
        <w:t>flies to be stuck in their pupal cases prior to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1C2994">
      <w:pPr>
        <w:pStyle w:val="Heading1"/>
        <w:spacing w:line="360" w:lineRule="auto"/>
        <w:jc w:val="both"/>
      </w:pPr>
      <w:r>
        <w:t>Background</w:t>
      </w:r>
    </w:p>
    <w:p w14:paraId="4114FCDB" w14:textId="7904E6F7" w:rsidR="006A4D21" w:rsidRDefault="00C665D7" w:rsidP="001C2994">
      <w:pPr>
        <w:spacing w:line="36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41C16">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241C16" w:rsidRPr="00241C16">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41C16">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241C16" w:rsidRPr="00241C16">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241C16">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241C16" w:rsidRPr="00241C16">
        <w:rPr>
          <w:noProof/>
          <w:vertAlign w:val="superscript"/>
        </w:rPr>
        <w:t>6,7</w:t>
      </w:r>
      <w:r w:rsidR="004B5387">
        <w:fldChar w:fldCharType="end"/>
      </w:r>
      <w:r w:rsidR="00D71024">
        <w:t>, adipogenesis</w:t>
      </w:r>
      <w:r w:rsidR="00D71024">
        <w:fldChar w:fldCharType="begin" w:fldLock="1"/>
      </w:r>
      <w:r w:rsidR="00241C16">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241C16" w:rsidRPr="00241C16">
        <w:rPr>
          <w:noProof/>
          <w:vertAlign w:val="superscript"/>
        </w:rPr>
        <w:t>8</w:t>
      </w:r>
      <w:r w:rsidR="00D71024">
        <w:fldChar w:fldCharType="end"/>
      </w:r>
      <w:r w:rsidR="00D71024">
        <w:t xml:space="preserve"> and myogenesis</w:t>
      </w:r>
      <w:r w:rsidR="00D71024">
        <w:fldChar w:fldCharType="begin" w:fldLock="1"/>
      </w:r>
      <w:r w:rsidR="00241C16">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241C16" w:rsidRPr="00241C16">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241C16" w:rsidRPr="00241C16">
        <w:rPr>
          <w:noProof/>
          <w:vertAlign w:val="superscript"/>
        </w:rPr>
        <w:t>12–14</w:t>
      </w:r>
      <w:r w:rsidR="004B5387">
        <w:fldChar w:fldCharType="end"/>
      </w:r>
      <w:r w:rsidR="004B5387">
        <w:t>, worms</w:t>
      </w:r>
      <w:r w:rsidR="004B5387">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241C16" w:rsidRPr="00241C16">
        <w:rPr>
          <w:noProof/>
          <w:vertAlign w:val="superscript"/>
        </w:rPr>
        <w:t>15</w:t>
      </w:r>
      <w:r w:rsidR="004B5387">
        <w:fldChar w:fldCharType="end"/>
      </w:r>
      <w:r w:rsidR="004B5387">
        <w:t xml:space="preserve"> and fruit flies</w:t>
      </w:r>
      <w:r w:rsidR="004B5387">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241C16" w:rsidRPr="00241C16">
        <w:rPr>
          <w:noProof/>
          <w:vertAlign w:val="superscript"/>
        </w:rPr>
        <w:t>16</w:t>
      </w:r>
      <w:r w:rsidR="004B5387">
        <w:fldChar w:fldCharType="end"/>
      </w:r>
      <w:r w:rsidR="004B5387">
        <w:t xml:space="preserve">.  </w:t>
      </w:r>
    </w:p>
    <w:p w14:paraId="5C9B413C" w14:textId="77777777" w:rsidR="006A4D21" w:rsidRDefault="006A4D21" w:rsidP="001C2994">
      <w:pPr>
        <w:spacing w:line="360" w:lineRule="auto"/>
        <w:jc w:val="both"/>
      </w:pPr>
    </w:p>
    <w:p w14:paraId="4B2289B1" w14:textId="077DEA25" w:rsidR="006A4D21" w:rsidRPr="00335C71" w:rsidRDefault="006A4D21" w:rsidP="001C2994">
      <w:pPr>
        <w:spacing w:line="36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241C16">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241C16" w:rsidRPr="00241C16">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 </w:t>
      </w:r>
      <w:r w:rsidR="00335C71">
        <w:fldChar w:fldCharType="begin" w:fldLock="1"/>
      </w:r>
      <w:r w:rsidR="00241C16">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241C16" w:rsidRPr="00241C16">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241C16" w:rsidRPr="00241C16">
        <w:rPr>
          <w:noProof/>
          <w:vertAlign w:val="superscript"/>
        </w:rPr>
        <w:t>22</w:t>
      </w:r>
      <w:r w:rsidR="00650720">
        <w:fldChar w:fldCharType="end"/>
      </w:r>
      <w:r w:rsidR="00650720">
        <w:t xml:space="preserve">.  </w:t>
      </w:r>
    </w:p>
    <w:p w14:paraId="07091E8D" w14:textId="77777777" w:rsidR="006A4D21" w:rsidRDefault="006A4D21" w:rsidP="001C2994">
      <w:pPr>
        <w:spacing w:line="360" w:lineRule="auto"/>
        <w:jc w:val="both"/>
      </w:pPr>
    </w:p>
    <w:p w14:paraId="1C1D99DD" w14:textId="44C7B111" w:rsidR="00C2697E" w:rsidRPr="006A4D21" w:rsidRDefault="004B5387" w:rsidP="001C2994">
      <w:pPr>
        <w:spacing w:line="36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1C2994">
      <w:pPr>
        <w:pStyle w:val="Heading1"/>
        <w:spacing w:line="360" w:lineRule="auto"/>
        <w:jc w:val="both"/>
      </w:pPr>
      <w:r>
        <w:t xml:space="preserve">Materials and </w:t>
      </w:r>
      <w:r w:rsidR="00C2697E">
        <w:t>Methods</w:t>
      </w:r>
      <w:r w:rsidR="004B5387">
        <w:t xml:space="preserve"> </w:t>
      </w:r>
    </w:p>
    <w:p w14:paraId="0EDDAC07" w14:textId="287BDBE2" w:rsidR="00E56C2A" w:rsidRPr="00E56C2A" w:rsidRDefault="00411E0B" w:rsidP="001C2994">
      <w:pPr>
        <w:pStyle w:val="Heading2"/>
        <w:spacing w:line="360" w:lineRule="auto"/>
        <w:jc w:val="both"/>
      </w:pPr>
      <w:r>
        <w:t>Tissue Culture and Myotube Formation</w:t>
      </w:r>
    </w:p>
    <w:p w14:paraId="0D35AB59" w14:textId="3C5C263A" w:rsidR="00F444D6" w:rsidRDefault="00E56C2A" w:rsidP="001C2994">
      <w:pPr>
        <w:spacing w:line="36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1C2994">
        <w:t xml:space="preserve"> (from Sigma-Aldrich)</w:t>
      </w:r>
      <w:r w:rsidRPr="00E56C2A">
        <w:t xml:space="preserve"> </w:t>
      </w:r>
      <w:r w:rsidR="00581BE2">
        <w:t>in DMEM</w:t>
      </w:r>
      <w:r w:rsidR="001C2994">
        <w:t xml:space="preserve"> with PSG </w:t>
      </w:r>
      <w:r w:rsidR="00581BE2">
        <w:t>was added</w:t>
      </w:r>
      <w:r w:rsidR="00C06AF7">
        <w:t xml:space="preserve"> as previously described (</w:t>
      </w:r>
      <w:commentRangeStart w:id="0"/>
      <w:r w:rsidR="00C06AF7" w:rsidRPr="001C2994">
        <w:rPr>
          <w:highlight w:val="yellow"/>
        </w:rPr>
        <w:t>REF</w:t>
      </w:r>
      <w:commentRangeEnd w:id="0"/>
      <w:r w:rsidR="001C2994">
        <w:rPr>
          <w:rStyle w:val="CommentReference"/>
        </w:rPr>
        <w:commentReference w:id="0"/>
      </w:r>
      <w:ins w:id="1" w:author="Reiter" w:date="2014-08-13T13:21:00Z">
        <w:r w:rsidR="00C06AF7">
          <w:t>)</w:t>
        </w:r>
      </w:ins>
      <w:r w:rsidR="00581BE2">
        <w:t xml:space="preserve">. </w:t>
      </w:r>
      <w:r w:rsidRPr="00E56C2A">
        <w:t xml:space="preserve">To determine when specific markers for differentiation were being expressed, cell lysates were </w:t>
      </w:r>
      <w:r w:rsidR="00581BE2">
        <w:t>generated</w:t>
      </w:r>
      <w:r w:rsidRPr="00E56C2A">
        <w:t xml:space="preserve"> on days 0, 0.25, 1, 2, 4, 6, 10 and 15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1C2994">
      <w:pPr>
        <w:pStyle w:val="Heading2"/>
        <w:spacing w:line="360" w:lineRule="auto"/>
        <w:jc w:val="both"/>
      </w:pPr>
      <w:r>
        <w:t xml:space="preserve">Quantitative </w:t>
      </w:r>
      <w:r w:rsidR="00F444D6">
        <w:t>Real Time PCR</w:t>
      </w:r>
    </w:p>
    <w:p w14:paraId="1EBF392B" w14:textId="0DD76184" w:rsidR="00DB29A1" w:rsidRPr="00061E90" w:rsidRDefault="00E56C2A" w:rsidP="001C2994">
      <w:pPr>
        <w:spacing w:line="36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was not changed across rapamycin</w:t>
      </w:r>
      <w:r w:rsidR="00174E48">
        <w:t xml:space="preserve"> 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241C16">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"&lt;sup&gt;23&lt;/sup&gt;" }, "properties" : { "noteIndex" : 0 }, "schema" : "https://github.com/citation-style-language/schema/raw/master/csl-citation.json" }</w:instrText>
      </w:r>
      <w:r w:rsidR="0028099F">
        <w:fldChar w:fldCharType="separate"/>
      </w:r>
      <w:r w:rsidR="00241C16" w:rsidRPr="00241C16">
        <w:rPr>
          <w:noProof/>
          <w:vertAlign w:val="superscript"/>
        </w:rPr>
        <w:t>23</w:t>
      </w:r>
      <w:r w:rsidR="0028099F">
        <w:fldChar w:fldCharType="end"/>
      </w:r>
      <w:r w:rsidR="00174E48">
        <w:t>.</w:t>
      </w:r>
    </w:p>
    <w:p w14:paraId="2496D9B5" w14:textId="155A4C40" w:rsidR="00411E0B" w:rsidRDefault="003D7FB2" w:rsidP="001C2994">
      <w:pPr>
        <w:pStyle w:val="Heading2"/>
        <w:spacing w:line="360" w:lineRule="auto"/>
        <w:jc w:val="both"/>
      </w:pPr>
      <w:r>
        <w:t>Drosophila</w:t>
      </w:r>
      <w:r w:rsidR="00532448">
        <w:t xml:space="preserve"> Stocks and Crosses</w:t>
      </w:r>
    </w:p>
    <w:p w14:paraId="35D61979" w14:textId="3158E437" w:rsidR="00C2697E" w:rsidRDefault="00C15FE1" w:rsidP="001C2994">
      <w:pPr>
        <w:spacing w:line="36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UAS-shRNA TRiP lines used (stock #s) were obtained from the Bloomington Stocks Center (Bloomington, IN).  </w:t>
      </w:r>
      <w:r w:rsidR="00532448">
        <w:t xml:space="preserve">All flies were raised at 25 °C on standard corn meal media 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picked out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241C16">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"&lt;sup&gt;24&lt;/sup&gt;" }, "properties" : { "noteIndex" : 0 }, "schema" : "https://github.com/citation-style-language/schema/raw/master/csl-citation.json" }</w:instrText>
      </w:r>
      <w:r w:rsidR="00241C16">
        <w:fldChar w:fldCharType="separate"/>
      </w:r>
      <w:r w:rsidR="00241C16" w:rsidRPr="00241C16">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74539FEE" w:rsidR="001B4D8C" w:rsidRDefault="001B4D8C" w:rsidP="001C2994">
      <w:pPr>
        <w:pStyle w:val="Heading2"/>
        <w:spacing w:line="360" w:lineRule="auto"/>
        <w:jc w:val="both"/>
      </w:pPr>
      <w:r>
        <w:t>Examining Pup</w:t>
      </w:r>
      <w:r w:rsidRPr="00486518">
        <w:t>a</w:t>
      </w:r>
      <w:r>
        <w:t>l Cases</w:t>
      </w:r>
    </w:p>
    <w:p w14:paraId="51471E38" w14:textId="08F30DC7" w:rsidR="001B4D8C" w:rsidRDefault="001B4D8C" w:rsidP="001C2994">
      <w:pPr>
        <w:spacing w:line="360" w:lineRule="auto"/>
        <w:jc w:val="both"/>
      </w:pPr>
      <w:r>
        <w:t xml:space="preserve">Twenty days after the </w:t>
      </w:r>
      <w:r>
        <w:rPr>
          <w:i/>
        </w:rPr>
        <w:t>C179-</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1C2994">
      <w:pPr>
        <w:spacing w:line="360" w:lineRule="auto"/>
        <w:jc w:val="both"/>
      </w:pPr>
    </w:p>
    <w:p w14:paraId="38C110C4" w14:textId="4300CE55" w:rsidR="008600F9" w:rsidRPr="001B4D8C" w:rsidRDefault="008600F9" w:rsidP="008600F9">
      <w:pPr>
        <w:pStyle w:val="Heading2"/>
      </w:pPr>
      <w:commentRangeStart w:id="2"/>
      <w:r>
        <w:t>Manual Assistance of Eclosure</w:t>
      </w:r>
      <w:commentRangeEnd w:id="2"/>
      <w:r>
        <w:rPr>
          <w:rStyle w:val="CommentReference"/>
          <w:rFonts w:asciiTheme="minorHAnsi" w:eastAsiaTheme="minorEastAsia" w:hAnsiTheme="minorHAnsi" w:cstheme="minorBidi"/>
          <w:b w:val="0"/>
          <w:bCs w:val="0"/>
          <w:color w:val="auto"/>
        </w:rPr>
        <w:commentReference w:id="2"/>
      </w:r>
    </w:p>
    <w:p w14:paraId="1521F283" w14:textId="729E7FA9" w:rsidR="00EB1511" w:rsidRDefault="00581BE2" w:rsidP="001C2994">
      <w:pPr>
        <w:pStyle w:val="Heading2"/>
        <w:spacing w:line="360" w:lineRule="auto"/>
        <w:jc w:val="both"/>
      </w:pPr>
      <w:r>
        <w:t>Climbing</w:t>
      </w:r>
      <w:r w:rsidR="00EB1511">
        <w:t xml:space="preserve"> Assay</w:t>
      </w:r>
    </w:p>
    <w:p w14:paraId="78C000B5" w14:textId="0C1F78E4" w:rsidR="00EB1511" w:rsidRDefault="003937DA" w:rsidP="001C2994">
      <w:pPr>
        <w:spacing w:line="360" w:lineRule="auto"/>
        <w:jc w:val="both"/>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 xml:space="preserve">the side of the vial. 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1C2994">
      <w:pPr>
        <w:spacing w:line="360" w:lineRule="auto"/>
        <w:jc w:val="both"/>
      </w:pPr>
    </w:p>
    <w:p w14:paraId="1C26E0EA" w14:textId="7167E3B9" w:rsidR="00F3104E" w:rsidRDefault="00B26960" w:rsidP="001C2994">
      <w:pPr>
        <w:pStyle w:val="Heading2"/>
        <w:spacing w:line="360" w:lineRule="auto"/>
        <w:jc w:val="both"/>
      </w:pPr>
      <w:r>
        <w:t>Statistics</w:t>
      </w:r>
    </w:p>
    <w:p w14:paraId="5A772658" w14:textId="7899CD7B" w:rsidR="00B26960" w:rsidRPr="00B26960" w:rsidRDefault="00B26960" w:rsidP="001C2994">
      <w:pPr>
        <w:spacing w:line="360" w:lineRule="auto"/>
        <w:jc w:val="both"/>
      </w:pPr>
      <w:r>
        <w:t>Statistical analyses were performed using the R statistical package, version 3.1.0</w:t>
      </w:r>
      <w:r w:rsidR="00F3104E">
        <w:fldChar w:fldCharType="begin" w:fldLock="1"/>
      </w:r>
      <w:r w:rsidR="00241C16">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"&lt;sup&gt;25&lt;/sup&gt;" }, "properties" : { "noteIndex" : 0 }, "schema" : "https://github.com/citation-style-language/schema/raw/master/csl-citation.json" }</w:instrText>
      </w:r>
      <w:r w:rsidR="00F3104E">
        <w:fldChar w:fldCharType="separate"/>
      </w:r>
      <w:r w:rsidR="00241C16" w:rsidRPr="00241C16">
        <w:rPr>
          <w:noProof/>
          <w:vertAlign w:val="superscript"/>
        </w:rPr>
        <w:t>25</w:t>
      </w:r>
      <w:r w:rsidR="00F3104E">
        <w:fldChar w:fldCharType="end"/>
      </w:r>
      <w:r w:rsidR="00F3104E">
        <w:t>.  Prior to performing ANOVA analyses, normality was assessed by Shapiro-Wilk test and equal variance was tested using a Levene’s test (from the car package, version 2.0-20</w:t>
      </w:r>
      <w:r w:rsidR="00F3104E">
        <w:fldChar w:fldCharType="begin" w:fldLock="1"/>
      </w:r>
      <w:r w:rsidR="00241C16">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"&lt;sup&gt;26&lt;/sup&gt;" }, "properties" : { "noteIndex" : 0 }, "schema" : "https://github.com/citation-style-language/schema/raw/master/csl-citation.json" }</w:instrText>
      </w:r>
      <w:r w:rsidR="00F3104E">
        <w:fldChar w:fldCharType="separate"/>
      </w:r>
      <w:r w:rsidR="00241C16" w:rsidRPr="00241C16">
        <w:rPr>
          <w:noProof/>
          <w:vertAlign w:val="superscript"/>
        </w:rPr>
        <w:t>26</w:t>
      </w:r>
      <w:r w:rsidR="00F3104E">
        <w:fldChar w:fldCharType="end"/>
      </w:r>
      <w:r w:rsidR="00F3104E">
        <w:t xml:space="preserve">).  If both these assumptions were met (p&gt;0.05) an ANOVA was performed. </w:t>
      </w:r>
      <w:r w:rsidR="004A69CC">
        <w:t>If either of these assumptions failed, a Kruskal-Wallis test was performed.  If either of those omnibus tests reached significance, then Student’s T-Tests 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241C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"&lt;sup&gt;27&lt;/sup&gt;" }, "properties" : { "noteIndex" : 0 }, "schema" : "https://github.com/citation-style-language/schema/raw/master/csl-citation.json" }</w:instrText>
      </w:r>
      <w:r w:rsidR="009364BA">
        <w:fldChar w:fldCharType="separate"/>
      </w:r>
      <w:r w:rsidR="00241C16" w:rsidRPr="00241C16">
        <w:rPr>
          <w:noProof/>
          <w:vertAlign w:val="superscript"/>
        </w:rPr>
        <w:t>27</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1C2994">
      <w:pPr>
        <w:pStyle w:val="ListParagraph"/>
        <w:spacing w:line="360" w:lineRule="auto"/>
        <w:jc w:val="both"/>
      </w:pPr>
    </w:p>
    <w:p w14:paraId="19086DCB" w14:textId="05C664F2" w:rsidR="00C2697E" w:rsidRDefault="00C2697E" w:rsidP="001C2994">
      <w:pPr>
        <w:pStyle w:val="Heading1"/>
        <w:spacing w:line="360" w:lineRule="auto"/>
        <w:jc w:val="both"/>
      </w:pPr>
      <w:r>
        <w:t>Results</w:t>
      </w:r>
      <w:r w:rsidR="0040324E">
        <w:t xml:space="preserve"> and Discussion</w:t>
      </w:r>
    </w:p>
    <w:p w14:paraId="0AAA9A61" w14:textId="77777777" w:rsidR="00C2697E" w:rsidRPr="00C2697E" w:rsidRDefault="00C2697E" w:rsidP="001C2994">
      <w:pPr>
        <w:spacing w:line="360" w:lineRule="auto"/>
        <w:jc w:val="both"/>
        <w:rPr>
          <w:b/>
        </w:rPr>
      </w:pPr>
    </w:p>
    <w:p w14:paraId="35C30A0D" w14:textId="01FCFF35" w:rsidR="00E56C2A" w:rsidRDefault="00162960" w:rsidP="001C2994">
      <w:pPr>
        <w:pStyle w:val="Heading2"/>
        <w:spacing w:line="360" w:lineRule="auto"/>
        <w:jc w:val="both"/>
      </w:pPr>
      <w:r>
        <w:t>Rapamycin Inhibits Differentiation of Muscle Cells in Culture</w:t>
      </w:r>
    </w:p>
    <w:p w14:paraId="4CEA9500" w14:textId="585F58E9" w:rsidR="00E56C2A" w:rsidRPr="00E56C2A" w:rsidRDefault="00581BE2" w:rsidP="001C2994">
      <w:pPr>
        <w:spacing w:line="360" w:lineRule="auto"/>
        <w:jc w:val="both"/>
      </w:pPr>
      <w:r>
        <w:t xml:space="preserve">To determine the order in which myogenic markers are induced,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RT-qPCR to measure </w:t>
      </w:r>
      <w:r w:rsidR="0078613C">
        <w:t>transcripts</w:t>
      </w:r>
      <w:r w:rsidR="00E56C2A" w:rsidRPr="00E56C2A">
        <w:t xml:space="preserve"> of the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around day 5 or 6 (Figure 1A). This is </w:t>
      </w:r>
      <w:r w:rsidR="0078613C">
        <w:t>consistent</w:t>
      </w:r>
      <w:r>
        <w:t xml:space="preserve"> previous observations </w:t>
      </w:r>
      <w:r w:rsidR="008600F9">
        <w:t>of the transcriptional changes associated with muscle differentiation of cells in culture</w:t>
      </w:r>
      <w:r>
        <w:fldChar w:fldCharType="begin" w:fldLock="1"/>
      </w:r>
      <w:r w:rsidR="00241C16">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"&lt;sup&gt;28&lt;/sup&gt;" }, "properties" : { "noteIndex" : 0 }, "schema" : "https://github.com/citation-style-language/schema/raw/master/csl-citation.json" }</w:instrText>
      </w:r>
      <w:r>
        <w:fldChar w:fldCharType="separate"/>
      </w:r>
      <w:r w:rsidR="00241C16" w:rsidRPr="00241C16">
        <w:rPr>
          <w:noProof/>
          <w:vertAlign w:val="superscript"/>
        </w:rPr>
        <w:t>28</w:t>
      </w:r>
      <w:r>
        <w:fldChar w:fldCharType="end"/>
      </w:r>
      <w:r>
        <w:t>.</w:t>
      </w:r>
      <w:r w:rsidR="00E56C2A" w:rsidRPr="00E56C2A">
        <w:t xml:space="preserve"> </w:t>
      </w:r>
    </w:p>
    <w:p w14:paraId="5E630208" w14:textId="77777777" w:rsidR="00E56C2A" w:rsidRPr="00E56C2A" w:rsidRDefault="00E56C2A" w:rsidP="001C2994">
      <w:pPr>
        <w:spacing w:line="360" w:lineRule="auto"/>
        <w:jc w:val="both"/>
      </w:pPr>
    </w:p>
    <w:p w14:paraId="79F31CE8" w14:textId="5DBC26A1" w:rsidR="004D266E" w:rsidRDefault="00E56C2A" w:rsidP="001C2994">
      <w:pPr>
        <w:spacing w:line="36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rapamycin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myotubes (Figure 1C). </w:t>
      </w:r>
    </w:p>
    <w:p w14:paraId="32D68E85" w14:textId="77777777" w:rsidR="004D266E" w:rsidRDefault="004D266E" w:rsidP="001C2994">
      <w:pPr>
        <w:spacing w:line="360" w:lineRule="auto"/>
        <w:jc w:val="both"/>
      </w:pPr>
    </w:p>
    <w:p w14:paraId="6BF140A1" w14:textId="33DD22FD" w:rsidR="004D266E" w:rsidRDefault="004D266E" w:rsidP="001C2994">
      <w:pPr>
        <w:spacing w:line="36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297FB0">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297FB0" w:rsidRPr="00241C16">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241C16">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"&lt;sup&gt;29&lt;/sup&gt;" }, "properties" : { "noteIndex" : 0 }, "schema" : "https://github.com/citation-style-language/schema/raw/master/csl-citation.json" }</w:instrText>
      </w:r>
      <w:r>
        <w:fldChar w:fldCharType="separate"/>
      </w:r>
      <w:r w:rsidR="00241C16" w:rsidRPr="00241C16">
        <w:rPr>
          <w:noProof/>
          <w:vertAlign w:val="superscript"/>
        </w:rPr>
        <w:t>29</w:t>
      </w:r>
      <w:r>
        <w:fldChar w:fldCharType="end"/>
      </w:r>
      <w:r w:rsidR="0078613C">
        <w:t xml:space="preserve">. </w:t>
      </w:r>
    </w:p>
    <w:p w14:paraId="171217D9" w14:textId="77777777" w:rsidR="004D266E" w:rsidRDefault="004D266E" w:rsidP="001C2994">
      <w:pPr>
        <w:spacing w:line="360" w:lineRule="auto"/>
        <w:jc w:val="both"/>
      </w:pPr>
    </w:p>
    <w:p w14:paraId="0CB9B4B0" w14:textId="47B94CE4" w:rsidR="00852708" w:rsidRPr="00335C71" w:rsidRDefault="00E56C2A" w:rsidP="001C2994">
      <w:pPr>
        <w:spacing w:line="36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241C16" w:rsidRPr="00241C16">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241C16">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241C16" w:rsidRPr="00241C16">
        <w:rPr>
          <w:noProof/>
          <w:vertAlign w:val="superscript"/>
        </w:rPr>
        <w:t>11</w:t>
      </w:r>
      <w:r w:rsidR="00852708">
        <w:fldChar w:fldCharType="end"/>
      </w:r>
      <w:r w:rsidR="00852708">
        <w:t>.</w:t>
      </w:r>
    </w:p>
    <w:p w14:paraId="0AABC30B" w14:textId="12996B67" w:rsidR="00162960" w:rsidRDefault="00162960" w:rsidP="001C2994">
      <w:pPr>
        <w:spacing w:line="360" w:lineRule="auto"/>
        <w:jc w:val="both"/>
      </w:pPr>
    </w:p>
    <w:p w14:paraId="70320361" w14:textId="1622CDE0" w:rsidR="00162960" w:rsidRDefault="00FE5A20" w:rsidP="00297FB0">
      <w:pPr>
        <w:pStyle w:val="Heading2"/>
        <w:spacing w:line="360" w:lineRule="auto"/>
        <w:jc w:val="both"/>
      </w:pPr>
      <w:r>
        <w:t xml:space="preserve">Muscle Specific </w:t>
      </w:r>
      <w:r w:rsidRPr="00FE5A20">
        <w:t>Knockdown</w:t>
      </w:r>
      <w:r>
        <w:t xml:space="preserve"> of </w:t>
      </w:r>
      <w:r w:rsidRPr="00407AC6">
        <w:rPr>
          <w:i/>
        </w:rPr>
        <w:t>Raptor</w:t>
      </w:r>
      <w:r>
        <w:t xml:space="preserve"> Leads to Lethality in Drosophila</w:t>
      </w:r>
    </w:p>
    <w:p w14:paraId="2465595E" w14:textId="48A7C391" w:rsidR="00B20189" w:rsidRPr="00340AA3" w:rsidRDefault="00AC4DDA" w:rsidP="001C2994">
      <w:pPr>
        <w:spacing w:line="36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 by the maternal fly</w:t>
      </w:r>
      <w:r w:rsidR="0075212D">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241C16" w:rsidRPr="00241C16">
        <w:rPr>
          <w:noProof/>
          <w:vertAlign w:val="superscript"/>
        </w:rPr>
        <w:t>16</w:t>
      </w:r>
      <w:r w:rsidR="0075212D">
        <w:fldChar w:fldCharType="end"/>
      </w:r>
      <w:r w:rsidR="0075212D">
        <w:t>.  We performed dose curves and found that at much lower doses (EC50 of ~860 nM) there was an absence of pupae and flies</w:t>
      </w:r>
      <w:r w:rsidR="007D3910">
        <w:t xml:space="preserve"> (</w:t>
      </w:r>
      <w:r w:rsidR="0048645D">
        <w:t>Suppl</w:t>
      </w:r>
      <w:r w:rsidR="00297FB0">
        <w:t>e</w:t>
      </w:r>
      <w:r w:rsidR="0048645D">
        <w:t>mentary Figure 1</w:t>
      </w:r>
      <w:r w:rsidR="007D3910">
        <w:t>)</w:t>
      </w:r>
      <w:r w:rsidR="0075212D">
        <w:t>.</w:t>
      </w:r>
      <w:r w:rsidR="007D3910">
        <w:t xml:space="preserve">  There was no obvious distinction between inhibition of pupal lethality and prevention of fly eclosure.</w:t>
      </w:r>
      <w:r w:rsidR="00340AA3">
        <w:t xml:space="preserve">  These data suggest that </w:t>
      </w:r>
      <w:r w:rsidR="009111E3">
        <w:t>rapamycin</w:t>
      </w:r>
      <w:r w:rsidR="00340AA3">
        <w:t xml:space="preserve"> inhibits fly development, similar to what has been observed in mice</w:t>
      </w:r>
      <w:r w:rsidR="009111E3">
        <w:t xml:space="preserve"> </w:t>
      </w:r>
      <w:r w:rsidR="009111E3">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241C16" w:rsidRPr="00241C16">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"&lt;sup&gt;13\u201315,30&lt;/sup&gt;" }, "properties" : { "noteIndex" : 0 }, "schema" : "https://github.com/citation-style-language/schema/raw/master/csl-citation.json" }</w:instrText>
      </w:r>
      <w:r w:rsidR="00E20164">
        <w:fldChar w:fldCharType="separate"/>
      </w:r>
      <w:r w:rsidR="00241C16" w:rsidRPr="00241C16">
        <w:rPr>
          <w:noProof/>
          <w:vertAlign w:val="superscript"/>
        </w:rPr>
        <w:t>13–15,30</w:t>
      </w:r>
      <w:r w:rsidR="00E20164">
        <w:fldChar w:fldCharType="end"/>
      </w:r>
      <w:r w:rsidR="00340AA3">
        <w:t>.</w:t>
      </w:r>
    </w:p>
    <w:p w14:paraId="3BD273BB" w14:textId="77777777" w:rsidR="00B20189" w:rsidRDefault="00B20189" w:rsidP="001C2994">
      <w:pPr>
        <w:spacing w:line="360" w:lineRule="auto"/>
        <w:jc w:val="both"/>
      </w:pPr>
    </w:p>
    <w:p w14:paraId="0690C456" w14:textId="6706721B" w:rsidR="00FE5A20" w:rsidRDefault="00B20189" w:rsidP="001C2994">
      <w:pPr>
        <w:spacing w:line="360" w:lineRule="auto"/>
        <w:jc w:val="both"/>
      </w:pPr>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F0001B">
        <w:fldChar w:fldCharType="separate"/>
      </w:r>
      <w:r w:rsidR="00241C16" w:rsidRPr="00241C16">
        <w:rPr>
          <w:noProof/>
          <w:vertAlign w:val="superscript"/>
        </w:rPr>
        <w:t>31</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shRNA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6858C4">
        <w:rPr>
          <w:i/>
        </w:rPr>
        <w:t>2</w:t>
      </w:r>
      <w:r w:rsidR="00EE5C4B">
        <w:rPr>
          <w:i/>
        </w:rPr>
        <w:t>-</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shRNAs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C2994">
      <w:pPr>
        <w:spacing w:line="360" w:lineRule="auto"/>
        <w:jc w:val="both"/>
      </w:pPr>
    </w:p>
    <w:p w14:paraId="148431E6" w14:textId="386D695B" w:rsidR="001012AA" w:rsidRPr="0040324E" w:rsidRDefault="00FE5A20" w:rsidP="001C2994">
      <w:pPr>
        <w:spacing w:line="360" w:lineRule="auto"/>
        <w:jc w:val="both"/>
      </w:pPr>
      <w:r>
        <w:t xml:space="preserve">First, we crossed heterozygous, balanced </w:t>
      </w:r>
      <w:r w:rsidRPr="00FC74E0">
        <w:rPr>
          <w:i/>
        </w:rPr>
        <w:t>24B</w:t>
      </w:r>
      <w:r>
        <w:t>-</w:t>
      </w:r>
      <w:r w:rsidRPr="00FC74E0">
        <w:rPr>
          <w:i/>
        </w:rPr>
        <w:t>GAL4</w:t>
      </w:r>
      <w:r>
        <w:t xml:space="preserve"> flies with heterozygous, balanced </w:t>
      </w:r>
      <w:r w:rsidR="003C09B8">
        <w:t>UAS-</w:t>
      </w:r>
      <w:r>
        <w:t xml:space="preserve">shRNA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r w:rsidR="004826A6">
        <w:t>flies eclosed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shRNA, the progeny </w:t>
      </w:r>
      <w:r w:rsidR="00433D82">
        <w:t xml:space="preserve">exhibited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UAS-shRNA/</w:t>
      </w:r>
      <w:r w:rsidR="007237A6">
        <w:t>TM6b</w:t>
      </w:r>
      <w:r w:rsidR="00695686">
        <w:t xml:space="preserve"> flies we also observed reduced muscle-specific </w:t>
      </w:r>
      <w:r w:rsidR="00695686" w:rsidRPr="00695686">
        <w:rPr>
          <w:i/>
        </w:rPr>
        <w:t>Raptor</w:t>
      </w:r>
      <w:r w:rsidR="00695686">
        <w:t xml:space="preserve"> knockdown flies, although in this case some knockdown flies were able to eclose (Figure 2C).</w:t>
      </w:r>
      <w:r w:rsidR="00F73276">
        <w:t xml:space="preserve"> </w:t>
      </w:r>
    </w:p>
    <w:p w14:paraId="5840558F" w14:textId="77777777" w:rsidR="00F444D6" w:rsidRDefault="00F444D6" w:rsidP="001C2994">
      <w:pPr>
        <w:spacing w:line="360" w:lineRule="auto"/>
        <w:jc w:val="both"/>
      </w:pPr>
    </w:p>
    <w:p w14:paraId="798E98C6" w14:textId="7D546D3E" w:rsidR="00DF02CD" w:rsidRDefault="00140006" w:rsidP="001C2994">
      <w:pPr>
        <w:spacing w:line="360" w:lineRule="auto"/>
        <w:jc w:val="both"/>
      </w:pPr>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r>
        <w:t xml:space="preserve">shRNA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A95905">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A95905">
        <w:fldChar w:fldCharType="separate"/>
      </w:r>
      <w:r w:rsidR="00241C16" w:rsidRPr="00241C16">
        <w:rPr>
          <w:noProof/>
          <w:vertAlign w:val="superscript"/>
        </w:rPr>
        <w:t>31</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C2994">
      <w:pPr>
        <w:spacing w:line="360" w:lineRule="auto"/>
        <w:jc w:val="both"/>
      </w:pPr>
    </w:p>
    <w:p w14:paraId="05B7A999" w14:textId="2AEFD1E5" w:rsidR="003C09B8" w:rsidRPr="000B3301" w:rsidRDefault="00A95905" w:rsidP="001C2994">
      <w:pPr>
        <w:spacing w:line="360" w:lineRule="auto"/>
        <w:jc w:val="both"/>
        <w:rPr>
          <w:rFonts w:ascii="Cambria" w:hAnsi="Cambria"/>
        </w:rPr>
      </w:pPr>
      <w:r>
        <w:t xml:space="preserve">To test </w:t>
      </w:r>
      <w:r w:rsidR="00674B7E">
        <w:t xml:space="preserve">for the stage under which these flies fail to eclose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Pr>
          <w:i/>
        </w:rPr>
        <w:t>GAL4</w:t>
      </w:r>
      <w:r w:rsidR="00DF02CD">
        <w:t xml:space="preserve"> driver</w:t>
      </w:r>
      <w:r w:rsidR="00674B7E">
        <w:t>s</w:t>
      </w:r>
      <w:r w:rsidR="00DF02CD">
        <w:t xml:space="preserve"> </w:t>
      </w:r>
      <w:r>
        <w:t xml:space="preserve">and repeated </w:t>
      </w:r>
      <w:r w:rsidR="00674B7E">
        <w:t>did simiar</w:t>
      </w:r>
      <w:r>
        <w:t xml:space="preserve"> studies.  In these experiments, we crossed flies which were homozygous for the </w:t>
      </w:r>
      <w:r w:rsidR="00674B7E" w:rsidRPr="00674B7E">
        <w:rPr>
          <w:i/>
        </w:rPr>
        <w:t>GAL4</w:t>
      </w:r>
      <w:r>
        <w:t xml:space="preserve"> with flies that were homozygous for the </w:t>
      </w:r>
      <w:r w:rsidR="007D7721">
        <w:t>UAS-</w:t>
      </w:r>
      <w:r w:rsidR="00674B7E">
        <w:rPr>
          <w:i/>
        </w:rPr>
        <w:t xml:space="preserve">Raptor </w:t>
      </w:r>
      <w:r>
        <w:t>shRNA</w:t>
      </w:r>
      <w:r w:rsidR="007D7721">
        <w:t xml:space="preserve"> transgene</w:t>
      </w:r>
      <w:r>
        <w:t>.  As a control, we used a fly line that was identical to the TRiP fly lines, but did not have a shRNA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6858C4">
        <w:rPr>
          <w:rFonts w:ascii="Cambria" w:hAnsi="Cambria"/>
          <w:i/>
        </w:rPr>
        <w:t>2</w:t>
      </w:r>
      <w:r w:rsidR="00DF02CD">
        <w:rPr>
          <w:rFonts w:ascii="Cambria" w:hAnsi="Cambria"/>
          <w:i/>
        </w:rPr>
        <w:t>-</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241C16">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"&lt;sup&gt;32,33&lt;/sup&gt;" }, "properties" : { "noteIndex" : 0 }, "schema" : "https://github.com/citation-style-language/schema/raw/master/csl-citation.json" }</w:instrText>
      </w:r>
      <w:r w:rsidR="003C09B8">
        <w:fldChar w:fldCharType="separate"/>
      </w:r>
      <w:r w:rsidR="00241C16" w:rsidRPr="00241C16">
        <w:rPr>
          <w:noProof/>
          <w:vertAlign w:val="superscript"/>
        </w:rPr>
        <w:t>32,33</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1C2994">
      <w:pPr>
        <w:spacing w:line="360" w:lineRule="auto"/>
        <w:jc w:val="both"/>
        <w:rPr>
          <w:rFonts w:ascii="Cambria" w:hAnsi="Cambria"/>
        </w:rPr>
      </w:pPr>
    </w:p>
    <w:p w14:paraId="40448C60" w14:textId="601076BC" w:rsidR="00F444D6" w:rsidRPr="00297FB0" w:rsidRDefault="00162960" w:rsidP="00297FB0">
      <w:pPr>
        <w:pStyle w:val="Heading2"/>
        <w:spacing w:line="360" w:lineRule="auto"/>
        <w:jc w:val="both"/>
      </w:pPr>
      <w:r>
        <w:t xml:space="preserve">Muscle </w:t>
      </w:r>
      <w:r w:rsidRPr="00487810">
        <w:rPr>
          <w:i/>
        </w:rPr>
        <w:t>Raptor</w:t>
      </w:r>
      <w:r>
        <w:t xml:space="preserve"> Knockdown Flies Fail to Eclose from Pupae</w:t>
      </w:r>
    </w:p>
    <w:p w14:paraId="03E0C2EC" w14:textId="29CE8E7C" w:rsidR="000E45D7" w:rsidRDefault="000E45D7" w:rsidP="001C2994">
      <w:pPr>
        <w:spacing w:line="36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pupal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Pr>
          <w:rFonts w:ascii="Cambria" w:hAnsi="Cambria"/>
          <w:i/>
        </w:rPr>
        <w:t>GAL4</w:t>
      </w:r>
      <w:r>
        <w:rPr>
          <w:rFonts w:ascii="Cambria" w:hAnsi="Cambria"/>
          <w:i/>
        </w:rPr>
        <w:t xml:space="preserve"> &gt; </w:t>
      </w:r>
      <w:r w:rsidR="001B4D8C">
        <w:rPr>
          <w:rFonts w:ascii="Cambria" w:hAnsi="Cambria"/>
          <w:i/>
        </w:rPr>
        <w:t xml:space="preserve">Raptor </w:t>
      </w:r>
      <w:r w:rsidRPr="000E45D7">
        <w:rPr>
          <w:rFonts w:ascii="Cambria" w:hAnsi="Cambria"/>
        </w:rPr>
        <w:t>shRNA</w:t>
      </w:r>
      <w:r>
        <w:rPr>
          <w:rFonts w:ascii="Cambria" w:hAnsi="Cambria"/>
          <w:i/>
        </w:rPr>
        <w:t xml:space="preserve"> </w:t>
      </w:r>
      <w:r w:rsidR="001B4D8C">
        <w:rPr>
          <w:rFonts w:ascii="Cambria" w:hAnsi="Cambria"/>
        </w:rPr>
        <w:t>crosses. Twenty days after the crosses were prepared the empty pupal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shRNA crosses.  These data support the hypothesis</w:t>
      </w:r>
      <w:r>
        <w:rPr>
          <w:rFonts w:ascii="Cambria" w:hAnsi="Cambria"/>
        </w:rPr>
        <w:t xml:space="preserve"> that lethality occurs after pupal development.</w:t>
      </w:r>
    </w:p>
    <w:p w14:paraId="543405C6" w14:textId="77777777" w:rsidR="000E45D7" w:rsidRDefault="000E45D7" w:rsidP="001C2994">
      <w:pPr>
        <w:spacing w:line="360" w:lineRule="auto"/>
        <w:jc w:val="both"/>
        <w:rPr>
          <w:rFonts w:ascii="Cambria" w:hAnsi="Cambria"/>
        </w:rPr>
      </w:pPr>
    </w:p>
    <w:p w14:paraId="24BA4390" w14:textId="743CE2F1" w:rsidR="003937DA" w:rsidRDefault="00471708" w:rsidP="001C2994">
      <w:pPr>
        <w:spacing w:line="360" w:lineRule="auto"/>
        <w:jc w:val="both"/>
        <w:rPr>
          <w:rFonts w:ascii="Cambria" w:hAnsi="Cambria"/>
        </w:rPr>
      </w:pPr>
      <w:r>
        <w:rPr>
          <w:rFonts w:ascii="Cambria" w:hAnsi="Cambria"/>
        </w:rPr>
        <w:t>We next visually examined the pupal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56326A">
        <w:rPr>
          <w:rFonts w:ascii="Cambria" w:hAnsi="Cambria"/>
          <w:i/>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shRNA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1C2994">
      <w:pPr>
        <w:spacing w:line="360" w:lineRule="auto"/>
        <w:jc w:val="both"/>
        <w:rPr>
          <w:rFonts w:ascii="Cambria" w:hAnsi="Cambria"/>
        </w:rPr>
      </w:pPr>
    </w:p>
    <w:p w14:paraId="515471EC" w14:textId="3DB20D2C" w:rsidR="00297FB0" w:rsidRDefault="00297FB0" w:rsidP="00297FB0">
      <w:pPr>
        <w:pStyle w:val="Heading2"/>
      </w:pPr>
      <w:r>
        <w:t xml:space="preserve">Lethality of Muscle </w:t>
      </w:r>
      <w:r>
        <w:rPr>
          <w:i/>
        </w:rPr>
        <w:t xml:space="preserve">Raptor </w:t>
      </w:r>
      <w:r>
        <w:t>knockdown flies is in part due to an inability to eclose</w:t>
      </w:r>
    </w:p>
    <w:p w14:paraId="49E6038A" w14:textId="77777777" w:rsidR="005736E0" w:rsidRDefault="00297FB0" w:rsidP="00297FB0">
      <w:pPr>
        <w:spacing w:line="480" w:lineRule="auto"/>
      </w:pPr>
      <w:r>
        <w:t xml:space="preserve">To test whether the muscle </w:t>
      </w:r>
      <w:r>
        <w:rPr>
          <w:i/>
        </w:rPr>
        <w:t>Raptor</w:t>
      </w:r>
      <w:r>
        <w:t xml:space="preserve"> knockdown-mediated lethality is due to a muscle weakness </w:t>
      </w:r>
      <w:r w:rsidR="00705EA3">
        <w:t>that</w:t>
      </w:r>
      <w:r>
        <w:t xml:space="preserve"> prevents eclosure, we carefully examined fly morphology within pupal cases.   As shown in Figure 4A, at day 10</w:t>
      </w:r>
      <w:r w:rsidR="00705EA3">
        <w:t xml:space="preserve"> a fully formed fly is apparent within the pupal case</w:t>
      </w:r>
      <w:r w:rsidR="005736E0">
        <w:t xml:space="preserve"> and looks similar to a control fly.  B</w:t>
      </w:r>
      <w:r w:rsidR="00705EA3">
        <w:t xml:space="preserve">y day 14 </w:t>
      </w:r>
      <w:r w:rsidR="005736E0">
        <w:t xml:space="preserve">whgile the control fly has eclosed, the </w:t>
      </w:r>
      <w:r w:rsidR="005736E0">
        <w:rPr>
          <w:i/>
        </w:rPr>
        <w:t>Mef2-</w:t>
      </w:r>
      <w:r w:rsidR="005736E0">
        <w:t>GAL4&gt;</w:t>
      </w:r>
      <w:r w:rsidR="005736E0" w:rsidRPr="00705EA3">
        <w:rPr>
          <w:i/>
        </w:rPr>
        <w:t>Raptor</w:t>
      </w:r>
      <w:r w:rsidR="005736E0">
        <w:t xml:space="preserve"> </w:t>
      </w:r>
      <w:r w:rsidR="00705EA3">
        <w:t xml:space="preserve">fly </w:t>
      </w:r>
      <w:r w:rsidR="005736E0">
        <w:t>is still in the pupal case</w:t>
      </w:r>
      <w:r w:rsidR="00705EA3">
        <w:t xml:space="preserve"> and by day 20 the fly has degraded to the stage observed in Figure 3E.  </w:t>
      </w:r>
    </w:p>
    <w:p w14:paraId="0125C00F" w14:textId="77777777" w:rsidR="005736E0" w:rsidRDefault="005736E0" w:rsidP="00297FB0">
      <w:pPr>
        <w:spacing w:line="480" w:lineRule="auto"/>
      </w:pPr>
    </w:p>
    <w:p w14:paraId="3F51BC50" w14:textId="79354040" w:rsidR="00297FB0" w:rsidRPr="00705EA3" w:rsidRDefault="00705EA3" w:rsidP="00297FB0">
      <w:pPr>
        <w:spacing w:line="480" w:lineRule="auto"/>
      </w:pPr>
      <w:r>
        <w:t xml:space="preserve">To determine if this is due to an inability </w:t>
      </w:r>
      <w:r w:rsidR="00F21838">
        <w:t xml:space="preserve">of the fly </w:t>
      </w:r>
      <w:r>
        <w:t xml:space="preserve">to exit the pupal case, we gently opened 5 pupal cases from </w:t>
      </w:r>
      <w:r>
        <w:rPr>
          <w:i/>
        </w:rPr>
        <w:t>Mef2-</w:t>
      </w:r>
      <w:r>
        <w:t>GAL4&gt;</w:t>
      </w:r>
      <w:r w:rsidRPr="00705EA3">
        <w:rPr>
          <w:i/>
        </w:rPr>
        <w:t>Raptor</w:t>
      </w:r>
      <w:r>
        <w:t xml:space="preserve"> knockdown flies to assist in eclosure.  In 4 of 5 cases the fly eclosed and three flies survived &gt;3 weeks.  To test if these eclosed flies had muscle weaknesses we performed climbing assays on these eclosed flies and as shown in Figure 4B, the</w:t>
      </w:r>
      <w:r w:rsidR="00297FB0">
        <w:t xml:space="preserve"> </w:t>
      </w:r>
      <w:r>
        <w:rPr>
          <w:i/>
        </w:rPr>
        <w:t>Mef2-</w:t>
      </w:r>
      <w:r>
        <w:t>GAL4&gt;</w:t>
      </w:r>
      <w:r w:rsidRPr="00705EA3">
        <w:rPr>
          <w:i/>
        </w:rPr>
        <w:t>Raptor</w:t>
      </w:r>
      <w:r>
        <w:rPr>
          <w:i/>
        </w:rPr>
        <w:t xml:space="preserve"> </w:t>
      </w:r>
      <w:r>
        <w:t>flies exhibited dramatically reduced climbing ability</w:t>
      </w:r>
      <w:r w:rsidR="00DD09CF">
        <w:t xml:space="preserve"> indicating muscle weakness</w:t>
      </w:r>
      <w:r w:rsidR="00B65E85">
        <w:t xml:space="preserve"> (p=0.0025 by Wilcoxon Rank Sum Test)</w:t>
      </w:r>
      <w:r>
        <w:t>.</w:t>
      </w:r>
    </w:p>
    <w:p w14:paraId="263433F0" w14:textId="77777777" w:rsidR="00234C0A" w:rsidRDefault="00234C0A" w:rsidP="001C2994">
      <w:pPr>
        <w:spacing w:line="360" w:lineRule="auto"/>
        <w:jc w:val="both"/>
        <w:rPr>
          <w:rFonts w:ascii="Cambria" w:hAnsi="Cambria"/>
          <w:b/>
        </w:rPr>
      </w:pPr>
    </w:p>
    <w:p w14:paraId="22602B2B" w14:textId="72A7F43E" w:rsidR="00F31273" w:rsidRPr="008C6740" w:rsidRDefault="002A13D8" w:rsidP="00297FB0">
      <w:pPr>
        <w:pStyle w:val="Heading2"/>
        <w:spacing w:line="36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79D473AB" w:rsidR="00F31273" w:rsidRPr="008C6740" w:rsidRDefault="00895FB6" w:rsidP="001C2994">
      <w:pPr>
        <w:spacing w:line="360" w:lineRule="auto"/>
        <w:jc w:val="both"/>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es died shortly after eclosure.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1C2994">
      <w:pPr>
        <w:spacing w:line="360" w:lineRule="auto"/>
        <w:jc w:val="both"/>
        <w:rPr>
          <w:rFonts w:ascii="Cambria" w:hAnsi="Cambria"/>
          <w:b/>
        </w:rPr>
      </w:pPr>
    </w:p>
    <w:p w14:paraId="295024A7" w14:textId="5E08F29C" w:rsidR="00F444D6" w:rsidRDefault="00F444D6" w:rsidP="001C2994">
      <w:pPr>
        <w:pStyle w:val="Heading2"/>
        <w:spacing w:line="360" w:lineRule="auto"/>
        <w:jc w:val="both"/>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1C2994">
      <w:pPr>
        <w:spacing w:line="360" w:lineRule="auto"/>
        <w:jc w:val="both"/>
      </w:pPr>
    </w:p>
    <w:p w14:paraId="4C624508" w14:textId="7ECDCCF8" w:rsidR="00234C0A" w:rsidRPr="008C6740" w:rsidRDefault="00357F77" w:rsidP="001C2994">
      <w:pPr>
        <w:spacing w:line="360" w:lineRule="auto"/>
        <w:jc w:val="both"/>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w:t>
      </w:r>
      <w:r w:rsidR="00B70FD4">
        <w:rPr>
          <w:rFonts w:ascii="Cambria" w:hAnsi="Cambria"/>
        </w:rPr>
        <w:t>espondence between the efficienc</w:t>
      </w:r>
      <w:r w:rsidR="004C7062">
        <w:rPr>
          <w:rFonts w:ascii="Cambria" w:hAnsi="Cambria"/>
        </w:rPr>
        <w:t>y of the shRNA strain to cause lethality and its effects on muscle function, indicating a potential gene-dosage effect on both of these phenotypes.</w:t>
      </w:r>
    </w:p>
    <w:p w14:paraId="282DD02F" w14:textId="77777777" w:rsidR="00F444D6" w:rsidRPr="008C6740" w:rsidRDefault="00F444D6" w:rsidP="001C2994">
      <w:pPr>
        <w:spacing w:line="360" w:lineRule="auto"/>
        <w:jc w:val="both"/>
        <w:rPr>
          <w:rFonts w:ascii="Cambria" w:hAnsi="Cambria"/>
        </w:rPr>
      </w:pPr>
    </w:p>
    <w:p w14:paraId="744F529A" w14:textId="5D0E2E2A" w:rsidR="00486518" w:rsidRDefault="0040324E" w:rsidP="001C2994">
      <w:pPr>
        <w:pStyle w:val="Heading2"/>
        <w:spacing w:line="360" w:lineRule="auto"/>
        <w:jc w:val="both"/>
      </w:pPr>
      <w:r>
        <w:t>Summary</w:t>
      </w:r>
    </w:p>
    <w:p w14:paraId="271B4AB8" w14:textId="77777777" w:rsidR="0040324E" w:rsidRDefault="0040324E" w:rsidP="001C2994">
      <w:pPr>
        <w:spacing w:line="360" w:lineRule="auto"/>
        <w:jc w:val="both"/>
      </w:pPr>
    </w:p>
    <w:p w14:paraId="20CE129A" w14:textId="00B278CF" w:rsidR="00E251E9" w:rsidRPr="00CA3EED" w:rsidRDefault="00CA3EED" w:rsidP="001C2994">
      <w:pPr>
        <w:spacing w:line="360" w:lineRule="auto"/>
        <w:jc w:val="both"/>
      </w:pPr>
      <w:r>
        <w:t xml:space="preserve">In this work, we have described a role for TORC1 in the regulation of myogenesis </w:t>
      </w:r>
      <w:r>
        <w:rPr>
          <w:i/>
        </w:rPr>
        <w:t>in vitro</w:t>
      </w:r>
      <w:r>
        <w:t xml:space="preserve"> and shown in fruit flies, that inhibition of the dTORC1 complex results in lethality and weakened muscle function.  Together these data support a</w:t>
      </w:r>
      <w:r w:rsidR="008F353C">
        <w:t>n</w:t>
      </w:r>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rsidP="001C2994">
      <w:pPr>
        <w:spacing w:line="360" w:lineRule="auto"/>
        <w:jc w:val="both"/>
      </w:pPr>
    </w:p>
    <w:p w14:paraId="2220C14D" w14:textId="5DA47B6A" w:rsidR="00486518" w:rsidRDefault="00486518" w:rsidP="001C2994">
      <w:pPr>
        <w:pStyle w:val="Heading1"/>
        <w:spacing w:line="360" w:lineRule="auto"/>
        <w:jc w:val="both"/>
      </w:pPr>
      <w:r w:rsidRPr="008C6740">
        <w:t>Acknowledgements</w:t>
      </w:r>
    </w:p>
    <w:p w14:paraId="7B7B4FBA" w14:textId="77777777" w:rsidR="00D07587" w:rsidRDefault="00D07587" w:rsidP="001C2994">
      <w:pPr>
        <w:spacing w:line="360" w:lineRule="auto"/>
        <w:jc w:val="both"/>
      </w:pPr>
    </w:p>
    <w:p w14:paraId="44AE9625" w14:textId="78DADAC4" w:rsidR="00D07587" w:rsidRPr="00D07587" w:rsidRDefault="00D07587" w:rsidP="001C2994">
      <w:pPr>
        <w:spacing w:line="360" w:lineRule="auto"/>
        <w:jc w:val="both"/>
      </w:pPr>
      <w:r>
        <w:t xml:space="preserve">The authors would like to thank the members of the Bridges and Reiter lab for insightful discussions.  This work was supported </w:t>
      </w:r>
      <w:r w:rsidR="00081B89">
        <w:t xml:space="preserve">in part </w:t>
      </w:r>
      <w:r>
        <w:t xml:space="preserve">by </w:t>
      </w:r>
      <w:r w:rsidR="00147489">
        <w:t xml:space="preserve">a Dean’s Neurology Support Fund </w:t>
      </w:r>
      <w:r>
        <w:t>(LTR)</w:t>
      </w:r>
      <w:r w:rsidR="009F2B03">
        <w:t>.</w:t>
      </w:r>
    </w:p>
    <w:p w14:paraId="7AA62879" w14:textId="77777777" w:rsidR="008C6740" w:rsidRPr="008C6740" w:rsidRDefault="008C6740" w:rsidP="001C2994">
      <w:pPr>
        <w:spacing w:line="360" w:lineRule="auto"/>
        <w:jc w:val="both"/>
      </w:pPr>
    </w:p>
    <w:p w14:paraId="67456F2B" w14:textId="6DC6B2D7" w:rsidR="00DD6A3B" w:rsidRDefault="00DD6A3B" w:rsidP="001C299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1C2994">
      <w:pPr>
        <w:pStyle w:val="Heading1"/>
        <w:spacing w:line="360" w:lineRule="auto"/>
        <w:jc w:val="both"/>
      </w:pPr>
      <w:r w:rsidRPr="008C6740">
        <w:t>References</w:t>
      </w:r>
    </w:p>
    <w:p w14:paraId="5CC9D305" w14:textId="19057989" w:rsidR="00241C16" w:rsidRPr="00241C16" w:rsidRDefault="00D07587">
      <w:pPr>
        <w:pStyle w:val="NormalWeb"/>
        <w:ind w:left="640" w:hanging="640"/>
        <w:divId w:val="102131985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241C16" w:rsidRPr="00241C16">
        <w:rPr>
          <w:rFonts w:ascii="Cambria" w:hAnsi="Cambria"/>
          <w:noProof/>
          <w:sz w:val="24"/>
        </w:rPr>
        <w:t>1.</w:t>
      </w:r>
      <w:r w:rsidR="00241C16" w:rsidRPr="00241C16">
        <w:rPr>
          <w:rFonts w:ascii="Cambria" w:hAnsi="Cambria"/>
          <w:noProof/>
          <w:sz w:val="24"/>
        </w:rPr>
        <w:tab/>
        <w:t xml:space="preserve">Loewith, R. &amp; Hall, M. N. Target of rapamycin (TOR) in nutrient signaling and growth control. </w:t>
      </w:r>
      <w:r w:rsidR="00241C16" w:rsidRPr="00241C16">
        <w:rPr>
          <w:rFonts w:ascii="Cambria" w:hAnsi="Cambria"/>
          <w:i/>
          <w:iCs/>
          <w:noProof/>
          <w:sz w:val="24"/>
        </w:rPr>
        <w:t>Genetics</w:t>
      </w:r>
      <w:r w:rsidR="00241C16" w:rsidRPr="00241C16">
        <w:rPr>
          <w:rFonts w:ascii="Cambria" w:hAnsi="Cambria"/>
          <w:noProof/>
          <w:sz w:val="24"/>
        </w:rPr>
        <w:t xml:space="preserve"> </w:t>
      </w:r>
      <w:r w:rsidR="00241C16" w:rsidRPr="00241C16">
        <w:rPr>
          <w:rFonts w:ascii="Cambria" w:hAnsi="Cambria"/>
          <w:b/>
          <w:bCs/>
          <w:noProof/>
          <w:sz w:val="24"/>
        </w:rPr>
        <w:t>189,</w:t>
      </w:r>
      <w:r w:rsidR="00241C16" w:rsidRPr="00241C16">
        <w:rPr>
          <w:rFonts w:ascii="Cambria" w:hAnsi="Cambria"/>
          <w:noProof/>
          <w:sz w:val="24"/>
        </w:rPr>
        <w:t xml:space="preserve"> 1177–201 (2011).</w:t>
      </w:r>
    </w:p>
    <w:p w14:paraId="45B13F8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w:t>
      </w:r>
      <w:r w:rsidRPr="00241C16">
        <w:rPr>
          <w:rFonts w:ascii="Cambria" w:hAnsi="Cambria"/>
          <w:noProof/>
          <w:sz w:val="24"/>
        </w:rPr>
        <w:tab/>
        <w:t xml:space="preserve">Zoncu, R., Efeyan, A. &amp; Sabatini, D. M. mTOR: from growth signal integration to cancer, diabetes and ageing. </w:t>
      </w:r>
      <w:r w:rsidRPr="00241C16">
        <w:rPr>
          <w:rFonts w:ascii="Cambria" w:hAnsi="Cambria"/>
          <w:i/>
          <w:iCs/>
          <w:noProof/>
          <w:sz w:val="24"/>
        </w:rPr>
        <w:t>Nat. Rev. Mol. Cell Biol.</w:t>
      </w:r>
      <w:r w:rsidRPr="00241C16">
        <w:rPr>
          <w:rFonts w:ascii="Cambria" w:hAnsi="Cambria"/>
          <w:noProof/>
          <w:sz w:val="24"/>
        </w:rPr>
        <w:t xml:space="preserve"> </w:t>
      </w:r>
      <w:r w:rsidRPr="00241C16">
        <w:rPr>
          <w:rFonts w:ascii="Cambria" w:hAnsi="Cambria"/>
          <w:b/>
          <w:bCs/>
          <w:noProof/>
          <w:sz w:val="24"/>
        </w:rPr>
        <w:t>12,</w:t>
      </w:r>
      <w:r w:rsidRPr="00241C16">
        <w:rPr>
          <w:rFonts w:ascii="Cambria" w:hAnsi="Cambria"/>
          <w:noProof/>
          <w:sz w:val="24"/>
        </w:rPr>
        <w:t xml:space="preserve"> 21–35 (2010).</w:t>
      </w:r>
    </w:p>
    <w:p w14:paraId="3BDF20A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w:t>
      </w:r>
      <w:r w:rsidRPr="00241C16">
        <w:rPr>
          <w:rFonts w:ascii="Cambria" w:hAnsi="Cambria"/>
          <w:noProof/>
          <w:sz w:val="24"/>
        </w:rPr>
        <w:tab/>
        <w:t xml:space="preserve">Howell, J. J., Ricoult, S. J. H., Ben-Sahra, I. &amp; Manning, B. D. A growing role for mTOR in promoting anabolic metabolism. </w:t>
      </w:r>
      <w:r w:rsidRPr="00241C16">
        <w:rPr>
          <w:rFonts w:ascii="Cambria" w:hAnsi="Cambria"/>
          <w:i/>
          <w:iCs/>
          <w:noProof/>
          <w:sz w:val="24"/>
        </w:rPr>
        <w:t>Biochem. Soc. Trans.</w:t>
      </w:r>
      <w:r w:rsidRPr="00241C16">
        <w:rPr>
          <w:rFonts w:ascii="Cambria" w:hAnsi="Cambria"/>
          <w:noProof/>
          <w:sz w:val="24"/>
        </w:rPr>
        <w:t xml:space="preserve"> </w:t>
      </w:r>
      <w:r w:rsidRPr="00241C16">
        <w:rPr>
          <w:rFonts w:ascii="Cambria" w:hAnsi="Cambria"/>
          <w:b/>
          <w:bCs/>
          <w:noProof/>
          <w:sz w:val="24"/>
        </w:rPr>
        <w:t>41,</w:t>
      </w:r>
      <w:r w:rsidRPr="00241C16">
        <w:rPr>
          <w:rFonts w:ascii="Cambria" w:hAnsi="Cambria"/>
          <w:noProof/>
          <w:sz w:val="24"/>
        </w:rPr>
        <w:t xml:space="preserve"> 906–12 (2013).</w:t>
      </w:r>
    </w:p>
    <w:p w14:paraId="79F4246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4.</w:t>
      </w:r>
      <w:r w:rsidRPr="00241C16">
        <w:rPr>
          <w:rFonts w:ascii="Cambria" w:hAnsi="Cambria"/>
          <w:noProof/>
          <w:sz w:val="24"/>
        </w:rPr>
        <w:tab/>
        <w:t xml:space="preserve">Cornu, M., Albert, V. &amp; Hall, M. N. mTOR in aging, metabolism, and cancer. </w:t>
      </w:r>
      <w:r w:rsidRPr="00241C16">
        <w:rPr>
          <w:rFonts w:ascii="Cambria" w:hAnsi="Cambria"/>
          <w:i/>
          <w:iCs/>
          <w:noProof/>
          <w:sz w:val="24"/>
        </w:rPr>
        <w:t>Curr. Opin. Genet. Dev.</w:t>
      </w:r>
      <w:r w:rsidRPr="00241C16">
        <w:rPr>
          <w:rFonts w:ascii="Cambria" w:hAnsi="Cambria"/>
          <w:noProof/>
          <w:sz w:val="24"/>
        </w:rPr>
        <w:t xml:space="preserve"> </w:t>
      </w:r>
      <w:r w:rsidRPr="00241C16">
        <w:rPr>
          <w:rFonts w:ascii="Cambria" w:hAnsi="Cambria"/>
          <w:b/>
          <w:bCs/>
          <w:noProof/>
          <w:sz w:val="24"/>
        </w:rPr>
        <w:t>23,</w:t>
      </w:r>
      <w:r w:rsidRPr="00241C16">
        <w:rPr>
          <w:rFonts w:ascii="Cambria" w:hAnsi="Cambria"/>
          <w:noProof/>
          <w:sz w:val="24"/>
        </w:rPr>
        <w:t xml:space="preserve"> 53–62 (2013).</w:t>
      </w:r>
    </w:p>
    <w:p w14:paraId="26260BD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5.</w:t>
      </w:r>
      <w:r w:rsidRPr="00241C16">
        <w:rPr>
          <w:rFonts w:ascii="Cambria" w:hAnsi="Cambria"/>
          <w:noProof/>
          <w:sz w:val="24"/>
        </w:rPr>
        <w:tab/>
        <w:t xml:space="preserve">Lamming, D. W., Ye, L., Sabatini, D. M. &amp; Baur, J. A. Rapalogs and mTOR inhibitors as anti-aging therapeutics. </w:t>
      </w:r>
      <w:r w:rsidRPr="00241C16">
        <w:rPr>
          <w:rFonts w:ascii="Cambria" w:hAnsi="Cambria"/>
          <w:i/>
          <w:iCs/>
          <w:noProof/>
          <w:sz w:val="24"/>
        </w:rPr>
        <w:t>J. Clin. Invest.</w:t>
      </w:r>
      <w:r w:rsidRPr="00241C16">
        <w:rPr>
          <w:rFonts w:ascii="Cambria" w:hAnsi="Cambria"/>
          <w:noProof/>
          <w:sz w:val="24"/>
        </w:rPr>
        <w:t xml:space="preserve"> </w:t>
      </w:r>
      <w:r w:rsidRPr="00241C16">
        <w:rPr>
          <w:rFonts w:ascii="Cambria" w:hAnsi="Cambria"/>
          <w:b/>
          <w:bCs/>
          <w:noProof/>
          <w:sz w:val="24"/>
        </w:rPr>
        <w:t>123,</w:t>
      </w:r>
      <w:r w:rsidRPr="00241C16">
        <w:rPr>
          <w:rFonts w:ascii="Cambria" w:hAnsi="Cambria"/>
          <w:noProof/>
          <w:sz w:val="24"/>
        </w:rPr>
        <w:t xml:space="preserve"> 980–9 (2013).</w:t>
      </w:r>
    </w:p>
    <w:p w14:paraId="1CA1116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6.</w:t>
      </w:r>
      <w:r w:rsidRPr="00241C16">
        <w:rPr>
          <w:rFonts w:ascii="Cambria" w:hAnsi="Cambria"/>
          <w:noProof/>
          <w:sz w:val="24"/>
        </w:rPr>
        <w:tab/>
        <w:t xml:space="preserve">Zeng, M. &amp; Zhou, J.-N. Roles of autophagy and mTOR signaling in neuronal differentiation of mouse neuroblastoma cells. </w:t>
      </w:r>
      <w:r w:rsidRPr="00241C16">
        <w:rPr>
          <w:rFonts w:ascii="Cambria" w:hAnsi="Cambria"/>
          <w:i/>
          <w:iCs/>
          <w:noProof/>
          <w:sz w:val="24"/>
        </w:rPr>
        <w:t>Cell. Signal.</w:t>
      </w:r>
      <w:r w:rsidRPr="00241C16">
        <w:rPr>
          <w:rFonts w:ascii="Cambria" w:hAnsi="Cambria"/>
          <w:noProof/>
          <w:sz w:val="24"/>
        </w:rPr>
        <w:t xml:space="preserve"> </w:t>
      </w:r>
      <w:r w:rsidRPr="00241C16">
        <w:rPr>
          <w:rFonts w:ascii="Cambria" w:hAnsi="Cambria"/>
          <w:b/>
          <w:bCs/>
          <w:noProof/>
          <w:sz w:val="24"/>
        </w:rPr>
        <w:t>20,</w:t>
      </w:r>
      <w:r w:rsidRPr="00241C16">
        <w:rPr>
          <w:rFonts w:ascii="Cambria" w:hAnsi="Cambria"/>
          <w:noProof/>
          <w:sz w:val="24"/>
        </w:rPr>
        <w:t xml:space="preserve"> 659–65 (2008).</w:t>
      </w:r>
    </w:p>
    <w:p w14:paraId="6A2524C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7.</w:t>
      </w:r>
      <w:r w:rsidRPr="00241C16">
        <w:rPr>
          <w:rFonts w:ascii="Cambria" w:hAnsi="Cambria"/>
          <w:noProof/>
          <w:sz w:val="24"/>
        </w:rPr>
        <w:tab/>
        <w:t xml:space="preserve">Tyler, W. A. </w:t>
      </w:r>
      <w:r w:rsidRPr="00241C16">
        <w:rPr>
          <w:rFonts w:ascii="Cambria" w:hAnsi="Cambria"/>
          <w:i/>
          <w:iCs/>
          <w:noProof/>
          <w:sz w:val="24"/>
        </w:rPr>
        <w:t>et al.</w:t>
      </w:r>
      <w:r w:rsidRPr="00241C16">
        <w:rPr>
          <w:rFonts w:ascii="Cambria" w:hAnsi="Cambria"/>
          <w:noProof/>
          <w:sz w:val="24"/>
        </w:rPr>
        <w:t xml:space="preserve"> Activation of the mammalian target of rapamycin (mTOR) is essential for oligodendrocyte differentiation. </w:t>
      </w:r>
      <w:r w:rsidRPr="00241C16">
        <w:rPr>
          <w:rFonts w:ascii="Cambria" w:hAnsi="Cambria"/>
          <w:i/>
          <w:iCs/>
          <w:noProof/>
          <w:sz w:val="24"/>
        </w:rPr>
        <w:t>J. Neurosci.</w:t>
      </w:r>
      <w:r w:rsidRPr="00241C16">
        <w:rPr>
          <w:rFonts w:ascii="Cambria" w:hAnsi="Cambria"/>
          <w:noProof/>
          <w:sz w:val="24"/>
        </w:rPr>
        <w:t xml:space="preserve"> </w:t>
      </w:r>
      <w:r w:rsidRPr="00241C16">
        <w:rPr>
          <w:rFonts w:ascii="Cambria" w:hAnsi="Cambria"/>
          <w:b/>
          <w:bCs/>
          <w:noProof/>
          <w:sz w:val="24"/>
        </w:rPr>
        <w:t>29,</w:t>
      </w:r>
      <w:r w:rsidRPr="00241C16">
        <w:rPr>
          <w:rFonts w:ascii="Cambria" w:hAnsi="Cambria"/>
          <w:noProof/>
          <w:sz w:val="24"/>
        </w:rPr>
        <w:t xml:space="preserve"> 6367–78 (2009).</w:t>
      </w:r>
    </w:p>
    <w:p w14:paraId="2E02003A"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8.</w:t>
      </w:r>
      <w:r w:rsidRPr="00241C16">
        <w:rPr>
          <w:rFonts w:ascii="Cambria" w:hAnsi="Cambria"/>
          <w:noProof/>
          <w:sz w:val="24"/>
        </w:rPr>
        <w:tab/>
        <w:t xml:space="preserve">Zhang, H. H. </w:t>
      </w:r>
      <w:r w:rsidRPr="00241C16">
        <w:rPr>
          <w:rFonts w:ascii="Cambria" w:hAnsi="Cambria"/>
          <w:i/>
          <w:iCs/>
          <w:noProof/>
          <w:sz w:val="24"/>
        </w:rPr>
        <w:t>et al.</w:t>
      </w:r>
      <w:r w:rsidRPr="00241C16">
        <w:rPr>
          <w:rFonts w:ascii="Cambria" w:hAnsi="Cambria"/>
          <w:noProof/>
          <w:sz w:val="24"/>
        </w:rPr>
        <w:t xml:space="preserve"> Insulin stimulates adipogenesis through the Akt-TSC2-mTORC1 pathway. </w:t>
      </w:r>
      <w:r w:rsidRPr="00241C16">
        <w:rPr>
          <w:rFonts w:ascii="Cambria" w:hAnsi="Cambria"/>
          <w:i/>
          <w:iCs/>
          <w:noProof/>
          <w:sz w:val="24"/>
        </w:rPr>
        <w:t>PLoS One</w:t>
      </w:r>
      <w:r w:rsidRPr="00241C16">
        <w:rPr>
          <w:rFonts w:ascii="Cambria" w:hAnsi="Cambria"/>
          <w:noProof/>
          <w:sz w:val="24"/>
        </w:rPr>
        <w:t xml:space="preserve"> </w:t>
      </w:r>
      <w:r w:rsidRPr="00241C16">
        <w:rPr>
          <w:rFonts w:ascii="Cambria" w:hAnsi="Cambria"/>
          <w:b/>
          <w:bCs/>
          <w:noProof/>
          <w:sz w:val="24"/>
        </w:rPr>
        <w:t>4,</w:t>
      </w:r>
      <w:r w:rsidRPr="00241C16">
        <w:rPr>
          <w:rFonts w:ascii="Cambria" w:hAnsi="Cambria"/>
          <w:noProof/>
          <w:sz w:val="24"/>
        </w:rPr>
        <w:t xml:space="preserve"> e6189 (2009).</w:t>
      </w:r>
    </w:p>
    <w:p w14:paraId="1DCF818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9.</w:t>
      </w:r>
      <w:r w:rsidRPr="00241C16">
        <w:rPr>
          <w:rFonts w:ascii="Cambria" w:hAnsi="Cambria"/>
          <w:noProof/>
          <w:sz w:val="24"/>
        </w:rPr>
        <w:tab/>
        <w:t xml:space="preserve">Cuenda, a &amp; Cohen, P. Stress-activated protein kinase-2/p38 and a rapamycin-sensitive pathway are required for C2C12 myogenesis.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274,</w:t>
      </w:r>
      <w:r w:rsidRPr="00241C16">
        <w:rPr>
          <w:rFonts w:ascii="Cambria" w:hAnsi="Cambria"/>
          <w:noProof/>
          <w:sz w:val="24"/>
        </w:rPr>
        <w:t xml:space="preserve"> 4341–6 (1999).</w:t>
      </w:r>
    </w:p>
    <w:p w14:paraId="3CA98E7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10.</w:t>
      </w:r>
      <w:r w:rsidRPr="00241C16">
        <w:rPr>
          <w:rFonts w:ascii="Cambria" w:hAnsi="Cambria"/>
          <w:noProof/>
          <w:sz w:val="24"/>
        </w:rPr>
        <w:tab/>
        <w:t xml:space="preserve">Shu, L., Zhang, X. &amp; Houghton, P. J. Myogenic differentiation is dependent on both the kinase function and the N-terminal sequence of mammalian target of rapamycin.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277,</w:t>
      </w:r>
      <w:r w:rsidRPr="00241C16">
        <w:rPr>
          <w:rFonts w:ascii="Cambria" w:hAnsi="Cambria"/>
          <w:noProof/>
          <w:sz w:val="24"/>
        </w:rPr>
        <w:t xml:space="preserve"> 16726–32 (2002).</w:t>
      </w:r>
    </w:p>
    <w:p w14:paraId="4FCBEE7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11.</w:t>
      </w:r>
      <w:r w:rsidRPr="00241C16">
        <w:rPr>
          <w:rFonts w:ascii="Cambria" w:hAnsi="Cambria"/>
          <w:noProof/>
          <w:sz w:val="24"/>
        </w:rPr>
        <w:tab/>
        <w:t xml:space="preserve">Erbay, E. &amp; Chen, J. The mammalian target of rapamycin regulates C2C12 myogenesis via a kinase-independent mechanism.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276,</w:t>
      </w:r>
      <w:r w:rsidRPr="00241C16">
        <w:rPr>
          <w:rFonts w:ascii="Cambria" w:hAnsi="Cambria"/>
          <w:noProof/>
          <w:sz w:val="24"/>
        </w:rPr>
        <w:t xml:space="preserve"> 36079–82 (2001).</w:t>
      </w:r>
    </w:p>
    <w:p w14:paraId="5D88D0C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12.</w:t>
      </w:r>
      <w:r w:rsidRPr="00241C16">
        <w:rPr>
          <w:rFonts w:ascii="Cambria" w:hAnsi="Cambria"/>
          <w:noProof/>
          <w:sz w:val="24"/>
        </w:rPr>
        <w:tab/>
        <w:t xml:space="preserve">Hentges, K. E. </w:t>
      </w:r>
      <w:r w:rsidRPr="00241C16">
        <w:rPr>
          <w:rFonts w:ascii="Cambria" w:hAnsi="Cambria"/>
          <w:i/>
          <w:iCs/>
          <w:noProof/>
          <w:sz w:val="24"/>
        </w:rPr>
        <w:t>et al.</w:t>
      </w:r>
      <w:r w:rsidRPr="00241C16">
        <w:rPr>
          <w:rFonts w:ascii="Cambria" w:hAnsi="Cambria"/>
          <w:noProof/>
          <w:sz w:val="24"/>
        </w:rPr>
        <w:t xml:space="preserve"> FRAP/mTOR is required for proliferation and patterning during embryonic development in the mouse. </w:t>
      </w:r>
      <w:r w:rsidRPr="00241C16">
        <w:rPr>
          <w:rFonts w:ascii="Cambria" w:hAnsi="Cambria"/>
          <w:i/>
          <w:iCs/>
          <w:noProof/>
          <w:sz w:val="24"/>
        </w:rPr>
        <w:t>Proc. Natl. Acad. Sci. U. S. A.</w:t>
      </w:r>
      <w:r w:rsidRPr="00241C16">
        <w:rPr>
          <w:rFonts w:ascii="Cambria" w:hAnsi="Cambria"/>
          <w:noProof/>
          <w:sz w:val="24"/>
        </w:rPr>
        <w:t xml:space="preserve"> </w:t>
      </w:r>
      <w:r w:rsidRPr="00241C16">
        <w:rPr>
          <w:rFonts w:ascii="Cambria" w:hAnsi="Cambria"/>
          <w:b/>
          <w:bCs/>
          <w:noProof/>
          <w:sz w:val="24"/>
        </w:rPr>
        <w:t>98,</w:t>
      </w:r>
      <w:r w:rsidRPr="00241C16">
        <w:rPr>
          <w:rFonts w:ascii="Cambria" w:hAnsi="Cambria"/>
          <w:noProof/>
          <w:sz w:val="24"/>
        </w:rPr>
        <w:t xml:space="preserve"> 13796–801 (2001).</w:t>
      </w:r>
    </w:p>
    <w:p w14:paraId="64BF4CC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13.</w:t>
      </w:r>
      <w:r w:rsidRPr="00241C16">
        <w:rPr>
          <w:rFonts w:ascii="Cambria" w:hAnsi="Cambria"/>
          <w:noProof/>
          <w:sz w:val="24"/>
        </w:rPr>
        <w:tab/>
        <w:t xml:space="preserve">Guertin, D. A. </w:t>
      </w:r>
      <w:r w:rsidRPr="00241C16">
        <w:rPr>
          <w:rFonts w:ascii="Cambria" w:hAnsi="Cambria"/>
          <w:i/>
          <w:iCs/>
          <w:noProof/>
          <w:sz w:val="24"/>
        </w:rPr>
        <w:t>et al.</w:t>
      </w:r>
      <w:r w:rsidRPr="00241C16">
        <w:rPr>
          <w:rFonts w:ascii="Cambria" w:hAnsi="Cambria"/>
          <w:noProof/>
          <w:sz w:val="24"/>
        </w:rPr>
        <w:t xml:space="preserve"> Ablation in mice of the mTORC components raptor, rictor, or mLST8 reveals that mTORC2 is required for signaling to Akt-FOXO and PKCalpha, but not S6K1. </w:t>
      </w:r>
      <w:r w:rsidRPr="00241C16">
        <w:rPr>
          <w:rFonts w:ascii="Cambria" w:hAnsi="Cambria"/>
          <w:i/>
          <w:iCs/>
          <w:noProof/>
          <w:sz w:val="24"/>
        </w:rPr>
        <w:t>Dev. Cell</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859–871 (2006).</w:t>
      </w:r>
    </w:p>
    <w:p w14:paraId="19F1FF69"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14.</w:t>
      </w:r>
      <w:r w:rsidRPr="00241C16">
        <w:rPr>
          <w:rFonts w:ascii="Cambria" w:hAnsi="Cambria"/>
          <w:noProof/>
          <w:sz w:val="24"/>
        </w:rPr>
        <w:tab/>
        <w:t xml:space="preserve">Gangloff, Y. </w:t>
      </w:r>
      <w:r w:rsidRPr="00241C16">
        <w:rPr>
          <w:rFonts w:ascii="Cambria" w:hAnsi="Cambria"/>
          <w:i/>
          <w:iCs/>
          <w:noProof/>
          <w:sz w:val="24"/>
        </w:rPr>
        <w:t>et al.</w:t>
      </w:r>
      <w:r w:rsidRPr="00241C16">
        <w:rPr>
          <w:rFonts w:ascii="Cambria" w:hAnsi="Cambria"/>
          <w:noProof/>
          <w:sz w:val="24"/>
        </w:rPr>
        <w:t xml:space="preserve"> Disruption of the mouse mTOR gene leads to early postimplantation lethality and prohibits embryonic stem cell development.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9508–16 (2004).</w:t>
      </w:r>
    </w:p>
    <w:p w14:paraId="73E015B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15.</w:t>
      </w:r>
      <w:r w:rsidRPr="00241C16">
        <w:rPr>
          <w:rFonts w:ascii="Cambria" w:hAnsi="Cambria"/>
          <w:noProof/>
          <w:sz w:val="24"/>
        </w:rPr>
        <w:tab/>
        <w:t xml:space="preserve">Jia, K., Chen, D. &amp; Riddle, D. L. The TOR pathway interacts with the insulin signaling pathway to regulate C. elegans larval development, metabolism and life span.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131,</w:t>
      </w:r>
      <w:r w:rsidRPr="00241C16">
        <w:rPr>
          <w:rFonts w:ascii="Cambria" w:hAnsi="Cambria"/>
          <w:noProof/>
          <w:sz w:val="24"/>
        </w:rPr>
        <w:t xml:space="preserve"> 3897–906 (2004).</w:t>
      </w:r>
    </w:p>
    <w:p w14:paraId="76AD0A2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16.</w:t>
      </w:r>
      <w:r w:rsidRPr="00241C16">
        <w:rPr>
          <w:rFonts w:ascii="Cambria" w:hAnsi="Cambria"/>
          <w:noProof/>
          <w:sz w:val="24"/>
        </w:rPr>
        <w:tab/>
        <w:t xml:space="preserve">Bjedov, I. </w:t>
      </w:r>
      <w:r w:rsidRPr="00241C16">
        <w:rPr>
          <w:rFonts w:ascii="Cambria" w:hAnsi="Cambria"/>
          <w:i/>
          <w:iCs/>
          <w:noProof/>
          <w:sz w:val="24"/>
        </w:rPr>
        <w:t>et al.</w:t>
      </w:r>
      <w:r w:rsidRPr="00241C16">
        <w:rPr>
          <w:rFonts w:ascii="Cambria" w:hAnsi="Cambria"/>
          <w:noProof/>
          <w:sz w:val="24"/>
        </w:rPr>
        <w:t xml:space="preserve"> Mechanisms of life span extension by rapamycin in the fruit fly Drosophila melanogaster.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35–46 (2010).</w:t>
      </w:r>
    </w:p>
    <w:p w14:paraId="676A844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17.</w:t>
      </w:r>
      <w:r w:rsidRPr="00241C16">
        <w:rPr>
          <w:rFonts w:ascii="Cambria" w:hAnsi="Cambria"/>
          <w:noProof/>
          <w:sz w:val="24"/>
        </w:rPr>
        <w:tab/>
        <w:t xml:space="preserve">Mauro, A. Satellite cell of skeletal muscle fibers. </w:t>
      </w:r>
      <w:r w:rsidRPr="00241C16">
        <w:rPr>
          <w:rFonts w:ascii="Cambria" w:hAnsi="Cambria"/>
          <w:i/>
          <w:iCs/>
          <w:noProof/>
          <w:sz w:val="24"/>
        </w:rPr>
        <w:t>J. Biophys. Biochem. Cytol.</w:t>
      </w:r>
      <w:r w:rsidRPr="00241C16">
        <w:rPr>
          <w:rFonts w:ascii="Cambria" w:hAnsi="Cambria"/>
          <w:noProof/>
          <w:sz w:val="24"/>
        </w:rPr>
        <w:t xml:space="preserve"> </w:t>
      </w:r>
      <w:r w:rsidRPr="00241C16">
        <w:rPr>
          <w:rFonts w:ascii="Cambria" w:hAnsi="Cambria"/>
          <w:b/>
          <w:bCs/>
          <w:noProof/>
          <w:sz w:val="24"/>
        </w:rPr>
        <w:t>9,</w:t>
      </w:r>
      <w:r w:rsidRPr="00241C16">
        <w:rPr>
          <w:rFonts w:ascii="Cambria" w:hAnsi="Cambria"/>
          <w:noProof/>
          <w:sz w:val="24"/>
        </w:rPr>
        <w:t xml:space="preserve"> 493–5 (1961).</w:t>
      </w:r>
    </w:p>
    <w:p w14:paraId="7C6288F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18.</w:t>
      </w:r>
      <w:r w:rsidRPr="00241C16">
        <w:rPr>
          <w:rFonts w:ascii="Cambria" w:hAnsi="Cambria"/>
          <w:noProof/>
          <w:sz w:val="24"/>
        </w:rPr>
        <w:tab/>
        <w:t xml:space="preserve">Collins, C. a </w:t>
      </w:r>
      <w:r w:rsidRPr="00241C16">
        <w:rPr>
          <w:rFonts w:ascii="Cambria" w:hAnsi="Cambria"/>
          <w:i/>
          <w:iCs/>
          <w:noProof/>
          <w:sz w:val="24"/>
        </w:rPr>
        <w:t>et al.</w:t>
      </w:r>
      <w:r w:rsidRPr="00241C16">
        <w:rPr>
          <w:rFonts w:ascii="Cambria" w:hAnsi="Cambria"/>
          <w:noProof/>
          <w:sz w:val="24"/>
        </w:rPr>
        <w:t xml:space="preserve"> Stem cell function, self-renewal, and behavioral heterogeneity of cells from the adult muscle satellite cell niche. </w:t>
      </w:r>
      <w:r w:rsidRPr="00241C16">
        <w:rPr>
          <w:rFonts w:ascii="Cambria" w:hAnsi="Cambria"/>
          <w:i/>
          <w:iCs/>
          <w:noProof/>
          <w:sz w:val="24"/>
        </w:rPr>
        <w:t>Cell</w:t>
      </w:r>
      <w:r w:rsidRPr="00241C16">
        <w:rPr>
          <w:rFonts w:ascii="Cambria" w:hAnsi="Cambria"/>
          <w:noProof/>
          <w:sz w:val="24"/>
        </w:rPr>
        <w:t xml:space="preserve"> </w:t>
      </w:r>
      <w:r w:rsidRPr="00241C16">
        <w:rPr>
          <w:rFonts w:ascii="Cambria" w:hAnsi="Cambria"/>
          <w:b/>
          <w:bCs/>
          <w:noProof/>
          <w:sz w:val="24"/>
        </w:rPr>
        <w:t>122,</w:t>
      </w:r>
      <w:r w:rsidRPr="00241C16">
        <w:rPr>
          <w:rFonts w:ascii="Cambria" w:hAnsi="Cambria"/>
          <w:noProof/>
          <w:sz w:val="24"/>
        </w:rPr>
        <w:t xml:space="preserve"> 289–301 (2005).</w:t>
      </w:r>
    </w:p>
    <w:p w14:paraId="6B2D436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19.</w:t>
      </w:r>
      <w:r w:rsidRPr="00241C16">
        <w:rPr>
          <w:rFonts w:ascii="Cambria" w:hAnsi="Cambria"/>
          <w:noProof/>
          <w:sz w:val="24"/>
        </w:rPr>
        <w:tab/>
        <w:t xml:space="preserve">McCarthy, J. J. </w:t>
      </w:r>
      <w:r w:rsidRPr="00241C16">
        <w:rPr>
          <w:rFonts w:ascii="Cambria" w:hAnsi="Cambria"/>
          <w:i/>
          <w:iCs/>
          <w:noProof/>
          <w:sz w:val="24"/>
        </w:rPr>
        <w:t>et al.</w:t>
      </w:r>
      <w:r w:rsidRPr="00241C16">
        <w:rPr>
          <w:rFonts w:ascii="Cambria" w:hAnsi="Cambria"/>
          <w:noProof/>
          <w:sz w:val="24"/>
        </w:rPr>
        <w:t xml:space="preserve"> Effective fiber hypertrophy in satellite cell-depleted skeletal muscle.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138,</w:t>
      </w:r>
      <w:r w:rsidRPr="00241C16">
        <w:rPr>
          <w:rFonts w:ascii="Cambria" w:hAnsi="Cambria"/>
          <w:noProof/>
          <w:sz w:val="24"/>
        </w:rPr>
        <w:t xml:space="preserve"> 3657–66 (2011).</w:t>
      </w:r>
    </w:p>
    <w:p w14:paraId="427F679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20.</w:t>
      </w:r>
      <w:r w:rsidRPr="00241C16">
        <w:rPr>
          <w:rFonts w:ascii="Cambria" w:hAnsi="Cambria"/>
          <w:noProof/>
          <w:sz w:val="24"/>
        </w:rPr>
        <w:tab/>
        <w:t xml:space="preserve">Eng, D., Ma, H.-Y., Gross, M. K. &amp; Kioussi, C. Gene Networks during Skeletal Myogenesis. </w:t>
      </w:r>
      <w:r w:rsidRPr="00241C16">
        <w:rPr>
          <w:rFonts w:ascii="Cambria" w:hAnsi="Cambria"/>
          <w:i/>
          <w:iCs/>
          <w:noProof/>
          <w:sz w:val="24"/>
        </w:rPr>
        <w:t>ISRN Dev. Biol.</w:t>
      </w:r>
      <w:r w:rsidRPr="00241C16">
        <w:rPr>
          <w:rFonts w:ascii="Cambria" w:hAnsi="Cambria"/>
          <w:noProof/>
          <w:sz w:val="24"/>
        </w:rPr>
        <w:t xml:space="preserve"> </w:t>
      </w:r>
      <w:r w:rsidRPr="00241C16">
        <w:rPr>
          <w:rFonts w:ascii="Cambria" w:hAnsi="Cambria"/>
          <w:b/>
          <w:bCs/>
          <w:noProof/>
          <w:sz w:val="24"/>
        </w:rPr>
        <w:t>2013,</w:t>
      </w:r>
      <w:r w:rsidRPr="00241C16">
        <w:rPr>
          <w:rFonts w:ascii="Cambria" w:hAnsi="Cambria"/>
          <w:noProof/>
          <w:sz w:val="24"/>
        </w:rPr>
        <w:t xml:space="preserve"> 1–8 (2013).</w:t>
      </w:r>
    </w:p>
    <w:p w14:paraId="2CB6B77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21.</w:t>
      </w:r>
      <w:r w:rsidRPr="00241C16">
        <w:rPr>
          <w:rFonts w:ascii="Cambria" w:hAnsi="Cambria"/>
          <w:noProof/>
          <w:sz w:val="24"/>
        </w:rPr>
        <w:tab/>
        <w:t xml:space="preserve">Ge, Y. &amp; Chen, J. Mammalian target of rapamycin (mTOR) signaling network in skeletal myogenesis. </w:t>
      </w:r>
      <w:r w:rsidRPr="00241C16">
        <w:rPr>
          <w:rFonts w:ascii="Cambria" w:hAnsi="Cambria"/>
          <w:i/>
          <w:iCs/>
          <w:noProof/>
          <w:sz w:val="24"/>
        </w:rPr>
        <w:t>J. Biol. Chem.</w:t>
      </w:r>
      <w:r w:rsidRPr="00241C16">
        <w:rPr>
          <w:rFonts w:ascii="Cambria" w:hAnsi="Cambria"/>
          <w:noProof/>
          <w:sz w:val="24"/>
        </w:rPr>
        <w:t xml:space="preserve"> (2012). doi:10.1074/jbc.R112.406942</w:t>
      </w:r>
    </w:p>
    <w:p w14:paraId="78AA45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22.</w:t>
      </w:r>
      <w:r w:rsidRPr="00241C16">
        <w:rPr>
          <w:rFonts w:ascii="Cambria" w:hAnsi="Cambria"/>
          <w:noProof/>
          <w:sz w:val="24"/>
        </w:rPr>
        <w:tab/>
        <w:t xml:space="preserve">Sun, Y. </w:t>
      </w:r>
      <w:r w:rsidRPr="00241C16">
        <w:rPr>
          <w:rFonts w:ascii="Cambria" w:hAnsi="Cambria"/>
          <w:i/>
          <w:iCs/>
          <w:noProof/>
          <w:sz w:val="24"/>
        </w:rPr>
        <w:t>et al.</w:t>
      </w:r>
      <w:r w:rsidRPr="00241C16">
        <w:rPr>
          <w:rFonts w:ascii="Cambria" w:hAnsi="Cambria"/>
          <w:noProof/>
          <w:sz w:val="24"/>
        </w:rPr>
        <w:t xml:space="preserve"> Mammalian target of rapamycin regulates miRNA-1 and follistatin in skeletal myogenesis. </w:t>
      </w:r>
      <w:r w:rsidRPr="00241C16">
        <w:rPr>
          <w:rFonts w:ascii="Cambria" w:hAnsi="Cambria"/>
          <w:i/>
          <w:iCs/>
          <w:noProof/>
          <w:sz w:val="24"/>
        </w:rPr>
        <w:t>J. Cell Biol.</w:t>
      </w:r>
      <w:r w:rsidRPr="00241C16">
        <w:rPr>
          <w:rFonts w:ascii="Cambria" w:hAnsi="Cambria"/>
          <w:noProof/>
          <w:sz w:val="24"/>
        </w:rPr>
        <w:t xml:space="preserve"> </w:t>
      </w:r>
      <w:r w:rsidRPr="00241C16">
        <w:rPr>
          <w:rFonts w:ascii="Cambria" w:hAnsi="Cambria"/>
          <w:b/>
          <w:bCs/>
          <w:noProof/>
          <w:sz w:val="24"/>
        </w:rPr>
        <w:t>189,</w:t>
      </w:r>
      <w:r w:rsidRPr="00241C16">
        <w:rPr>
          <w:rFonts w:ascii="Cambria" w:hAnsi="Cambria"/>
          <w:noProof/>
          <w:sz w:val="24"/>
        </w:rPr>
        <w:t xml:space="preserve"> 1157–69 (2010).</w:t>
      </w:r>
    </w:p>
    <w:p w14:paraId="372E7D7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23.</w:t>
      </w:r>
      <w:r w:rsidRPr="00241C16">
        <w:rPr>
          <w:rFonts w:ascii="Cambria" w:hAnsi="Cambria"/>
          <w:noProof/>
          <w:sz w:val="24"/>
        </w:rPr>
        <w:tab/>
        <w:t xml:space="preserve">Schmittgen, T. D. &amp; Livak, K. J. Analyzing real-time PCR data by the comparative CT method. </w:t>
      </w:r>
      <w:r w:rsidRPr="00241C16">
        <w:rPr>
          <w:rFonts w:ascii="Cambria" w:hAnsi="Cambria"/>
          <w:i/>
          <w:iCs/>
          <w:noProof/>
          <w:sz w:val="24"/>
        </w:rPr>
        <w:t>Nat. Protoc.</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1101–1108 (2008).</w:t>
      </w:r>
    </w:p>
    <w:p w14:paraId="0D90FFE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24.</w:t>
      </w:r>
      <w:r w:rsidRPr="00241C16">
        <w:rPr>
          <w:rFonts w:ascii="Cambria" w:hAnsi="Cambria"/>
          <w:noProof/>
          <w:sz w:val="24"/>
        </w:rPr>
        <w:tab/>
        <w:t xml:space="preserve">Ni, J. </w:t>
      </w:r>
      <w:r w:rsidRPr="00241C16">
        <w:rPr>
          <w:rFonts w:ascii="Cambria" w:hAnsi="Cambria"/>
          <w:i/>
          <w:iCs/>
          <w:noProof/>
          <w:sz w:val="24"/>
        </w:rPr>
        <w:t>et al.</w:t>
      </w:r>
      <w:r w:rsidRPr="00241C16">
        <w:rPr>
          <w:rFonts w:ascii="Cambria" w:hAnsi="Cambria"/>
          <w:noProof/>
          <w:sz w:val="24"/>
        </w:rPr>
        <w:t xml:space="preserve"> A genome-scale shRNA resource for transgenic RNAi in Drosophila. </w:t>
      </w:r>
      <w:r w:rsidRPr="00241C16">
        <w:rPr>
          <w:rFonts w:ascii="Cambria" w:hAnsi="Cambria"/>
          <w:i/>
          <w:iCs/>
          <w:noProof/>
          <w:sz w:val="24"/>
        </w:rPr>
        <w:t>Nat. Methods</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405–7 (2011).</w:t>
      </w:r>
    </w:p>
    <w:p w14:paraId="0EB5EC14"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25.</w:t>
      </w:r>
      <w:r w:rsidRPr="00241C16">
        <w:rPr>
          <w:rFonts w:ascii="Cambria" w:hAnsi="Cambria"/>
          <w:noProof/>
          <w:sz w:val="24"/>
        </w:rPr>
        <w:tab/>
        <w:t>R Core Team. R: A Language and Environment for Statistical Computing. (2013).</w:t>
      </w:r>
    </w:p>
    <w:p w14:paraId="742E86B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26.</w:t>
      </w:r>
      <w:r w:rsidRPr="00241C16">
        <w:rPr>
          <w:rFonts w:ascii="Cambria" w:hAnsi="Cambria"/>
          <w:noProof/>
          <w:sz w:val="24"/>
        </w:rPr>
        <w:tab/>
        <w:t xml:space="preserve">Fox, J. &amp; Weisberg, S. </w:t>
      </w:r>
      <w:r w:rsidRPr="00241C16">
        <w:rPr>
          <w:rFonts w:ascii="Cambria" w:hAnsi="Cambria"/>
          <w:i/>
          <w:iCs/>
          <w:noProof/>
          <w:sz w:val="24"/>
        </w:rPr>
        <w:t>An {R} Companion to Applied Regression</w:t>
      </w:r>
      <w:r w:rsidRPr="00241C16">
        <w:rPr>
          <w:rFonts w:ascii="Cambria" w:hAnsi="Cambria"/>
          <w:noProof/>
          <w:sz w:val="24"/>
        </w:rPr>
        <w:t>. (Sage, 2011).</w:t>
      </w:r>
    </w:p>
    <w:p w14:paraId="37F3175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27.</w:t>
      </w:r>
      <w:r w:rsidRPr="00241C16">
        <w:rPr>
          <w:rFonts w:ascii="Cambria" w:hAnsi="Cambria"/>
          <w:noProof/>
          <w:sz w:val="24"/>
        </w:rPr>
        <w:tab/>
        <w:t xml:space="preserve">Benjamini, Y. &amp; Hochberg, Y. Controlling the False Discovery Rate: A Practical and Powerful Approach to Multiple Testing. </w:t>
      </w:r>
      <w:r w:rsidRPr="00241C16">
        <w:rPr>
          <w:rFonts w:ascii="Cambria" w:hAnsi="Cambria"/>
          <w:i/>
          <w:iCs/>
          <w:noProof/>
          <w:sz w:val="24"/>
        </w:rPr>
        <w:t>J. R. Stat. Soc. Ser. B</w:t>
      </w:r>
      <w:r w:rsidRPr="00241C16">
        <w:rPr>
          <w:rFonts w:ascii="Cambria" w:hAnsi="Cambria"/>
          <w:noProof/>
          <w:sz w:val="24"/>
        </w:rPr>
        <w:t xml:space="preserve"> </w:t>
      </w:r>
      <w:r w:rsidRPr="00241C16">
        <w:rPr>
          <w:rFonts w:ascii="Cambria" w:hAnsi="Cambria"/>
          <w:b/>
          <w:bCs/>
          <w:noProof/>
          <w:sz w:val="24"/>
        </w:rPr>
        <w:t>57,</w:t>
      </w:r>
      <w:r w:rsidRPr="00241C16">
        <w:rPr>
          <w:rFonts w:ascii="Cambria" w:hAnsi="Cambria"/>
          <w:noProof/>
          <w:sz w:val="24"/>
        </w:rPr>
        <w:t xml:space="preserve"> 289–300 (1995).</w:t>
      </w:r>
    </w:p>
    <w:p w14:paraId="03D223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28.</w:t>
      </w:r>
      <w:r w:rsidRPr="00241C16">
        <w:rPr>
          <w:rFonts w:ascii="Cambria" w:hAnsi="Cambria"/>
          <w:noProof/>
          <w:sz w:val="24"/>
        </w:rPr>
        <w:tab/>
        <w:t xml:space="preserve">Berkes, C. a &amp; Tapscott, S. J. MyoD and the transcriptional control of myogenesis. </w:t>
      </w:r>
      <w:r w:rsidRPr="00241C16">
        <w:rPr>
          <w:rFonts w:ascii="Cambria" w:hAnsi="Cambria"/>
          <w:i/>
          <w:iCs/>
          <w:noProof/>
          <w:sz w:val="24"/>
        </w:rPr>
        <w:t>Semin. Cell Dev. Biol.</w:t>
      </w:r>
      <w:r w:rsidRPr="00241C16">
        <w:rPr>
          <w:rFonts w:ascii="Cambria" w:hAnsi="Cambria"/>
          <w:noProof/>
          <w:sz w:val="24"/>
        </w:rPr>
        <w:t xml:space="preserve"> </w:t>
      </w:r>
      <w:r w:rsidRPr="00241C16">
        <w:rPr>
          <w:rFonts w:ascii="Cambria" w:hAnsi="Cambria"/>
          <w:b/>
          <w:bCs/>
          <w:noProof/>
          <w:sz w:val="24"/>
        </w:rPr>
        <w:t>16,</w:t>
      </w:r>
      <w:r w:rsidRPr="00241C16">
        <w:rPr>
          <w:rFonts w:ascii="Cambria" w:hAnsi="Cambria"/>
          <w:noProof/>
          <w:sz w:val="24"/>
        </w:rPr>
        <w:t xml:space="preserve"> 585–95 (2005).</w:t>
      </w:r>
    </w:p>
    <w:p w14:paraId="2F9DD5F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29.</w:t>
      </w:r>
      <w:r w:rsidRPr="00241C16">
        <w:rPr>
          <w:rFonts w:ascii="Cambria" w:hAnsi="Cambria"/>
          <w:noProof/>
          <w:sz w:val="24"/>
        </w:rPr>
        <w:tab/>
        <w:t xml:space="preserve">Rogerson, P. J., Jamali, M. &amp; Skerjanc, I. S. The C-terminus of myogenin, but not MyoD, targets upregulation of MEF2C expression. </w:t>
      </w:r>
      <w:r w:rsidRPr="00241C16">
        <w:rPr>
          <w:rFonts w:ascii="Cambria" w:hAnsi="Cambria"/>
          <w:i/>
          <w:iCs/>
          <w:noProof/>
          <w:sz w:val="24"/>
        </w:rPr>
        <w:t>FEBS Lett.</w:t>
      </w:r>
      <w:r w:rsidRPr="00241C16">
        <w:rPr>
          <w:rFonts w:ascii="Cambria" w:hAnsi="Cambria"/>
          <w:noProof/>
          <w:sz w:val="24"/>
        </w:rPr>
        <w:t xml:space="preserve"> </w:t>
      </w:r>
      <w:r w:rsidRPr="00241C16">
        <w:rPr>
          <w:rFonts w:ascii="Cambria" w:hAnsi="Cambria"/>
          <w:b/>
          <w:bCs/>
          <w:noProof/>
          <w:sz w:val="24"/>
        </w:rPr>
        <w:t>524,</w:t>
      </w:r>
      <w:r w:rsidRPr="00241C16">
        <w:rPr>
          <w:rFonts w:ascii="Cambria" w:hAnsi="Cambria"/>
          <w:noProof/>
          <w:sz w:val="24"/>
        </w:rPr>
        <w:t xml:space="preserve"> 134–8 (2002).</w:t>
      </w:r>
    </w:p>
    <w:p w14:paraId="552533A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30.</w:t>
      </w:r>
      <w:r w:rsidRPr="00241C16">
        <w:rPr>
          <w:rFonts w:ascii="Cambria" w:hAnsi="Cambria"/>
          <w:noProof/>
          <w:sz w:val="24"/>
        </w:rPr>
        <w:tab/>
        <w:t xml:space="preserve">Murakami, M. </w:t>
      </w:r>
      <w:r w:rsidRPr="00241C16">
        <w:rPr>
          <w:rFonts w:ascii="Cambria" w:hAnsi="Cambria"/>
          <w:i/>
          <w:iCs/>
          <w:noProof/>
          <w:sz w:val="24"/>
        </w:rPr>
        <w:t>et al.</w:t>
      </w:r>
      <w:r w:rsidRPr="00241C16">
        <w:rPr>
          <w:rFonts w:ascii="Cambria" w:hAnsi="Cambria"/>
          <w:noProof/>
          <w:sz w:val="24"/>
        </w:rPr>
        <w:t xml:space="preserve"> mTOR is essential for growth and proliferation in early mouse embryos and embryonic stem cells.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6710–8 (2004).</w:t>
      </w:r>
    </w:p>
    <w:p w14:paraId="0F3C455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31.</w:t>
      </w:r>
      <w:r w:rsidRPr="00241C16">
        <w:rPr>
          <w:rFonts w:ascii="Cambria" w:hAnsi="Cambria"/>
          <w:noProof/>
          <w:sz w:val="24"/>
        </w:rPr>
        <w:tab/>
        <w:t xml:space="preserve">Duffy, J. B. GAL4 system in Drosophila: a fly geneticist’s Swiss army knife. </w:t>
      </w:r>
      <w:r w:rsidRPr="00241C16">
        <w:rPr>
          <w:rFonts w:ascii="Cambria" w:hAnsi="Cambria"/>
          <w:i/>
          <w:iCs/>
          <w:noProof/>
          <w:sz w:val="24"/>
        </w:rPr>
        <w:t>Genesis</w:t>
      </w:r>
      <w:r w:rsidRPr="00241C16">
        <w:rPr>
          <w:rFonts w:ascii="Cambria" w:hAnsi="Cambria"/>
          <w:noProof/>
          <w:sz w:val="24"/>
        </w:rPr>
        <w:t xml:space="preserve"> </w:t>
      </w:r>
      <w:r w:rsidRPr="00241C16">
        <w:rPr>
          <w:rFonts w:ascii="Cambria" w:hAnsi="Cambria"/>
          <w:b/>
          <w:bCs/>
          <w:noProof/>
          <w:sz w:val="24"/>
        </w:rPr>
        <w:t>34,</w:t>
      </w:r>
      <w:r w:rsidRPr="00241C16">
        <w:rPr>
          <w:rFonts w:ascii="Cambria" w:hAnsi="Cambria"/>
          <w:noProof/>
          <w:sz w:val="24"/>
        </w:rPr>
        <w:t xml:space="preserve"> 1–15 (2002).</w:t>
      </w:r>
    </w:p>
    <w:p w14:paraId="163E18F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32.</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Skeletal muscle-specific ablation of raptor, but not of rictor, causes metabolic changes and results in muscle dystrophy.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411–24 (2008).</w:t>
      </w:r>
    </w:p>
    <w:p w14:paraId="67509232"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33.</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Differential response of skeletal muscles to mTORC1 signaling during atrophy and hypertrophy. </w:t>
      </w:r>
      <w:r w:rsidRPr="00241C16">
        <w:rPr>
          <w:rFonts w:ascii="Cambria" w:hAnsi="Cambria"/>
          <w:i/>
          <w:iCs/>
          <w:noProof/>
          <w:sz w:val="24"/>
        </w:rPr>
        <w:t>Skelet. Muscle</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6 (2013). </w:t>
      </w:r>
    </w:p>
    <w:p w14:paraId="41FF71FC" w14:textId="556D000B" w:rsidR="00234C0A" w:rsidRPr="008C6740" w:rsidRDefault="00D07587" w:rsidP="00241C16">
      <w:pPr>
        <w:pStyle w:val="NormalWeb"/>
        <w:ind w:left="640" w:hanging="640"/>
        <w:divId w:val="1621910998"/>
        <w:rPr>
          <w:rFonts w:ascii="Cambria" w:hAnsi="Cambria"/>
          <w:b/>
        </w:rPr>
      </w:pPr>
      <w:r>
        <w:rPr>
          <w:rFonts w:ascii="Cambria" w:hAnsi="Cambria"/>
          <w:b/>
        </w:rPr>
        <w:fldChar w:fldCharType="end"/>
      </w:r>
    </w:p>
    <w:p w14:paraId="7FC4BB17" w14:textId="01F1A6C5" w:rsidR="00234C0A" w:rsidRPr="008C6740" w:rsidRDefault="00234C0A" w:rsidP="001C2994">
      <w:pPr>
        <w:spacing w:line="360" w:lineRule="auto"/>
        <w:jc w:val="both"/>
        <w:rPr>
          <w:rFonts w:ascii="Cambria" w:hAnsi="Cambria"/>
          <w:b/>
        </w:rPr>
      </w:pPr>
    </w:p>
    <w:p w14:paraId="775E9001" w14:textId="77777777" w:rsidR="00234C0A" w:rsidRPr="008C6740" w:rsidRDefault="00234C0A" w:rsidP="001C2994">
      <w:pPr>
        <w:spacing w:line="360" w:lineRule="auto"/>
        <w:jc w:val="both"/>
        <w:rPr>
          <w:b/>
        </w:rPr>
      </w:pPr>
    </w:p>
    <w:p w14:paraId="50818C9F" w14:textId="6DF2E8F7" w:rsidR="007C342C" w:rsidRPr="008C6740" w:rsidRDefault="007C342C" w:rsidP="001C2994">
      <w:pPr>
        <w:spacing w:line="360" w:lineRule="auto"/>
        <w:jc w:val="both"/>
        <w:rPr>
          <w:b/>
        </w:rPr>
      </w:pPr>
    </w:p>
    <w:p w14:paraId="14FC846F" w14:textId="77777777" w:rsidR="007C342C" w:rsidRPr="008C6740" w:rsidRDefault="007C342C" w:rsidP="001C2994">
      <w:pPr>
        <w:spacing w:line="360" w:lineRule="auto"/>
        <w:jc w:val="both"/>
        <w:rPr>
          <w:b/>
        </w:rPr>
      </w:pPr>
    </w:p>
    <w:p w14:paraId="3671538B" w14:textId="77777777" w:rsidR="007C342C" w:rsidRPr="008C6740" w:rsidRDefault="007C342C" w:rsidP="001C2994">
      <w:pPr>
        <w:spacing w:line="360" w:lineRule="auto"/>
        <w:jc w:val="both"/>
        <w:rPr>
          <w:b/>
        </w:rPr>
      </w:pPr>
    </w:p>
    <w:p w14:paraId="6EA80938" w14:textId="77777777" w:rsidR="00922DE5" w:rsidRPr="008C6740" w:rsidRDefault="00922DE5" w:rsidP="001C2994">
      <w:pPr>
        <w:spacing w:line="360" w:lineRule="auto"/>
        <w:jc w:val="both"/>
        <w:rPr>
          <w:b/>
        </w:rPr>
      </w:pPr>
    </w:p>
    <w:p w14:paraId="3F76898D" w14:textId="77777777" w:rsidR="00922DE5" w:rsidRPr="008C6740" w:rsidRDefault="00922DE5" w:rsidP="001C2994">
      <w:pPr>
        <w:spacing w:line="360" w:lineRule="auto"/>
        <w:jc w:val="both"/>
        <w:rPr>
          <w:b/>
        </w:rPr>
      </w:pPr>
    </w:p>
    <w:p w14:paraId="4187C8C1" w14:textId="77777777" w:rsidR="00922DE5" w:rsidRPr="008C6740" w:rsidRDefault="00922DE5" w:rsidP="001C2994">
      <w:pPr>
        <w:spacing w:line="360" w:lineRule="auto"/>
        <w:jc w:val="both"/>
        <w:rPr>
          <w:b/>
        </w:rPr>
      </w:pPr>
    </w:p>
    <w:p w14:paraId="112D687C" w14:textId="77777777" w:rsidR="00922DE5" w:rsidRPr="008C6740" w:rsidRDefault="00922DE5" w:rsidP="001C2994">
      <w:pPr>
        <w:spacing w:line="360" w:lineRule="auto"/>
        <w:jc w:val="both"/>
        <w:rPr>
          <w:b/>
        </w:rPr>
      </w:pPr>
    </w:p>
    <w:p w14:paraId="160E24C2" w14:textId="77777777" w:rsidR="00922DE5" w:rsidRPr="008C6740" w:rsidRDefault="00922DE5" w:rsidP="001C2994">
      <w:pPr>
        <w:spacing w:line="360" w:lineRule="auto"/>
        <w:jc w:val="both"/>
        <w:rPr>
          <w:b/>
        </w:rPr>
      </w:pPr>
    </w:p>
    <w:p w14:paraId="37A4D36F" w14:textId="77777777" w:rsidR="00922DE5" w:rsidRPr="008C6740" w:rsidRDefault="00922DE5" w:rsidP="001C2994">
      <w:pPr>
        <w:spacing w:line="360" w:lineRule="auto"/>
        <w:jc w:val="both"/>
        <w:rPr>
          <w:b/>
        </w:rPr>
      </w:pPr>
    </w:p>
    <w:p w14:paraId="49502290" w14:textId="77777777" w:rsidR="00922DE5" w:rsidRPr="008C6740" w:rsidRDefault="00922DE5" w:rsidP="001C2994">
      <w:pPr>
        <w:spacing w:line="360" w:lineRule="auto"/>
        <w:jc w:val="both"/>
        <w:rPr>
          <w:b/>
        </w:rPr>
      </w:pPr>
    </w:p>
    <w:p w14:paraId="224AD4F7" w14:textId="77777777" w:rsidR="00922DE5" w:rsidRPr="008C6740" w:rsidRDefault="00922DE5" w:rsidP="001C2994">
      <w:pPr>
        <w:spacing w:line="360" w:lineRule="auto"/>
        <w:jc w:val="both"/>
        <w:rPr>
          <w:b/>
        </w:rPr>
      </w:pPr>
    </w:p>
    <w:p w14:paraId="2BD8DBBA" w14:textId="77777777" w:rsidR="00922DE5" w:rsidRPr="008C6740" w:rsidRDefault="00922DE5" w:rsidP="001C2994">
      <w:pPr>
        <w:spacing w:line="360" w:lineRule="auto"/>
        <w:jc w:val="both"/>
        <w:rPr>
          <w:b/>
        </w:rPr>
      </w:pPr>
    </w:p>
    <w:p w14:paraId="397239CD" w14:textId="77777777" w:rsidR="00922DE5" w:rsidRPr="008C6740" w:rsidRDefault="00922DE5" w:rsidP="001C2994">
      <w:pPr>
        <w:spacing w:line="360" w:lineRule="auto"/>
        <w:jc w:val="both"/>
        <w:rPr>
          <w:b/>
        </w:rPr>
      </w:pPr>
    </w:p>
    <w:p w14:paraId="01C76676" w14:textId="77777777" w:rsidR="00234C0A" w:rsidRPr="008C6740" w:rsidRDefault="00234C0A" w:rsidP="001C2994">
      <w:pPr>
        <w:spacing w:line="360" w:lineRule="auto"/>
        <w:jc w:val="both"/>
        <w:rPr>
          <w:b/>
        </w:rPr>
      </w:pPr>
    </w:p>
    <w:p w14:paraId="59B26627" w14:textId="77777777" w:rsidR="00234C0A" w:rsidRPr="008C6740" w:rsidRDefault="00234C0A" w:rsidP="001C2994">
      <w:pPr>
        <w:spacing w:line="360" w:lineRule="auto"/>
        <w:jc w:val="both"/>
        <w:rPr>
          <w:b/>
        </w:rPr>
      </w:pPr>
    </w:p>
    <w:p w14:paraId="3D0C507C" w14:textId="2A71AF0E" w:rsidR="00D07587" w:rsidRDefault="00D07587" w:rsidP="001C2994">
      <w:pPr>
        <w:spacing w:line="36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1C2994">
      <w:pPr>
        <w:pStyle w:val="Heading2"/>
        <w:spacing w:line="360" w:lineRule="auto"/>
        <w:jc w:val="both"/>
      </w:pPr>
    </w:p>
    <w:p w14:paraId="4283EC5B" w14:textId="5A0CD3BD" w:rsidR="00A52511" w:rsidRPr="00396F4E" w:rsidRDefault="008B5CF0" w:rsidP="00396F4E">
      <w:pPr>
        <w:pStyle w:val="Heading1"/>
        <w:spacing w:line="360" w:lineRule="auto"/>
        <w:jc w:val="both"/>
      </w:pPr>
      <w:r>
        <w:t>Table Legends</w:t>
      </w:r>
    </w:p>
    <w:p w14:paraId="44427377" w14:textId="5610B56C" w:rsidR="008B5CF0" w:rsidRDefault="00396F4E" w:rsidP="001C2994">
      <w:pPr>
        <w:spacing w:line="36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2AEDCB08" w:rsidR="003006ED" w:rsidRPr="00434223" w:rsidRDefault="003006ED" w:rsidP="003006ED">
      <w:pPr>
        <w:spacing w:line="360" w:lineRule="auto"/>
        <w:jc w:val="both"/>
        <w:rPr>
          <w:rFonts w:cs="Times"/>
        </w:rPr>
      </w:pPr>
      <w:r>
        <w:rPr>
          <w:rFonts w:cs="Times"/>
          <w:b/>
        </w:rPr>
        <w:t xml:space="preserve">Table 2: </w:t>
      </w:r>
      <w:r>
        <w:rPr>
          <w:rFonts w:cs="Times"/>
        </w:rPr>
        <w:t>Fly stocks used in this study.</w:t>
      </w:r>
    </w:p>
    <w:p w14:paraId="666A1713" w14:textId="77777777" w:rsidR="003006ED" w:rsidRPr="003E4F67" w:rsidRDefault="003006ED" w:rsidP="001C2994">
      <w:pPr>
        <w:spacing w:line="360" w:lineRule="auto"/>
        <w:jc w:val="both"/>
        <w:rPr>
          <w:rFonts w:cs="Times"/>
        </w:rPr>
      </w:pPr>
    </w:p>
    <w:p w14:paraId="1D3F10F4" w14:textId="77777777" w:rsidR="008B5CF0" w:rsidRPr="008B5CF0" w:rsidRDefault="008B5CF0" w:rsidP="001C2994">
      <w:pPr>
        <w:spacing w:line="360" w:lineRule="auto"/>
        <w:jc w:val="both"/>
      </w:pPr>
    </w:p>
    <w:p w14:paraId="00E6B0B5" w14:textId="3923DBE4" w:rsidR="002D6048" w:rsidRPr="00396F4E" w:rsidRDefault="00234C0A" w:rsidP="00396F4E">
      <w:pPr>
        <w:pStyle w:val="Heading1"/>
        <w:spacing w:line="360" w:lineRule="auto"/>
        <w:jc w:val="both"/>
      </w:pPr>
      <w:r w:rsidRPr="008C6740">
        <w:t>Figure Legend</w:t>
      </w:r>
      <w:r w:rsidR="00D07587">
        <w:t>s</w:t>
      </w:r>
      <w:bookmarkStart w:id="3" w:name="_GoBack"/>
      <w:bookmarkEnd w:id="3"/>
    </w:p>
    <w:p w14:paraId="188455A8" w14:textId="78086697" w:rsidR="00E56C2A" w:rsidRPr="001F7903" w:rsidRDefault="00E56C2A" w:rsidP="001C2994">
      <w:pPr>
        <w:spacing w:line="36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 B) Differences in differentation marker transcripts when treate</w:t>
      </w:r>
      <w:r w:rsidR="008B5CF0">
        <w:rPr>
          <w:noProof/>
        </w:rPr>
        <w:t>d with DMSO (vehicle) or 500nM</w:t>
      </w:r>
      <w:r w:rsidRPr="00E56C2A">
        <w:rPr>
          <w:noProof/>
        </w:rPr>
        <w:t xml:space="preserve"> rapamycin for 9 days. Transcripts from both A) and B) were measured by RT-qPCR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p>
    <w:p w14:paraId="44D2A218" w14:textId="65221538" w:rsidR="00474711" w:rsidRPr="003E4F67" w:rsidRDefault="00474711" w:rsidP="001C2994">
      <w:pPr>
        <w:spacing w:line="360" w:lineRule="auto"/>
        <w:jc w:val="both"/>
        <w:rPr>
          <w:noProof/>
        </w:rPr>
      </w:pPr>
    </w:p>
    <w:p w14:paraId="497BC1B3" w14:textId="77777777" w:rsidR="00474711" w:rsidRPr="003E4F67" w:rsidRDefault="00474711" w:rsidP="001C2994">
      <w:pPr>
        <w:spacing w:line="360" w:lineRule="auto"/>
        <w:jc w:val="both"/>
        <w:rPr>
          <w:noProof/>
        </w:rPr>
      </w:pPr>
    </w:p>
    <w:p w14:paraId="4A7E2386" w14:textId="0159F9E1" w:rsidR="006F1172" w:rsidRPr="003E4F67" w:rsidRDefault="00474711" w:rsidP="001C2994">
      <w:pPr>
        <w:spacing w:line="36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7237A6">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7237A6">
        <w:rPr>
          <w:noProof/>
        </w:rPr>
        <w:t>TM6b</w:t>
      </w:r>
      <w:r w:rsidR="001120E6">
        <w:rPr>
          <w:noProof/>
        </w:rPr>
        <w:t>/T</w:t>
      </w:r>
      <w:r w:rsidR="009939D0">
        <w:rPr>
          <w:noProof/>
        </w:rPr>
        <w:t>M</w:t>
      </w:r>
      <w:r w:rsidR="001120E6">
        <w:rPr>
          <w:noProof/>
        </w:rPr>
        <w:t xml:space="preserve">3 are excluded </w:t>
      </w:r>
      <w:r w:rsidR="009939D0">
        <w:rPr>
          <w:noProof/>
        </w:rPr>
        <w:t xml:space="preserve">due to </w:t>
      </w:r>
      <w:r w:rsidR="003006ED">
        <w:rPr>
          <w:noProof/>
        </w:rPr>
        <w:t>known reduced viability</w:t>
      </w:r>
      <w:r w:rsidR="009939D0">
        <w:rPr>
          <w:noProof/>
        </w:rPr>
        <w:t xml:space="preserve">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TM6b</w:t>
      </w:r>
      <w:r w:rsidR="00605028">
        <w:rPr>
          <w:noProof/>
        </w:rPr>
        <w:t xml:space="preserve">, </w:t>
      </w:r>
      <w:r w:rsidR="00605028" w:rsidRPr="003006ED">
        <w:rPr>
          <w:i/>
          <w:noProof/>
        </w:rPr>
        <w:t>Tb, Hu</w:t>
      </w:r>
      <w:r w:rsidR="001120E6">
        <w:rPr>
          <w:noProof/>
        </w:rPr>
        <w:t xml:space="preserve"> cross.  C) Proportion of progeny born from a </w:t>
      </w:r>
      <w:r w:rsidR="001120E6" w:rsidRPr="003006ED">
        <w:rPr>
          <w:i/>
          <w:noProof/>
        </w:rPr>
        <w:t>C179</w:t>
      </w:r>
      <w:r w:rsidR="009939D0">
        <w:rPr>
          <w:noProof/>
        </w:rPr>
        <w:t>-GAL4</w:t>
      </w:r>
      <w:r w:rsidR="001120E6">
        <w:rPr>
          <w:noProof/>
        </w:rPr>
        <w:t>/</w:t>
      </w:r>
      <w:r w:rsidR="001120E6" w:rsidRPr="003006ED">
        <w:rPr>
          <w:i/>
          <w:noProof/>
        </w:rPr>
        <w:t>C179</w:t>
      </w:r>
      <w:r w:rsidR="009939D0">
        <w:rPr>
          <w:noProof/>
        </w:rPr>
        <w:t>-GAL4</w:t>
      </w:r>
      <w:r w:rsidR="001120E6">
        <w:rPr>
          <w:noProof/>
        </w:rPr>
        <w:t xml:space="preserve"> x shRNA</w:t>
      </w:r>
      <w:r w:rsidR="00605028">
        <w:rPr>
          <w:noProof/>
        </w:rPr>
        <w:t>i</w:t>
      </w:r>
      <w:r w:rsidR="001120E6">
        <w:rPr>
          <w:noProof/>
        </w:rPr>
        <w:t>/</w:t>
      </w:r>
      <w:r w:rsidR="007237A6">
        <w:rPr>
          <w:noProof/>
        </w:rPr>
        <w:t>TM6b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4D4FC853" w14:textId="1FAE7AD6" w:rsidR="00B65631" w:rsidRPr="003E4F67" w:rsidRDefault="002D6048" w:rsidP="001C2994">
      <w:pPr>
        <w:spacing w:line="360" w:lineRule="auto"/>
        <w:jc w:val="both"/>
      </w:pPr>
      <w:r w:rsidRPr="003E4F67">
        <w:t xml:space="preserve"> </w:t>
      </w:r>
    </w:p>
    <w:p w14:paraId="707CB7E5" w14:textId="77777777" w:rsidR="006F1172" w:rsidRPr="003E4F67" w:rsidRDefault="006F1172" w:rsidP="001C2994">
      <w:pPr>
        <w:spacing w:line="360" w:lineRule="auto"/>
        <w:jc w:val="both"/>
        <w:rPr>
          <w:rFonts w:cs="Times"/>
        </w:rPr>
      </w:pPr>
    </w:p>
    <w:p w14:paraId="0B4832DE" w14:textId="7C4E7F07" w:rsidR="006A20BD" w:rsidRDefault="00912E8F" w:rsidP="001C2994">
      <w:pPr>
        <w:spacing w:line="360" w:lineRule="auto"/>
        <w:jc w:val="both"/>
        <w:rPr>
          <w:rFonts w:cs="Times"/>
        </w:rPr>
      </w:pPr>
      <w:r>
        <w:rPr>
          <w:rFonts w:cs="Times"/>
          <w:b/>
        </w:rPr>
        <w:t>Figure 3</w:t>
      </w:r>
      <w:r w:rsidRPr="00912E8F">
        <w:rPr>
          <w:rFonts w:cs="Times"/>
          <w:b/>
        </w:rPr>
        <w:t>. Muscle-specific Raptor knockdown flies die post-pupal formation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296E19">
        <w:rPr>
          <w:rFonts w:cs="Times"/>
          <w:i/>
        </w:rPr>
        <w:t>C179-</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show the total number of flies eclosed; C and D) indicate the t</w:t>
      </w:r>
      <w:r w:rsidR="00E21A55">
        <w:rPr>
          <w:rFonts w:cs="Times"/>
        </w:rPr>
        <w:t>ota</w:t>
      </w:r>
      <w:r w:rsidR="00296E19">
        <w:rPr>
          <w:rFonts w:cs="Times"/>
        </w:rPr>
        <w:t>l number of pupae after 20 days, and  F and G)  show the p</w:t>
      </w:r>
      <w:r w:rsidR="00E21A55">
        <w:rPr>
          <w:rFonts w:cs="Times"/>
        </w:rPr>
        <w:t xml:space="preserve">ercentage of dead pupae.  </w:t>
      </w:r>
      <w:r w:rsidR="007D22A8">
        <w:rPr>
          <w:rFonts w:cs="Times"/>
        </w:rPr>
        <w:t>Panel E shows a representative example of dead flies, still within their pupal cases</w:t>
      </w:r>
      <w:r w:rsidR="00852231">
        <w:rPr>
          <w:rFonts w:cs="Times"/>
        </w:rPr>
        <w:t xml:space="preserve"> for </w:t>
      </w:r>
      <w:r w:rsidR="00852231">
        <w:rPr>
          <w:rFonts w:cs="Times"/>
          <w:i/>
        </w:rPr>
        <w:t>Mef2-GAL4</w:t>
      </w:r>
      <w:r w:rsidR="00852231">
        <w:rPr>
          <w:rFonts w:cs="Times"/>
        </w:rPr>
        <w:t>&gt;</w:t>
      </w:r>
      <w:r w:rsidR="00852231" w:rsidRPr="00852231">
        <w:rPr>
          <w:rFonts w:cs="Times"/>
          <w:i/>
        </w:rPr>
        <w:t>Raptor</w:t>
      </w:r>
      <w:r w:rsidR="00852231">
        <w:rPr>
          <w:rFonts w:cs="Times"/>
        </w:rPr>
        <w:t xml:space="preserve"> 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1C2994">
      <w:pPr>
        <w:spacing w:line="360" w:lineRule="auto"/>
        <w:jc w:val="both"/>
        <w:rPr>
          <w:rFonts w:cs="Times"/>
        </w:rPr>
      </w:pPr>
    </w:p>
    <w:p w14:paraId="4D540719" w14:textId="29D07820" w:rsidR="0056326A" w:rsidRPr="00303CDF" w:rsidRDefault="0056326A" w:rsidP="001C2994">
      <w:pPr>
        <w:spacing w:line="360" w:lineRule="auto"/>
        <w:jc w:val="both"/>
        <w:rPr>
          <w:rFonts w:cs="Times"/>
        </w:rPr>
      </w:pPr>
      <w:r>
        <w:rPr>
          <w:rFonts w:cs="Times"/>
          <w:b/>
        </w:rPr>
        <w:t xml:space="preserve">Figure 4.  </w:t>
      </w:r>
      <w:r>
        <w:rPr>
          <w:rFonts w:cs="Times"/>
          <w:b/>
          <w:i/>
        </w:rPr>
        <w:t xml:space="preserve">Mef2-GAL4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 xml:space="preserve">Mef2-GAL4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around the eclosure stage.  By day 14, control flies had eclosed but </w:t>
      </w:r>
      <w:r w:rsidR="00303CDF">
        <w:rPr>
          <w:rFonts w:cs="Times"/>
          <w:i/>
        </w:rPr>
        <w:t>Raptor</w:t>
      </w:r>
      <w:r w:rsidR="00303CDF">
        <w:rPr>
          <w:rFonts w:cs="Times"/>
        </w:rPr>
        <w:t xml:space="preserve"> knockdown flies remained inside the pupal cases.  B) On day 10, pupal cases were cut open to assist eclosure, then after 4 days, climbing assays were performed.  The flies that </w:t>
      </w:r>
      <w:r w:rsidR="00303CDF">
        <w:rPr>
          <w:rFonts w:cs="Times"/>
          <w:i/>
        </w:rPr>
        <w:t xml:space="preserve">Mef2-GAL4&gt;Raptor </w:t>
      </w:r>
      <w:r w:rsidR="00303CDF">
        <w:rPr>
          <w:rFonts w:cs="Times"/>
        </w:rPr>
        <w:t>shRNA flies that eclosed had impaired climbing.  Asterisk indicates p&lt;0.005 by Wilcoxon Rank Sum test.</w:t>
      </w:r>
    </w:p>
    <w:p w14:paraId="5DAC88F6" w14:textId="77777777" w:rsidR="00303CDF" w:rsidRPr="00303CDF" w:rsidRDefault="00303CDF" w:rsidP="001C2994">
      <w:pPr>
        <w:spacing w:line="360" w:lineRule="auto"/>
        <w:jc w:val="both"/>
        <w:rPr>
          <w:rFonts w:cs="Times"/>
        </w:rPr>
      </w:pPr>
    </w:p>
    <w:p w14:paraId="393AB6D7" w14:textId="40663E1F" w:rsidR="00A8530A" w:rsidRPr="003E4F67" w:rsidRDefault="004847D2" w:rsidP="001C2994">
      <w:pPr>
        <w:spacing w:line="36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56326A">
        <w:rPr>
          <w:rFonts w:cs="Times"/>
          <w:i/>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56326A">
        <w:rPr>
          <w:rFonts w:cs="Times"/>
          <w:i/>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1C2994">
      <w:pPr>
        <w:spacing w:line="360" w:lineRule="auto"/>
        <w:jc w:val="both"/>
        <w:rPr>
          <w:rFonts w:cs="Times"/>
        </w:rPr>
      </w:pPr>
    </w:p>
    <w:p w14:paraId="275A7DA7" w14:textId="6B916B32" w:rsidR="00BD3C4E" w:rsidRPr="00C920F1" w:rsidRDefault="00BD3C4E" w:rsidP="001C2994">
      <w:pPr>
        <w:spacing w:line="36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w:t>
      </w:r>
      <w:r w:rsidR="00C920F1" w:rsidRPr="0056326A">
        <w:rPr>
          <w:i/>
        </w:rPr>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1C2994">
      <w:pPr>
        <w:spacing w:line="360" w:lineRule="auto"/>
        <w:jc w:val="both"/>
        <w:rPr>
          <w:rFonts w:cs="Times"/>
        </w:rPr>
      </w:pPr>
    </w:p>
    <w:p w14:paraId="6025CAAD" w14:textId="2855B4D0" w:rsidR="006F1172" w:rsidRDefault="00CC59CA" w:rsidP="001C2994">
      <w:pPr>
        <w:pStyle w:val="Heading1"/>
        <w:spacing w:line="360" w:lineRule="auto"/>
        <w:jc w:val="both"/>
      </w:pPr>
      <w:r>
        <w:t>Supplementary Tables and Figures</w:t>
      </w:r>
    </w:p>
    <w:p w14:paraId="7B06662D" w14:textId="77777777" w:rsidR="00CC59CA" w:rsidRDefault="00CC59CA" w:rsidP="001C2994">
      <w:pPr>
        <w:spacing w:line="360" w:lineRule="auto"/>
        <w:jc w:val="both"/>
      </w:pPr>
    </w:p>
    <w:p w14:paraId="3F8ACBA7" w14:textId="080C470A" w:rsidR="00CC59CA" w:rsidRDefault="00CC59CA" w:rsidP="001C2994">
      <w:pPr>
        <w:spacing w:line="360" w:lineRule="auto"/>
        <w:jc w:val="both"/>
      </w:pPr>
      <w:r>
        <w:rPr>
          <w:b/>
        </w:rPr>
        <w:t>Supplementary Figure 1:  Dose response of rapamycin on fly eclosure and larvae development.</w:t>
      </w:r>
      <w:r>
        <w:t xml:space="preserve">  Flies were mated in the presence of varying doses of rapamycin.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1C2994">
      <w:pPr>
        <w:spacing w:line="360" w:lineRule="auto"/>
        <w:jc w:val="both"/>
      </w:pPr>
    </w:p>
    <w:p w14:paraId="74145A5B" w14:textId="09CFCDEC" w:rsidR="00912E8F" w:rsidRPr="003E4F67" w:rsidRDefault="00912E8F" w:rsidP="001C2994">
      <w:pPr>
        <w:spacing w:line="360" w:lineRule="auto"/>
        <w:jc w:val="both"/>
        <w:rPr>
          <w:rFonts w:cs="Times"/>
        </w:rPr>
      </w:pPr>
      <w:r w:rsidRPr="00660F67">
        <w:rPr>
          <w:b/>
        </w:rPr>
        <w:t>Supplementary Figure 2:</w:t>
      </w:r>
      <w:r w:rsidRPr="003E4F67">
        <w:t xml:space="preserve"> </w:t>
      </w:r>
      <w:r w:rsidR="00660F67">
        <w:rPr>
          <w:b/>
        </w:rPr>
        <w:t xml:space="preserve">Effects of lowered temperatures on eclosure of </w:t>
      </w:r>
      <w:r w:rsidR="00660F67" w:rsidRPr="00660F67">
        <w:rPr>
          <w:b/>
          <w:i/>
        </w:rPr>
        <w:t>24B-GAL4</w:t>
      </w:r>
      <w:r w:rsidR="00660F67">
        <w:rPr>
          <w:b/>
        </w:rPr>
        <w:t xml:space="preserve"> driven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sh</w:t>
      </w:r>
      <w:r w:rsidRPr="003E4F67">
        <w:t xml:space="preserve">RNA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1C2994">
      <w:pPr>
        <w:spacing w:line="360" w:lineRule="auto"/>
        <w:jc w:val="both"/>
      </w:pPr>
    </w:p>
    <w:p w14:paraId="5C6BA2E9" w14:textId="77777777" w:rsidR="00CC59CA" w:rsidRPr="008C6740" w:rsidRDefault="00CC59CA" w:rsidP="001C2994">
      <w:pPr>
        <w:widowControl w:val="0"/>
        <w:autoSpaceDE w:val="0"/>
        <w:autoSpaceDN w:val="0"/>
        <w:adjustRightInd w:val="0"/>
        <w:spacing w:line="36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17T15:52:00Z" w:initials="DB">
    <w:p w14:paraId="36F8C550" w14:textId="60FBC267" w:rsidR="00852231" w:rsidRDefault="00852231">
      <w:pPr>
        <w:pStyle w:val="CommentText"/>
      </w:pPr>
      <w:r>
        <w:rPr>
          <w:rStyle w:val="CommentReference"/>
        </w:rPr>
        <w:annotationRef/>
      </w:r>
      <w:r>
        <w:t>Need ref for muscle differentiation</w:t>
      </w:r>
    </w:p>
  </w:comment>
  <w:comment w:id="2" w:author="Dave Bridges" w:date="2014-10-20T08:11:00Z" w:initials="DB">
    <w:p w14:paraId="5A9D352A" w14:textId="298F2B43" w:rsidR="00852231" w:rsidRDefault="00852231">
      <w:pPr>
        <w:pStyle w:val="CommentText"/>
      </w:pPr>
      <w:r>
        <w:rPr>
          <w:rStyle w:val="CommentReference"/>
        </w:rPr>
        <w:annotationRef/>
      </w:r>
      <w:r>
        <w:t>Larry you need to write this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20703"/>
    <w:rsid w:val="00046A74"/>
    <w:rsid w:val="00052987"/>
    <w:rsid w:val="00061E90"/>
    <w:rsid w:val="00081B89"/>
    <w:rsid w:val="00096F58"/>
    <w:rsid w:val="000B3301"/>
    <w:rsid w:val="000E45D7"/>
    <w:rsid w:val="000E6DEC"/>
    <w:rsid w:val="001012AA"/>
    <w:rsid w:val="001120E6"/>
    <w:rsid w:val="00116EA4"/>
    <w:rsid w:val="00140006"/>
    <w:rsid w:val="001425E4"/>
    <w:rsid w:val="00147489"/>
    <w:rsid w:val="001530A5"/>
    <w:rsid w:val="00162960"/>
    <w:rsid w:val="00174E48"/>
    <w:rsid w:val="00187BB9"/>
    <w:rsid w:val="001A0687"/>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D6048"/>
    <w:rsid w:val="002E57BF"/>
    <w:rsid w:val="002F0B96"/>
    <w:rsid w:val="003006ED"/>
    <w:rsid w:val="00303CDF"/>
    <w:rsid w:val="0033192B"/>
    <w:rsid w:val="00335C71"/>
    <w:rsid w:val="003368D0"/>
    <w:rsid w:val="00340AA3"/>
    <w:rsid w:val="00357F77"/>
    <w:rsid w:val="00364075"/>
    <w:rsid w:val="0038192E"/>
    <w:rsid w:val="003937DA"/>
    <w:rsid w:val="00396F4E"/>
    <w:rsid w:val="003979DD"/>
    <w:rsid w:val="003C09B8"/>
    <w:rsid w:val="003D6BD1"/>
    <w:rsid w:val="003D7FB2"/>
    <w:rsid w:val="003E4F67"/>
    <w:rsid w:val="0040324E"/>
    <w:rsid w:val="00404E72"/>
    <w:rsid w:val="00407AC6"/>
    <w:rsid w:val="00411E0B"/>
    <w:rsid w:val="00415CB0"/>
    <w:rsid w:val="00433D82"/>
    <w:rsid w:val="00434223"/>
    <w:rsid w:val="00436E62"/>
    <w:rsid w:val="00453B12"/>
    <w:rsid w:val="00465702"/>
    <w:rsid w:val="00471708"/>
    <w:rsid w:val="00474711"/>
    <w:rsid w:val="004826A6"/>
    <w:rsid w:val="004847D2"/>
    <w:rsid w:val="0048645D"/>
    <w:rsid w:val="00486518"/>
    <w:rsid w:val="00487810"/>
    <w:rsid w:val="004A57A5"/>
    <w:rsid w:val="004A69CC"/>
    <w:rsid w:val="004B5387"/>
    <w:rsid w:val="004B7CDC"/>
    <w:rsid w:val="004C7062"/>
    <w:rsid w:val="004D266E"/>
    <w:rsid w:val="004E7F54"/>
    <w:rsid w:val="004F31C0"/>
    <w:rsid w:val="00510FCF"/>
    <w:rsid w:val="00515535"/>
    <w:rsid w:val="0052513C"/>
    <w:rsid w:val="00532448"/>
    <w:rsid w:val="00537B34"/>
    <w:rsid w:val="00537C7B"/>
    <w:rsid w:val="005537E0"/>
    <w:rsid w:val="00554FC6"/>
    <w:rsid w:val="00561F32"/>
    <w:rsid w:val="0056326A"/>
    <w:rsid w:val="00571E6C"/>
    <w:rsid w:val="005736E0"/>
    <w:rsid w:val="00581BE2"/>
    <w:rsid w:val="0058328D"/>
    <w:rsid w:val="005B4AB2"/>
    <w:rsid w:val="005D5E1F"/>
    <w:rsid w:val="005E17FC"/>
    <w:rsid w:val="00605028"/>
    <w:rsid w:val="00615C91"/>
    <w:rsid w:val="00650720"/>
    <w:rsid w:val="006552AD"/>
    <w:rsid w:val="00660F67"/>
    <w:rsid w:val="00664141"/>
    <w:rsid w:val="00674B7E"/>
    <w:rsid w:val="006858C4"/>
    <w:rsid w:val="00695686"/>
    <w:rsid w:val="006A20BD"/>
    <w:rsid w:val="006A3628"/>
    <w:rsid w:val="006A4D21"/>
    <w:rsid w:val="006A5842"/>
    <w:rsid w:val="006C082B"/>
    <w:rsid w:val="006F1172"/>
    <w:rsid w:val="006F267C"/>
    <w:rsid w:val="006F4EC8"/>
    <w:rsid w:val="006F611A"/>
    <w:rsid w:val="00705EA3"/>
    <w:rsid w:val="00714D0A"/>
    <w:rsid w:val="007237A6"/>
    <w:rsid w:val="007255E2"/>
    <w:rsid w:val="0072748C"/>
    <w:rsid w:val="00740552"/>
    <w:rsid w:val="0074200C"/>
    <w:rsid w:val="00751EFD"/>
    <w:rsid w:val="0075212D"/>
    <w:rsid w:val="0078613C"/>
    <w:rsid w:val="007A2B2C"/>
    <w:rsid w:val="007B38A0"/>
    <w:rsid w:val="007C342C"/>
    <w:rsid w:val="007D22A8"/>
    <w:rsid w:val="007D3910"/>
    <w:rsid w:val="007D6A72"/>
    <w:rsid w:val="007D7721"/>
    <w:rsid w:val="007E2C73"/>
    <w:rsid w:val="007E44ED"/>
    <w:rsid w:val="0080274A"/>
    <w:rsid w:val="008104BA"/>
    <w:rsid w:val="0084604E"/>
    <w:rsid w:val="00852231"/>
    <w:rsid w:val="00852708"/>
    <w:rsid w:val="008559E4"/>
    <w:rsid w:val="008600F9"/>
    <w:rsid w:val="0086020A"/>
    <w:rsid w:val="00886ACA"/>
    <w:rsid w:val="00895AB1"/>
    <w:rsid w:val="00895FB6"/>
    <w:rsid w:val="008B0C37"/>
    <w:rsid w:val="008B5CF0"/>
    <w:rsid w:val="008C6740"/>
    <w:rsid w:val="008D7AA8"/>
    <w:rsid w:val="008F353C"/>
    <w:rsid w:val="0090102F"/>
    <w:rsid w:val="009111E3"/>
    <w:rsid w:val="00912E8F"/>
    <w:rsid w:val="00921C69"/>
    <w:rsid w:val="00922DE5"/>
    <w:rsid w:val="00930499"/>
    <w:rsid w:val="009364BA"/>
    <w:rsid w:val="009637F4"/>
    <w:rsid w:val="00975E32"/>
    <w:rsid w:val="009939D0"/>
    <w:rsid w:val="009964F9"/>
    <w:rsid w:val="009C36DF"/>
    <w:rsid w:val="009F2B03"/>
    <w:rsid w:val="009F649A"/>
    <w:rsid w:val="00A35634"/>
    <w:rsid w:val="00A52511"/>
    <w:rsid w:val="00A57AAC"/>
    <w:rsid w:val="00A8530A"/>
    <w:rsid w:val="00A87B4B"/>
    <w:rsid w:val="00A95905"/>
    <w:rsid w:val="00A95BDD"/>
    <w:rsid w:val="00AA05A9"/>
    <w:rsid w:val="00AA5186"/>
    <w:rsid w:val="00AB5F98"/>
    <w:rsid w:val="00AC4DDA"/>
    <w:rsid w:val="00AC63C1"/>
    <w:rsid w:val="00AF6080"/>
    <w:rsid w:val="00B11CCB"/>
    <w:rsid w:val="00B12C37"/>
    <w:rsid w:val="00B16DF5"/>
    <w:rsid w:val="00B20189"/>
    <w:rsid w:val="00B26960"/>
    <w:rsid w:val="00B5747D"/>
    <w:rsid w:val="00B645DB"/>
    <w:rsid w:val="00B64A0B"/>
    <w:rsid w:val="00B65631"/>
    <w:rsid w:val="00B65E85"/>
    <w:rsid w:val="00B675A2"/>
    <w:rsid w:val="00B70FD4"/>
    <w:rsid w:val="00B840BA"/>
    <w:rsid w:val="00BC1C08"/>
    <w:rsid w:val="00BD3C4E"/>
    <w:rsid w:val="00BD6FBB"/>
    <w:rsid w:val="00BE0793"/>
    <w:rsid w:val="00BE2567"/>
    <w:rsid w:val="00BE37DD"/>
    <w:rsid w:val="00BF484F"/>
    <w:rsid w:val="00C06AF7"/>
    <w:rsid w:val="00C10A32"/>
    <w:rsid w:val="00C15FE1"/>
    <w:rsid w:val="00C2697E"/>
    <w:rsid w:val="00C35D4F"/>
    <w:rsid w:val="00C40639"/>
    <w:rsid w:val="00C574F1"/>
    <w:rsid w:val="00C665D7"/>
    <w:rsid w:val="00C7080C"/>
    <w:rsid w:val="00C8155A"/>
    <w:rsid w:val="00C838F3"/>
    <w:rsid w:val="00C920F1"/>
    <w:rsid w:val="00CA3EED"/>
    <w:rsid w:val="00CC2116"/>
    <w:rsid w:val="00CC4247"/>
    <w:rsid w:val="00CC59CA"/>
    <w:rsid w:val="00CD646A"/>
    <w:rsid w:val="00CF329D"/>
    <w:rsid w:val="00D07587"/>
    <w:rsid w:val="00D10BC7"/>
    <w:rsid w:val="00D71024"/>
    <w:rsid w:val="00D8035D"/>
    <w:rsid w:val="00D86513"/>
    <w:rsid w:val="00DA59AE"/>
    <w:rsid w:val="00DB29A1"/>
    <w:rsid w:val="00DD09CF"/>
    <w:rsid w:val="00DD6A3B"/>
    <w:rsid w:val="00DF02CD"/>
    <w:rsid w:val="00E20164"/>
    <w:rsid w:val="00E21A55"/>
    <w:rsid w:val="00E251E9"/>
    <w:rsid w:val="00E25FD7"/>
    <w:rsid w:val="00E274E1"/>
    <w:rsid w:val="00E475B9"/>
    <w:rsid w:val="00E56C2A"/>
    <w:rsid w:val="00E73EEA"/>
    <w:rsid w:val="00E822AA"/>
    <w:rsid w:val="00EB0682"/>
    <w:rsid w:val="00EB1511"/>
    <w:rsid w:val="00EB7DB6"/>
    <w:rsid w:val="00EE0AF8"/>
    <w:rsid w:val="00EE5C4B"/>
    <w:rsid w:val="00EE706E"/>
    <w:rsid w:val="00F0001B"/>
    <w:rsid w:val="00F21838"/>
    <w:rsid w:val="00F25BCE"/>
    <w:rsid w:val="00F3104E"/>
    <w:rsid w:val="00F31273"/>
    <w:rsid w:val="00F444D6"/>
    <w:rsid w:val="00F73276"/>
    <w:rsid w:val="00F771CB"/>
    <w:rsid w:val="00F9363C"/>
    <w:rsid w:val="00F93DD0"/>
    <w:rsid w:val="00F93E33"/>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18</Pages>
  <Words>18850</Words>
  <Characters>107449</Characters>
  <Application>Microsoft Macintosh Word</Application>
  <DocSecurity>0</DocSecurity>
  <Lines>895</Lines>
  <Paragraphs>252</Paragraphs>
  <ScaleCrop>false</ScaleCrop>
  <Company>UTHSC</Company>
  <LinksUpToDate>false</LinksUpToDate>
  <CharactersWithSpaces>126047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13</cp:revision>
  <cp:lastPrinted>2014-10-20T13:38:00Z</cp:lastPrinted>
  <dcterms:created xsi:type="dcterms:W3CDTF">2014-10-17T20:56:00Z</dcterms:created>
  <dcterms:modified xsi:type="dcterms:W3CDTF">2014-10-20T17:58:00Z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