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r>
        <w:t>Rapamycin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0A18F1CC"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 xml:space="preserve">We used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 xml:space="preserve">, </w:t>
      </w:r>
      <w:r w:rsidR="00EE5C4B">
        <w:t xml:space="preserve">and </w:t>
      </w:r>
      <w:r w:rsidR="00EE5C4B">
        <w:rPr>
          <w:i/>
        </w:rPr>
        <w:t>Mef-</w:t>
      </w:r>
      <w:r w:rsidR="00FE5A20">
        <w:rPr>
          <w:i/>
        </w:rPr>
        <w:t>GAL4</w:t>
      </w:r>
      <w:r w:rsidR="00C10A32">
        <w:t xml:space="preserve"> 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regulators were used. </w:t>
      </w:r>
    </w:p>
    <w:p w14:paraId="04B6BF47" w14:textId="77777777" w:rsidR="00FE5A20" w:rsidRDefault="00FE5A20" w:rsidP="001A0687"/>
    <w:p w14:paraId="148431E6" w14:textId="5F5C1B2D"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shRNA constructs.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571E6C">
        <w:t>)</w:t>
      </w:r>
      <w:r w:rsidR="00C10A32">
        <w:t xml:space="preserve">.  </w:t>
      </w:r>
      <w:r w:rsidR="00436E62">
        <w:t>There</w:t>
      </w:r>
      <w:r w:rsidR="004826A6">
        <w:t>f</w:t>
      </w:r>
      <w:r w:rsidR="00554FC6">
        <w:t xml:space="preserve">ore there is dramatic 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40324E">
        <w:t xml:space="preserve">This was not observed in mice where muscle-specific </w:t>
      </w:r>
      <w:r w:rsidR="0040324E">
        <w:rPr>
          <w:i/>
        </w:rPr>
        <w:t xml:space="preserve">Raptor </w:t>
      </w:r>
      <w:r w:rsidR="0040324E">
        <w:t xml:space="preserve">knockout mice are viable </w:t>
      </w:r>
      <w:r w:rsidR="0040324E">
        <w:fldChar w:fldCharType="begin" w:fldLock="1"/>
      </w:r>
      <w:r w:rsidR="0040324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rsidR="0040324E">
        <w:fldChar w:fldCharType="separate"/>
      </w:r>
      <w:r w:rsidR="0040324E" w:rsidRPr="0040324E">
        <w:rPr>
          <w:noProof/>
        </w:rPr>
        <w:t>[8, 9]</w:t>
      </w:r>
      <w:r w:rsidR="0040324E">
        <w:fldChar w:fldCharType="end"/>
      </w:r>
      <w:r w:rsidR="0040324E">
        <w:t>.</w:t>
      </w:r>
    </w:p>
    <w:p w14:paraId="5840558F" w14:textId="77777777" w:rsidR="00F444D6" w:rsidRDefault="00F444D6" w:rsidP="001A0687"/>
    <w:p w14:paraId="798E98C6" w14:textId="0A860541"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90102F">
        <w:rPr>
          <w:rFonts w:ascii="Cambria" w:hAnsi="Cambria"/>
        </w:rPr>
        <w:t>A</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BCA8504"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and repeated these studies.  In these experiments, we crossed flies which were homozygous for the driver with flies that were homozygous for the shRNA.  As a control, we used a fly line that was identical to the TRiP fly lines, but did not have a shRNA inserted</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r w:rsidR="001530A5" w:rsidRPr="007C342C">
        <w:t>Additionally</w:t>
      </w:r>
      <w:r w:rsidR="001530A5">
        <w:rPr>
          <w:rFonts w:ascii="Cambria" w:hAnsi="Cambria"/>
        </w:rPr>
        <w:t xml:space="preserve">, </w:t>
      </w:r>
      <w:r w:rsidR="00AF6080">
        <w:rPr>
          <w:rFonts w:ascii="Cambria" w:hAnsi="Cambria"/>
        </w:rPr>
        <w:t>the cross using</w:t>
      </w:r>
      <w:r w:rsidR="0090102F">
        <w:rPr>
          <w:rFonts w:ascii="Cambria" w:hAnsi="Cambria"/>
        </w:rPr>
        <w:t xml:space="preserve"> one of the three</w:t>
      </w:r>
      <w:r w:rsidR="00AF6080">
        <w:rPr>
          <w:rFonts w:ascii="Cambria" w:hAnsi="Cambria"/>
        </w:rPr>
        <w:t xml:space="preserve"> </w:t>
      </w:r>
      <w:r w:rsidR="0090102F" w:rsidRPr="0090102F">
        <w:rPr>
          <w:rFonts w:ascii="Cambria" w:hAnsi="Cambria"/>
          <w:i/>
        </w:rPr>
        <w:t>Raptor</w:t>
      </w:r>
      <w:r w:rsidR="0090102F">
        <w:rPr>
          <w:rFonts w:ascii="Cambria" w:hAnsi="Cambria"/>
        </w:rPr>
        <w:t xml:space="preserve"> </w:t>
      </w:r>
      <w:r w:rsidR="00AF6080">
        <w:rPr>
          <w:rFonts w:ascii="Cambria" w:hAnsi="Cambria"/>
        </w:rPr>
        <w:t xml:space="preserve">shRNA </w:t>
      </w:r>
      <w:r w:rsidR="0090102F">
        <w:rPr>
          <w:rFonts w:ascii="Cambria" w:hAnsi="Cambria"/>
        </w:rPr>
        <w:t xml:space="preserve">trasgenics in combination with </w:t>
      </w:r>
      <w:r w:rsidR="0090102F" w:rsidRPr="0090102F">
        <w:rPr>
          <w:rFonts w:ascii="Cambria" w:hAnsi="Cambria"/>
          <w:i/>
        </w:rPr>
        <w:t>C179-GAL4</w:t>
      </w:r>
      <w:r w:rsidR="0090102F">
        <w:rPr>
          <w:rFonts w:ascii="Cambria" w:hAnsi="Cambria"/>
        </w:rPr>
        <w:t xml:space="preserve"> </w:t>
      </w:r>
      <w:r w:rsidR="00AF6080">
        <w:rPr>
          <w:rFonts w:ascii="Cambria" w:hAnsi="Cambria"/>
        </w:rPr>
        <w:t xml:space="preserve">demonstrated a gender-specific increase in genotype lethality, in which </w:t>
      </w:r>
      <w:r w:rsidR="0090102F">
        <w:rPr>
          <w:rFonts w:ascii="Cambria" w:hAnsi="Cambria"/>
        </w:rPr>
        <w:t xml:space="preserve">far </w:t>
      </w:r>
      <w:r w:rsidR="00AF6080">
        <w:rPr>
          <w:rFonts w:ascii="Cambria" w:hAnsi="Cambria"/>
        </w:rPr>
        <w:t>fewer male knockdowns were produced</w:t>
      </w:r>
      <w:r w:rsidR="0090102F">
        <w:rPr>
          <w:rFonts w:ascii="Cambria" w:hAnsi="Cambria"/>
        </w:rPr>
        <w:t xml:space="preserve">, other combinations had both female and male </w:t>
      </w:r>
      <w:r w:rsidR="0048645D">
        <w:rPr>
          <w:rFonts w:ascii="Cambria" w:hAnsi="Cambria"/>
        </w:rPr>
        <w:t>lethality (Supplmentary Figure 2</w:t>
      </w:r>
      <w:r w:rsidR="0090102F">
        <w:rPr>
          <w:rFonts w:ascii="Cambria" w:hAnsi="Cambria"/>
        </w:rPr>
        <w:t>B)</w:t>
      </w:r>
      <w:r w:rsidR="00AF6080">
        <w:rPr>
          <w:rFonts w:ascii="Cambria" w:hAnsi="Cambria"/>
        </w:rPr>
        <w:t>. 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Muscle Raptor Knockdown Flies Fail to Eclose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eclosure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We observed no significant differences in the number of pupal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29873AB1"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895FB6">
        <w:rPr>
          <w:rFonts w:ascii="Cambria" w:hAnsi="Cambria"/>
        </w:rPr>
        <w:t xml:space="preserve"> did not </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5"/>
      <w:r w:rsidR="002A13D8">
        <w:rPr>
          <w:rFonts w:ascii="Cambria" w:hAnsi="Cambria"/>
        </w:rPr>
        <w:t>smaller and weaker than female flies</w:t>
      </w:r>
      <w:commentRangeEnd w:id="5"/>
      <w:r w:rsidR="002A13D8">
        <w:rPr>
          <w:rStyle w:val="CommentReference"/>
        </w:rPr>
        <w:commentReference w:id="5"/>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correspondence between the efficienty of the shRNA strain to cause lethality and its effects on muscle function, indicating a potential gene-dosage effect on both of these phenotypes.</w:t>
      </w:r>
      <w:bookmarkStart w:id="6" w:name="_GoBack"/>
      <w:bookmarkEnd w:id="6"/>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7"/>
      <w:r>
        <w:t xml:space="preserve">XXXX </w:t>
      </w:r>
      <w:commentRangeEnd w:id="7"/>
      <w:r w:rsidR="00DD6A3B">
        <w:rPr>
          <w:rStyle w:val="CommentReference"/>
        </w:rPr>
        <w:commentReference w:id="7"/>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C920F1">
      <w:pPr>
        <w:rPr>
          <w:noProof/>
        </w:rPr>
      </w:pPr>
      <w:r w:rsidRPr="003E4F67">
        <w:rPr>
          <w:noProof/>
        </w:rPr>
        <w:t xml:space="preserve">Figure 1. A visualization of the location and strength of the skeletal muscle drivers was provided by using the three </w:t>
      </w:r>
      <w:r w:rsidR="00FE5A20">
        <w:rPr>
          <w:noProof/>
        </w:rPr>
        <w:t>GAL4</w:t>
      </w:r>
      <w:r w:rsidRPr="003E4F67">
        <w:rPr>
          <w:noProof/>
        </w:rPr>
        <w:t xml:space="preserve"> drivers to drive GFP expression. The GFP fluorescence was visualized by examing the flies under a miscropscope with a GFP filter. The control contained the GFP-UAS line with no </w:t>
      </w:r>
      <w:r w:rsidR="00FE5A20">
        <w:rPr>
          <w:noProof/>
        </w:rPr>
        <w:t>GAL4</w:t>
      </w:r>
      <w:r w:rsidRPr="003E4F67">
        <w:rPr>
          <w:noProof/>
        </w:rPr>
        <w:t xml:space="preserve"> driver. From the images, it appears as though the Mef-</w:t>
      </w:r>
      <w:r w:rsidR="00FE5A20">
        <w:rPr>
          <w:noProof/>
        </w:rPr>
        <w:t>GAL4</w:t>
      </w:r>
      <w:r w:rsidRPr="003E4F67">
        <w:rPr>
          <w:noProof/>
        </w:rPr>
        <w:t xml:space="preserve"> driver has the strongest expression while the C179-</w:t>
      </w:r>
      <w:r w:rsidR="00FE5A20">
        <w:rPr>
          <w:noProof/>
        </w:rPr>
        <w:t>GAL4</w:t>
      </w:r>
      <w:r w:rsidRPr="003E4F67">
        <w:rPr>
          <w:noProof/>
        </w:rPr>
        <w:t xml:space="preserve"> driver has the weakest expression. This is consistent with the complete lethality and partial lethality effects of the Mef-</w:t>
      </w:r>
      <w:r w:rsidR="00FE5A20">
        <w:rPr>
          <w:noProof/>
        </w:rPr>
        <w:t>GAL4</w:t>
      </w:r>
      <w:r w:rsidRPr="003E4F67">
        <w:rPr>
          <w:noProof/>
        </w:rPr>
        <w:t xml:space="preserve"> and C179-</w:t>
      </w:r>
      <w:r w:rsidR="00FE5A20">
        <w:rPr>
          <w:noProof/>
        </w:rPr>
        <w:t>GAL4</w:t>
      </w:r>
      <w:r w:rsidRPr="003E4F67">
        <w:rPr>
          <w:noProof/>
        </w:rPr>
        <w:t xml:space="preserve"> drivers, respectively. The fluorescence in the control is the result of autofluorescence in the tissues. </w:t>
      </w:r>
    </w:p>
    <w:p w14:paraId="497BC1B3" w14:textId="77777777" w:rsidR="00474711" w:rsidRPr="003E4F67" w:rsidRDefault="00474711" w:rsidP="00C920F1">
      <w:pPr>
        <w:rPr>
          <w:noProof/>
        </w:rPr>
      </w:pPr>
    </w:p>
    <w:p w14:paraId="4A7E2386" w14:textId="4F5CD694" w:rsidR="006F1172" w:rsidRPr="003E4F67" w:rsidRDefault="00474711" w:rsidP="00C920F1">
      <w:pPr>
        <w:rPr>
          <w:noProof/>
        </w:rPr>
      </w:pPr>
      <w:r w:rsidRPr="003E4F67">
        <w:rPr>
          <w:noProof/>
        </w:rPr>
        <w:t>Figure 2. The graph depicts the birthrates of the progeny produced from the Hand-</w:t>
      </w:r>
      <w:r w:rsidR="00FE5A20">
        <w:rPr>
          <w:noProof/>
        </w:rPr>
        <w:t>GAL4</w:t>
      </w:r>
      <w:r w:rsidRPr="003E4F67">
        <w:rPr>
          <w:noProof/>
        </w:rPr>
        <w:t xml:space="preserve"> and 24B-</w:t>
      </w:r>
      <w:r w:rsidR="00FE5A20">
        <w:rPr>
          <w:noProof/>
        </w:rPr>
        <w:t>GAL4</w:t>
      </w:r>
      <w:r w:rsidRPr="003E4F67">
        <w:rPr>
          <w:noProof/>
        </w:rPr>
        <w:t xml:space="preserve"> drivers crossed with Tsc and Raptor shRNA. The </w:t>
      </w:r>
      <w:r w:rsidR="00FE5A20">
        <w:rPr>
          <w:noProof/>
        </w:rPr>
        <w:t>GAL4</w:t>
      </w:r>
      <w:r w:rsidRPr="003E4F67">
        <w:rPr>
          <w:noProof/>
        </w:rPr>
        <w:t xml:space="preserve"> driver strains were heterozygous with the </w:t>
      </w:r>
      <w:r w:rsidR="00FE5A20">
        <w:rPr>
          <w:noProof/>
        </w:rPr>
        <w:t>GAL4</w:t>
      </w:r>
      <w:r w:rsidRPr="003E4F67">
        <w:rPr>
          <w:noProof/>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rPr>
        <w:t>GAL4</w:t>
      </w:r>
      <w:r w:rsidRPr="003E4F67">
        <w:rPr>
          <w:noProof/>
        </w:rPr>
        <w:t xml:space="preserve"> driver.</w:t>
      </w:r>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/Raptor shrRNA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/shRNA and Mef-</w:t>
      </w:r>
      <w:r w:rsidR="00FE5A20">
        <w:rPr>
          <w:rFonts w:cs="Times"/>
        </w:rPr>
        <w:t>GAL4</w:t>
      </w:r>
      <w:r w:rsidRPr="003E4F67">
        <w:rPr>
          <w:rFonts w:cs="Times"/>
        </w:rPr>
        <w:t xml:space="preserve">/shRNA crosses. The </w:t>
      </w:r>
      <w:r w:rsidR="00FE5A20">
        <w:rPr>
          <w:rFonts w:cs="Times"/>
        </w:rPr>
        <w:t>GAL4</w:t>
      </w:r>
      <w:r w:rsidRPr="003E4F67">
        <w:rPr>
          <w:rFonts w:cs="Times"/>
        </w:rPr>
        <w:t xml:space="preserve"> driver strains and the shRNA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shRNAs. The 36304 shRNA is a control line for TRiP RNAi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Pr="00CC59CA" w:rsidRDefault="00CC59CA" w:rsidP="00CC59CA">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CA3EED" w:rsidRDefault="00CA3EED">
      <w:pPr>
        <w:pStyle w:val="CommentText"/>
      </w:pPr>
      <w:r>
        <w:rPr>
          <w:rStyle w:val="CommentReference"/>
        </w:rPr>
        <w:annotationRef/>
      </w:r>
      <w:r>
        <w:t>Ask larry for reference</w:t>
      </w:r>
    </w:p>
  </w:comment>
  <w:comment w:id="1" w:author="Dave Bridges" w:date="2014-05-06T10:15:00Z" w:initials="DB">
    <w:p w14:paraId="7CF46892" w14:textId="43E2704E" w:rsidR="00CA3EED" w:rsidRDefault="00CA3EED">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CA3EED" w:rsidRDefault="00CA3EED">
      <w:pPr>
        <w:pStyle w:val="CommentText"/>
      </w:pPr>
      <w:ins w:id="4" w:author="Dave Bridges" w:date="2014-05-06T10:16:00Z">
        <w:r>
          <w:rPr>
            <w:rStyle w:val="CommentReference"/>
          </w:rPr>
          <w:annotationRef/>
        </w:r>
      </w:ins>
      <w:r>
        <w:t>Innocence can you write this part</w:t>
      </w:r>
    </w:p>
  </w:comment>
  <w:comment w:id="5" w:author="Dave Bridges" w:date="2014-05-07T08:43:00Z" w:initials="DB">
    <w:p w14:paraId="0139AF80" w14:textId="4BAAEF06" w:rsidR="00CA3EED" w:rsidRDefault="00CA3EED">
      <w:pPr>
        <w:pStyle w:val="CommentText"/>
      </w:pPr>
      <w:r>
        <w:rPr>
          <w:rStyle w:val="CommentReference"/>
        </w:rPr>
        <w:annotationRef/>
      </w:r>
      <w:r>
        <w:t>Larry, can you get me a reference for this</w:t>
      </w:r>
    </w:p>
  </w:comment>
  <w:comment w:id="7" w:author="Dave Bridges" w:date="2014-05-07T08:47:00Z" w:initials="DB">
    <w:p w14:paraId="339065ED" w14:textId="1B50010F" w:rsidR="00CA3EED" w:rsidRDefault="00CA3EE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40006"/>
    <w:rsid w:val="001425E4"/>
    <w:rsid w:val="001530A5"/>
    <w:rsid w:val="00162960"/>
    <w:rsid w:val="00187BB9"/>
    <w:rsid w:val="001A0687"/>
    <w:rsid w:val="001B4D8C"/>
    <w:rsid w:val="001C1FEF"/>
    <w:rsid w:val="001C5E50"/>
    <w:rsid w:val="00234C0A"/>
    <w:rsid w:val="00267136"/>
    <w:rsid w:val="002754B1"/>
    <w:rsid w:val="002A13D8"/>
    <w:rsid w:val="002A5C22"/>
    <w:rsid w:val="002D6048"/>
    <w:rsid w:val="002E57BF"/>
    <w:rsid w:val="0033192B"/>
    <w:rsid w:val="00340AA3"/>
    <w:rsid w:val="00357F77"/>
    <w:rsid w:val="00364075"/>
    <w:rsid w:val="003937DA"/>
    <w:rsid w:val="003D6BD1"/>
    <w:rsid w:val="003E4F67"/>
    <w:rsid w:val="0040324E"/>
    <w:rsid w:val="00407AC6"/>
    <w:rsid w:val="00411E0B"/>
    <w:rsid w:val="00433D82"/>
    <w:rsid w:val="00436E62"/>
    <w:rsid w:val="00474711"/>
    <w:rsid w:val="004826A6"/>
    <w:rsid w:val="0048645D"/>
    <w:rsid w:val="00486518"/>
    <w:rsid w:val="004A57A5"/>
    <w:rsid w:val="004B7CDC"/>
    <w:rsid w:val="004C7062"/>
    <w:rsid w:val="0052513C"/>
    <w:rsid w:val="00537B34"/>
    <w:rsid w:val="005537E0"/>
    <w:rsid w:val="00554FC6"/>
    <w:rsid w:val="00561F32"/>
    <w:rsid w:val="00571E6C"/>
    <w:rsid w:val="005B4AB2"/>
    <w:rsid w:val="006A20BD"/>
    <w:rsid w:val="006F1172"/>
    <w:rsid w:val="0075212D"/>
    <w:rsid w:val="007A2B2C"/>
    <w:rsid w:val="007C342C"/>
    <w:rsid w:val="007D3910"/>
    <w:rsid w:val="007E2C73"/>
    <w:rsid w:val="007E44ED"/>
    <w:rsid w:val="008104BA"/>
    <w:rsid w:val="008559E4"/>
    <w:rsid w:val="00895FB6"/>
    <w:rsid w:val="008C6740"/>
    <w:rsid w:val="0090102F"/>
    <w:rsid w:val="009111E3"/>
    <w:rsid w:val="00922DE5"/>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C10A32"/>
    <w:rsid w:val="00C2697E"/>
    <w:rsid w:val="00C35D4F"/>
    <w:rsid w:val="00C40639"/>
    <w:rsid w:val="00C8155A"/>
    <w:rsid w:val="00C838F3"/>
    <w:rsid w:val="00C920F1"/>
    <w:rsid w:val="00CA3EED"/>
    <w:rsid w:val="00CC4247"/>
    <w:rsid w:val="00CC59CA"/>
    <w:rsid w:val="00CD646A"/>
    <w:rsid w:val="00D07587"/>
    <w:rsid w:val="00DA59AE"/>
    <w:rsid w:val="00DB29A1"/>
    <w:rsid w:val="00DD6A3B"/>
    <w:rsid w:val="00DF02CD"/>
    <w:rsid w:val="00E20164"/>
    <w:rsid w:val="00E251E9"/>
    <w:rsid w:val="00E25FD7"/>
    <w:rsid w:val="00E73EEA"/>
    <w:rsid w:val="00EB1511"/>
    <w:rsid w:val="00EE0AF8"/>
    <w:rsid w:val="00EE5C4B"/>
    <w:rsid w:val="00F0001B"/>
    <w:rsid w:val="00F25BCE"/>
    <w:rsid w:val="00F31273"/>
    <w:rsid w:val="00F444D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6819</Words>
  <Characters>38871</Characters>
  <Application>Microsoft Macintosh Word</Application>
  <DocSecurity>0</DocSecurity>
  <Lines>323</Lines>
  <Paragraphs>91</Paragraphs>
  <ScaleCrop>false</ScaleCrop>
  <Company>UTHSC</Company>
  <LinksUpToDate>false</LinksUpToDate>
  <CharactersWithSpaces>45599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12</cp:revision>
  <cp:lastPrinted>2013-08-09T15:54:00Z</cp:lastPrinted>
  <dcterms:created xsi:type="dcterms:W3CDTF">2014-05-07T19:10:00Z</dcterms:created>
  <dcterms:modified xsi:type="dcterms:W3CDTF">2014-05-09T21:14:00Z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