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5C26945C" w:rsidR="00DD6A3B" w:rsidRPr="00515535" w:rsidRDefault="00515535" w:rsidP="00DD6A3B">
      <w:proofErr w:type="spellStart"/>
      <w:r>
        <w:t>Myogenesis</w:t>
      </w:r>
      <w:proofErr w:type="spellEnd"/>
      <w:r>
        <w:t xml:space="preserve"> is an important process both in development and in muscle repair.  Previous studies have suggested that mTORC1 plays a role in the formation of muscle from precursor cells.  In this work we show that several myogenic transcription factors including Myf5, </w:t>
      </w:r>
      <w:proofErr w:type="spellStart"/>
      <w:r>
        <w:t>Myog</w:t>
      </w:r>
      <w:proofErr w:type="spellEnd"/>
      <w:r>
        <w:t xml:space="preserve"> and Mef2c but not </w:t>
      </w:r>
      <w:proofErr w:type="spellStart"/>
      <w:r>
        <w:t>MyoD</w:t>
      </w:r>
      <w:proofErr w:type="spellEnd"/>
      <w:r>
        <w:t xml:space="preserve"> are suppressed when C2C12 cells are treated with </w:t>
      </w:r>
      <w:proofErr w:type="spellStart"/>
      <w:r>
        <w:t>rapamycin</w:t>
      </w:r>
      <w:proofErr w:type="spellEnd"/>
      <w:r>
        <w:t xml:space="preserve">.  To test this </w:t>
      </w:r>
      <w:r>
        <w:rPr>
          <w:i/>
        </w:rPr>
        <w:t>in vivo</w:t>
      </w:r>
      <w:r>
        <w:t xml:space="preserve"> we ablated the essential mTORC1 subunit Raptor in </w:t>
      </w:r>
      <w:proofErr w:type="spellStart"/>
      <w:r>
        <w:rPr>
          <w:i/>
        </w:rPr>
        <w:t>Drosophia</w:t>
      </w:r>
      <w:proofErr w:type="spellEnd"/>
      <w:r>
        <w:rPr>
          <w:i/>
        </w:rPr>
        <w:t xml:space="preserve"> melanogaster</w:t>
      </w:r>
      <w:r>
        <w:t xml:space="preserve"> and found that muscle-specific ablation of Raptor causes developmental arrest at post-larvae but pre-pupae stage of development.  Furthermore, we observer that there is a critical, post-</w:t>
      </w:r>
      <w:proofErr w:type="spellStart"/>
      <w:r>
        <w:t>eclosure</w:t>
      </w:r>
      <w:proofErr w:type="spellEnd"/>
      <w:r>
        <w:t xml:space="preserve"> period in which Raptor ablation causes lethality in flies, but after </w:t>
      </w:r>
      <w:r w:rsidR="006F267C">
        <w:t xml:space="preserve">this period </w:t>
      </w:r>
      <w:r>
        <w:t xml:space="preserve">there is no apparent </w:t>
      </w:r>
      <w:r w:rsidR="006F267C">
        <w:t>defects in lifespan.  Together these results highlight the important role of Raptor in muscle development and function.</w:t>
      </w:r>
    </w:p>
    <w:p w14:paraId="1A0E5A35" w14:textId="31E4B4F9" w:rsidR="00E73EEA" w:rsidRDefault="0040324E" w:rsidP="00DD6A3B">
      <w:pPr>
        <w:pStyle w:val="Heading1"/>
      </w:pPr>
      <w:r>
        <w:t>Background</w:t>
      </w:r>
    </w:p>
    <w:p w14:paraId="4114FCDB" w14:textId="7AF4F44A" w:rsidR="006A4D21" w:rsidRDefault="000B3301" w:rsidP="00C2697E">
      <w:proofErr w:type="gramStart"/>
      <w:r>
        <w:t>mTORC1</w:t>
      </w:r>
      <w:proofErr w:type="gramEnd"/>
      <w:r>
        <w:t xml:space="preserve"> is an important nutrient sensing protein kinase conserved in all eukaryotic organisms </w:t>
      </w:r>
      <w:r w:rsidR="0084604E">
        <w:fldChar w:fldCharType="begin" w:fldLock="1"/>
      </w:r>
      <w:r w:rsidR="00465702">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"[1, 2]" }, "properties" : { "noteIndex" : 0 }, "schema" : "https://github.com/citation-style-language/schema/raw/master/csl-citation.json" }</w:instrText>
      </w:r>
      <w:r w:rsidR="0084604E">
        <w:fldChar w:fldCharType="separate"/>
      </w:r>
      <w:r w:rsidR="0084604E" w:rsidRPr="0084604E">
        <w:rPr>
          <w:noProof/>
        </w:rPr>
        <w:t>[1, 2]</w:t>
      </w:r>
      <w:r w:rsidR="0084604E">
        <w:fldChar w:fldCharType="end"/>
      </w:r>
      <w:r>
        <w:t>.  This kinase responds to nutrient and gro</w:t>
      </w:r>
      <w:r w:rsidR="00272846">
        <w:t xml:space="preserve">wth hormone signals and phosphorylates targets involved in aging, growth, protein lipid and glycogen metabolism </w:t>
      </w:r>
      <w:r w:rsidR="00272846">
        <w:fldChar w:fldCharType="begin" w:fldLock="1"/>
      </w:r>
      <w:r w:rsidR="00465702">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"[3\u20135]" }, "properties" : { "noteIndex" : 0 }, "schema" : "https://github.com/citation-style-language/schema/raw/master/csl-citation.json" }</w:instrText>
      </w:r>
      <w:r w:rsidR="00272846">
        <w:fldChar w:fldCharType="separate"/>
      </w:r>
      <w:r w:rsidR="00272846" w:rsidRPr="00272846">
        <w:rPr>
          <w:noProof/>
        </w:rPr>
        <w:t>[3–5]</w:t>
      </w:r>
      <w:r w:rsidR="00272846">
        <w:fldChar w:fldCharType="end"/>
      </w:r>
      <w:r w:rsidR="00272846">
        <w:t>.</w:t>
      </w:r>
      <w:r w:rsidR="00D71024">
        <w:t xml:space="preserve">  In addition to these effects on differentiated cells, there is an emerging role for mTORC1 in the regulation of cellular differentiation including neurogenesis </w:t>
      </w:r>
      <w:r w:rsidR="004B5387">
        <w:fldChar w:fldCharType="begin" w:fldLock="1"/>
      </w:r>
      <w:r w:rsidR="00465702">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"[6, 7]" }, "properties" : { "noteIndex" : 0 }, "schema" : "https://github.com/citation-style-language/schema/raw/master/csl-citation.json" }</w:instrText>
      </w:r>
      <w:r w:rsidR="004B5387">
        <w:fldChar w:fldCharType="separate"/>
      </w:r>
      <w:r w:rsidR="004B5387" w:rsidRPr="004B5387">
        <w:rPr>
          <w:noProof/>
        </w:rPr>
        <w:t>[6, 7]</w:t>
      </w:r>
      <w:r w:rsidR="004B5387">
        <w:fldChar w:fldCharType="end"/>
      </w:r>
      <w:r w:rsidR="00D71024">
        <w:t xml:space="preserve">, </w:t>
      </w:r>
      <w:proofErr w:type="spellStart"/>
      <w:r w:rsidR="00D71024">
        <w:t>adipogenesis</w:t>
      </w:r>
      <w:proofErr w:type="spellEnd"/>
      <w:r w:rsidR="00D71024">
        <w:t xml:space="preserve"> </w:t>
      </w:r>
      <w:r w:rsidR="00D71024">
        <w:fldChar w:fldCharType="begin" w:fldLock="1"/>
      </w:r>
      <w:r w:rsidR="00465702">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"[8]" }, "properties" : { "noteIndex" : 0 }, "schema" : "https://github.com/citation-style-language/schema/raw/master/csl-citation.json" }</w:instrText>
      </w:r>
      <w:r w:rsidR="00D71024">
        <w:fldChar w:fldCharType="separate"/>
      </w:r>
      <w:r w:rsidR="004B5387" w:rsidRPr="004B5387">
        <w:rPr>
          <w:noProof/>
        </w:rPr>
        <w:t>[8]</w:t>
      </w:r>
      <w:r w:rsidR="00D71024">
        <w:fldChar w:fldCharType="end"/>
      </w:r>
      <w:r w:rsidR="00D71024">
        <w:t xml:space="preserve"> and </w:t>
      </w:r>
      <w:proofErr w:type="spellStart"/>
      <w:r w:rsidR="00D71024">
        <w:t>myogenesis</w:t>
      </w:r>
      <w:proofErr w:type="spellEnd"/>
      <w:r w:rsidR="00D71024">
        <w:t xml:space="preserve"> </w:t>
      </w:r>
      <w:r w:rsidR="00D71024">
        <w:fldChar w:fldCharType="begin" w:fldLock="1"/>
      </w:r>
      <w:r w:rsidR="00465702">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"[9\u201311]" }, "properties" : { "noteIndex" : 0 }, "schema" : "https://github.com/citation-style-language/schema/raw/master/csl-citation.json" }</w:instrText>
      </w:r>
      <w:r w:rsidR="00D71024">
        <w:fldChar w:fldCharType="separate"/>
      </w:r>
      <w:r w:rsidR="004B5387" w:rsidRPr="004B5387">
        <w:rPr>
          <w:noProof/>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 </w:t>
      </w:r>
      <w:r w:rsidR="004B5387">
        <w:fldChar w:fldCharType="begin" w:fldLock="1"/>
      </w:r>
      <w:r w:rsidR="00465702">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"[12\u201314]" }, "properties" : { "noteIndex" : 0 }, "schema" : "https://github.com/citation-style-language/schema/raw/master/csl-citation.json" }</w:instrText>
      </w:r>
      <w:r w:rsidR="004B5387">
        <w:fldChar w:fldCharType="separate"/>
      </w:r>
      <w:r w:rsidR="004B5387" w:rsidRPr="004B5387">
        <w:rPr>
          <w:noProof/>
        </w:rPr>
        <w:t>[12–14]</w:t>
      </w:r>
      <w:r w:rsidR="004B5387">
        <w:fldChar w:fldCharType="end"/>
      </w:r>
      <w:r w:rsidR="004B5387">
        <w:t xml:space="preserve">, worms </w:t>
      </w:r>
      <w:r w:rsidR="004B5387">
        <w:fldChar w:fldCharType="begin" w:fldLock="1"/>
      </w:r>
      <w:r w:rsidR="00465702">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"[15]" }, "properties" : { "noteIndex" : 0 }, "schema" : "https://github.com/citation-style-language/schema/raw/master/csl-citation.json" }</w:instrText>
      </w:r>
      <w:r w:rsidR="004B5387">
        <w:fldChar w:fldCharType="separate"/>
      </w:r>
      <w:r w:rsidR="004B5387" w:rsidRPr="004B5387">
        <w:rPr>
          <w:noProof/>
        </w:rPr>
        <w:t>[15]</w:t>
      </w:r>
      <w:r w:rsidR="004B5387">
        <w:fldChar w:fldCharType="end"/>
      </w:r>
      <w:r w:rsidR="004B5387">
        <w:t xml:space="preserve"> and fruit flies </w:t>
      </w:r>
      <w:r w:rsidR="004B5387">
        <w:fldChar w:fldCharType="begin" w:fldLock="1"/>
      </w:r>
      <w:r w:rsidR="00465702">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"[16]" }, "properties" : { "noteIndex" : 0 }, "schema" : "https://github.com/citation-style-language/schema/raw/master/csl-citation.json" }</w:instrText>
      </w:r>
      <w:r w:rsidR="004B5387">
        <w:fldChar w:fldCharType="separate"/>
      </w:r>
      <w:r w:rsidR="004B5387" w:rsidRPr="004B5387">
        <w:rPr>
          <w:noProof/>
        </w:rPr>
        <w:t>[16]</w:t>
      </w:r>
      <w:r w:rsidR="004B5387">
        <w:fldChar w:fldCharType="end"/>
      </w:r>
      <w:r w:rsidR="004B5387">
        <w:t xml:space="preserve">.  </w:t>
      </w:r>
    </w:p>
    <w:p w14:paraId="5C9B413C" w14:textId="77777777" w:rsidR="006A4D21" w:rsidRDefault="006A4D21" w:rsidP="00C2697E"/>
    <w:p w14:paraId="4B2289B1" w14:textId="101FC21B" w:rsidR="006A4D21" w:rsidRPr="00335C71" w:rsidRDefault="006A4D21" w:rsidP="00C2697E">
      <w:proofErr w:type="spellStart"/>
      <w:r>
        <w:t>Myogenesis</w:t>
      </w:r>
      <w:proofErr w:type="spellEnd"/>
      <w:r w:rsidR="005D5E1F">
        <w:t xml:space="preserve"> occurs during </w:t>
      </w:r>
      <w:r w:rsidR="00B5747D">
        <w:t xml:space="preserve">development, and throughout life, via precursor cells called satellite cells </w:t>
      </w:r>
      <w:r w:rsidR="00B5747D">
        <w:fldChar w:fldCharType="begin" w:fldLock="1"/>
      </w:r>
      <w:r w:rsidR="00465702">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"[17\u201319]" }, "properties" : { "noteIndex" : 0 }, "schema" : "https://github.com/citation-style-language/schema/raw/master/csl-citation.json" }</w:instrText>
      </w:r>
      <w:r w:rsidR="00B5747D">
        <w:fldChar w:fldCharType="separate"/>
      </w:r>
      <w:r w:rsidR="00415CB0" w:rsidRPr="00415CB0">
        <w:rPr>
          <w:noProof/>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 </w:t>
      </w:r>
      <w:r w:rsidR="00335C71">
        <w:fldChar w:fldCharType="begin" w:fldLock="1"/>
      </w:r>
      <w:r w:rsidR="00465702">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"[20, 21]" }, "properties" : { "noteIndex" : 0 }, "schema" : "https://github.com/citation-style-language/schema/raw/master/csl-citation.json" }</w:instrText>
      </w:r>
      <w:r w:rsidR="00335C71">
        <w:fldChar w:fldCharType="separate"/>
      </w:r>
      <w:r w:rsidR="006552AD" w:rsidRPr="006552AD">
        <w:rPr>
          <w:noProof/>
        </w:rPr>
        <w:t>[20, 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miR-1 dependent </w:t>
      </w:r>
      <w:r w:rsidR="00650720">
        <w:t xml:space="preserve">effect on </w:t>
      </w:r>
      <w:proofErr w:type="spellStart"/>
      <w:r w:rsidR="00650720">
        <w:t>myotube</w:t>
      </w:r>
      <w:proofErr w:type="spellEnd"/>
      <w:r w:rsidR="00650720">
        <w:t xml:space="preserve"> fusion </w:t>
      </w:r>
      <w:r w:rsidR="00650720">
        <w:fldChar w:fldCharType="begin" w:fldLock="1"/>
      </w:r>
      <w:r w:rsidR="00465702">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"[22]" }, "properties" : { "noteIndex" : 0 }, "schema" : "https://github.com/citation-style-language/schema/raw/master/csl-citation.json" }</w:instrText>
      </w:r>
      <w:r w:rsidR="00650720">
        <w:fldChar w:fldCharType="separate"/>
      </w:r>
      <w:r w:rsidR="006552AD" w:rsidRPr="006552AD">
        <w:rPr>
          <w:noProof/>
        </w:rPr>
        <w:t>[22]</w:t>
      </w:r>
      <w:r w:rsidR="00650720">
        <w:fldChar w:fldCharType="end"/>
      </w:r>
      <w:r w:rsidR="00650720">
        <w:t xml:space="preserve">.  </w:t>
      </w:r>
    </w:p>
    <w:p w14:paraId="07091E8D" w14:textId="77777777" w:rsidR="006A4D21" w:rsidRDefault="006A4D21" w:rsidP="00C2697E"/>
    <w:p w14:paraId="1C1D99DD" w14:textId="59D14669" w:rsidR="00C2697E" w:rsidRPr="006A4D21" w:rsidRDefault="004B5387" w:rsidP="00C2697E">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  In this study we present data suppor</w:t>
      </w:r>
      <w:r w:rsidR="008F353C">
        <w:t>t</w:t>
      </w:r>
      <w:r w:rsidR="006A4D21">
        <w:t>ing an essential developmental role of TORC1 in muscle development.</w:t>
      </w:r>
    </w:p>
    <w:p w14:paraId="369EB2B7" w14:textId="6AF2EF49" w:rsidR="00C2697E" w:rsidRDefault="00C2697E" w:rsidP="00DD6A3B">
      <w:pPr>
        <w:pStyle w:val="Heading1"/>
      </w:pPr>
      <w:r>
        <w:t>Methods</w:t>
      </w:r>
      <w:r w:rsidR="004B5387">
        <w:t xml:space="preserve"> </w:t>
      </w:r>
    </w:p>
    <w:p w14:paraId="70B3CDA0" w14:textId="77777777" w:rsidR="00C35D4F" w:rsidRDefault="00C35D4F" w:rsidP="00C2697E">
      <w:pPr>
        <w:rPr>
          <w:b/>
        </w:rPr>
      </w:pPr>
    </w:p>
    <w:p w14:paraId="4465DF37" w14:textId="13310D69" w:rsidR="007E44ED" w:rsidRDefault="007E44ED" w:rsidP="00DD6A3B">
      <w:pPr>
        <w:pStyle w:val="Heading2"/>
      </w:pPr>
      <w:r>
        <w:lastRenderedPageBreak/>
        <w:t>Materials</w:t>
      </w:r>
    </w:p>
    <w:p w14:paraId="6EEAF636" w14:textId="7554B3DA" w:rsidR="004B7CDC"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(Table 1)</w:t>
      </w:r>
      <w:r w:rsidR="00BE0793">
        <w:t xml:space="preserve">. Food was made </w:t>
      </w:r>
      <w:r w:rsidR="00411E0B">
        <w:t xml:space="preserve">prepared according to </w:t>
      </w:r>
      <w:commentRangeStart w:id="0"/>
      <w:r w:rsidR="00411E0B">
        <w:t>XXX</w:t>
      </w:r>
      <w:commentRangeEnd w:id="0"/>
      <w:r w:rsidR="00581BE2">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74B3F535" w14:textId="2BD301B2" w:rsidR="00411E0B" w:rsidRDefault="00411E0B" w:rsidP="00DD6A3B">
      <w:pPr>
        <w:pStyle w:val="Heading2"/>
      </w:pPr>
      <w:r>
        <w:t xml:space="preserve">Tissue Culture and </w:t>
      </w:r>
      <w:proofErr w:type="spellStart"/>
      <w:r>
        <w:t>Myotube</w:t>
      </w:r>
      <w:proofErr w:type="spellEnd"/>
      <w:r>
        <w:t xml:space="preserve"> Formation</w:t>
      </w:r>
    </w:p>
    <w:p w14:paraId="0EDDAC07" w14:textId="77777777" w:rsidR="00E56C2A" w:rsidRPr="00E56C2A" w:rsidRDefault="00E56C2A" w:rsidP="00E56C2A"/>
    <w:p w14:paraId="0D35AB59" w14:textId="5BF06797" w:rsidR="00F444D6" w:rsidRDefault="00E56C2A" w:rsidP="00581BE2">
      <w:r>
        <w:t xml:space="preserve">C2C12 cells were grown in </w:t>
      </w:r>
      <w:r w:rsidR="00581BE2">
        <w:t xml:space="preserve">DMEM with </w:t>
      </w:r>
      <w:r w:rsidRPr="00E56C2A">
        <w:t xml:space="preserve">10% </w:t>
      </w:r>
      <w:proofErr w:type="gramStart"/>
      <w:r w:rsidRPr="00E56C2A">
        <w:t>FBS</w:t>
      </w:r>
      <w:r w:rsidR="00581BE2">
        <w:t xml:space="preserve"> </w:t>
      </w:r>
      <w:r w:rsidRPr="00E56C2A">
        <w:t>.</w:t>
      </w:r>
      <w:proofErr w:type="gramEnd"/>
      <w:r w:rsidRPr="00E56C2A">
        <w:t xml:space="preserve"> Once cells had reached optimal confluence (90-95%), differentiation media (2% Horse Serum </w:t>
      </w:r>
      <w:r w:rsidR="00581BE2">
        <w:t xml:space="preserve">in DMEM) was added. </w:t>
      </w:r>
      <w:r w:rsidRPr="00E56C2A">
        <w:t xml:space="preserve">To determine when specific markers for differentiation were being expressed, cell lysates were </w:t>
      </w:r>
      <w:r w:rsidR="00581BE2">
        <w:t>generated</w:t>
      </w:r>
      <w:r w:rsidRPr="00E56C2A">
        <w:t xml:space="preserve"> on days 0, 0.25, 1, 2, 4, 6, 10 and 15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 or 500nM</w:t>
      </w:r>
      <w:r w:rsidRPr="00852708">
        <w:t xml:space="preserve"> </w:t>
      </w:r>
      <w:proofErr w:type="spellStart"/>
      <w:r w:rsidRPr="00852708">
        <w:t>rapamycin</w:t>
      </w:r>
      <w:proofErr w:type="spellEnd"/>
      <w:r w:rsidRPr="00852708">
        <w:t xml:space="preserve"> 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and scraping into a 1.5ml microfuge tube. Cell lysates were stored at -80</w:t>
      </w:r>
      <w:r w:rsidRPr="00E56C2A">
        <w:rPr>
          <w:rFonts w:ascii="Cambria" w:hAnsi="Cambria"/>
        </w:rPr>
        <w:t>°</w:t>
      </w:r>
      <w:r w:rsidRPr="00E56C2A">
        <w:t xml:space="preserve">C until real time </w:t>
      </w:r>
      <w:r w:rsidRPr="00E56C2A">
        <w:rPr>
          <w:rFonts w:cs="Helvetica"/>
        </w:rPr>
        <w:t>quantitative PCR</w:t>
      </w:r>
      <w:r w:rsidRPr="00E56C2A">
        <w:t xml:space="preserve"> analysis.</w:t>
      </w:r>
    </w:p>
    <w:p w14:paraId="6FCC02DE" w14:textId="0096E874" w:rsidR="00F444D6" w:rsidRPr="00F444D6" w:rsidRDefault="00F444D6" w:rsidP="001A0687">
      <w:pPr>
        <w:pStyle w:val="Heading2"/>
      </w:pPr>
      <w:r>
        <w:t>Real Time Quantitative PCR</w:t>
      </w:r>
    </w:p>
    <w:p w14:paraId="36D2F3A8" w14:textId="77777777" w:rsidR="00411E0B" w:rsidRDefault="00411E0B" w:rsidP="00C2697E">
      <w:pPr>
        <w:rPr>
          <w:b/>
        </w:rPr>
      </w:pPr>
    </w:p>
    <w:p w14:paraId="6E7C1715" w14:textId="3476A434" w:rsidR="00E56C2A" w:rsidRPr="008B5CF0" w:rsidRDefault="00E56C2A" w:rsidP="00E56C2A">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RNA was synthesized into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subjected to quantitative real-time PCR </w:t>
      </w:r>
      <w:r w:rsidR="00263B29">
        <w:t xml:space="preserve">on a Roche </w:t>
      </w:r>
      <w:proofErr w:type="spellStart"/>
      <w:r w:rsidR="00263B29">
        <w:t>Lightcycler</w:t>
      </w:r>
      <w:proofErr w:type="spellEnd"/>
      <w:r w:rsidR="00263B29">
        <w:t xml:space="preserve"> according the manufacturer’s guidelines</w:t>
      </w:r>
      <w:r w:rsidRPr="00E56C2A">
        <w:t xml:space="preserve">. Primers are listed in </w:t>
      </w:r>
      <w:r w:rsidR="008B5CF0">
        <w:t>Table 2</w:t>
      </w:r>
      <w:r w:rsidRPr="00E56C2A">
        <w:t xml:space="preserve">.  </w:t>
      </w:r>
      <w:proofErr w:type="gramStart"/>
      <w:r w:rsidRPr="00E56C2A">
        <w:t>mRNA</w:t>
      </w:r>
      <w:proofErr w:type="gramEnd"/>
      <w:r w:rsidRPr="00E56C2A">
        <w:t xml:space="preserve"> expression levels of all genes were normalized to </w:t>
      </w:r>
      <w:proofErr w:type="spellStart"/>
      <w:r w:rsidRPr="00E56C2A">
        <w:rPr>
          <w:i/>
        </w:rPr>
        <w:t>Gapdh</w:t>
      </w:r>
      <w:proofErr w:type="spellEnd"/>
      <w:r w:rsidRPr="00E56C2A">
        <w:t>.</w:t>
      </w:r>
      <w:r w:rsidR="008B5CF0">
        <w:t xml:space="preserve">  For both studies, a series of control genes including </w:t>
      </w:r>
      <w:proofErr w:type="spellStart"/>
      <w:r w:rsidR="00C574F1">
        <w:rPr>
          <w:i/>
        </w:rPr>
        <w:t>Gapdh</w:t>
      </w:r>
      <w:proofErr w:type="spellEnd"/>
      <w:r w:rsidR="00C574F1">
        <w:rPr>
          <w:i/>
        </w:rPr>
        <w:t xml:space="preserve">, Rplp0, </w:t>
      </w:r>
      <w:proofErr w:type="spellStart"/>
      <w:r w:rsidR="00C574F1">
        <w:rPr>
          <w:i/>
        </w:rPr>
        <w:t>Actb</w:t>
      </w:r>
      <w:proofErr w:type="spellEnd"/>
      <w:r w:rsidR="00C574F1">
        <w:rPr>
          <w:i/>
        </w:rPr>
        <w:t xml:space="preserve"> </w:t>
      </w:r>
      <w:r w:rsidR="00C574F1" w:rsidRPr="00C574F1">
        <w:t>and</w:t>
      </w:r>
      <w:r w:rsidR="008B5CF0">
        <w:rPr>
          <w:i/>
        </w:rPr>
        <w:t xml:space="preserve"> Rplp13</w:t>
      </w:r>
      <w:r w:rsidR="00C574F1">
        <w:rPr>
          <w:i/>
        </w:rPr>
        <w:t>a</w:t>
      </w:r>
      <w:r w:rsidR="008B5CF0">
        <w:t xml:space="preserve"> </w:t>
      </w:r>
      <w:r w:rsidR="00C574F1">
        <w:t xml:space="preserve">were examined, and </w:t>
      </w:r>
      <w:proofErr w:type="spellStart"/>
      <w:r w:rsidR="00C574F1">
        <w:rPr>
          <w:i/>
        </w:rPr>
        <w:t>Gapdh</w:t>
      </w:r>
      <w:proofErr w:type="spellEnd"/>
      <w:r w:rsidR="00C574F1">
        <w:t xml:space="preserve"> was chosen as a control as it was not changed across conditions.</w:t>
      </w:r>
      <w:r w:rsidR="008B5CF0">
        <w:t xml:space="preserve"> </w:t>
      </w:r>
    </w:p>
    <w:p w14:paraId="1EBF392B" w14:textId="6BEC977A" w:rsidR="00DB29A1" w:rsidRPr="00061E90" w:rsidRDefault="00DB29A1" w:rsidP="00C2697E"/>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and gender. During each sorting, the number of flies of each phenotype was recorded. The sorted flies were put into new vials, with males and females separated and with 5-10 flies in each vial.  The 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EDB24B8"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6858C4">
        <w:rPr>
          <w:i/>
        </w:rPr>
        <w:t>2</w:t>
      </w:r>
      <w:r>
        <w:rPr>
          <w:i/>
        </w:rPr>
        <w:t>-</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38BF1645" w:rsidR="00EB1511" w:rsidRDefault="00581BE2" w:rsidP="001A0687">
      <w:pPr>
        <w:pStyle w:val="Heading2"/>
      </w:pPr>
      <w:r>
        <w:t>Climbing</w:t>
      </w:r>
      <w:r w:rsidR="00EB1511">
        <w:t xml:space="preserve"> Assay</w:t>
      </w:r>
    </w:p>
    <w:p w14:paraId="1521F283" w14:textId="77777777" w:rsidR="00EB1511" w:rsidRDefault="00EB1511" w:rsidP="00EB1511"/>
    <w:p w14:paraId="78C000B5" w14:textId="1C2858CA" w:rsidR="00EB1511" w:rsidRDefault="003937DA" w:rsidP="00EB1511">
      <w:r>
        <w:t xml:space="preserve">To perform the </w:t>
      </w:r>
      <w:r w:rsidR="00581BE2">
        <w:t>climbing</w:t>
      </w:r>
      <w:r>
        <w:t xml:space="preserve"> assay, the flies were tapped to the bottom of the vial at the same time a stopwatch was started. The stopwatch was stopped each time a fly in the vial </w:t>
      </w:r>
      <w:proofErr w:type="spellStart"/>
      <w:r w:rsidR="00581BE2">
        <w:t>climed</w:t>
      </w:r>
      <w:proofErr w:type="spellEnd"/>
      <w:r>
        <w:t xml:space="preserve">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0637DE84" w:rsidR="00B26960" w:rsidRPr="00B26960" w:rsidRDefault="00B26960" w:rsidP="00B26960">
      <w:r>
        <w:t xml:space="preserve">Statistical analyses were performed using the R statistical package, version 3.1.0 </w:t>
      </w:r>
      <w:r w:rsidR="00F3104E">
        <w:fldChar w:fldCharType="begin" w:fldLock="1"/>
      </w:r>
      <w:r w:rsidR="00465702">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"[23]" }, "properties" : { "noteIndex" : 0 }, "schema" : "https://github.com/citation-style-language/schema/raw/master/csl-citation.json" }</w:instrText>
      </w:r>
      <w:r w:rsidR="00F3104E">
        <w:fldChar w:fldCharType="separate"/>
      </w:r>
      <w:r w:rsidR="006552AD" w:rsidRPr="006552AD">
        <w:rPr>
          <w:noProof/>
        </w:rPr>
        <w:t>[23]</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465702">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F3104E">
        <w:fldChar w:fldCharType="separate"/>
      </w:r>
      <w:r w:rsidR="006552AD" w:rsidRPr="006552AD">
        <w:rPr>
          <w:noProof/>
        </w:rPr>
        <w:t>[24]</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465702">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"[25]" }, "properties" : { "noteIndex" : 0 }, "schema" : "https://github.com/citation-style-language/schema/raw/master/csl-citation.json" }</w:instrText>
      </w:r>
      <w:r w:rsidR="009364BA">
        <w:fldChar w:fldCharType="separate"/>
      </w:r>
      <w:r w:rsidR="006552AD" w:rsidRPr="006552AD">
        <w:rPr>
          <w:noProof/>
        </w:rPr>
        <w:t>[25]</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proofErr w:type="spellStart"/>
      <w:r>
        <w:t>Rapamycin</w:t>
      </w:r>
      <w:proofErr w:type="spellEnd"/>
      <w:r>
        <w:t xml:space="preserve"> Inhibits Differentiation of Muscle Cells in Culture</w:t>
      </w:r>
    </w:p>
    <w:p w14:paraId="35C30A0D" w14:textId="77777777" w:rsidR="00E56C2A" w:rsidRDefault="00E56C2A" w:rsidP="00E56C2A"/>
    <w:p w14:paraId="4CEA9500" w14:textId="30FA5396" w:rsidR="00E56C2A" w:rsidRPr="00E56C2A" w:rsidRDefault="00581BE2" w:rsidP="00E56C2A">
      <w:r>
        <w:t xml:space="preserve">To determine the order in which myogenic markers are induced, we </w:t>
      </w:r>
      <w:r w:rsidR="00E56C2A" w:rsidRPr="00E56C2A">
        <w:t>performed a time course experiment in C2C12 cells. We generated cell lysates at various time points of the d</w:t>
      </w:r>
      <w:r w:rsidR="0078613C">
        <w:t>ifferentiation process (0hr, 8h, 24h, 48h</w:t>
      </w:r>
      <w:r w:rsidR="00E56C2A" w:rsidRPr="00E56C2A">
        <w:t>, day 4, day 6, day 10, day 15) and performed RT-</w:t>
      </w:r>
      <w:proofErr w:type="spellStart"/>
      <w:r w:rsidR="00E56C2A" w:rsidRPr="00E56C2A">
        <w:t>qPCR</w:t>
      </w:r>
      <w:proofErr w:type="spellEnd"/>
      <w:r w:rsidR="00E56C2A" w:rsidRPr="00E56C2A">
        <w:t xml:space="preserve"> to measure </w:t>
      </w:r>
      <w:r w:rsidR="0078613C">
        <w:t>transcripts</w:t>
      </w:r>
      <w:r w:rsidR="00E56C2A" w:rsidRPr="00E56C2A">
        <w:t xml:space="preserve"> of the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and continue to increase throughout with large increases in </w:t>
      </w:r>
      <w:r w:rsidR="00E56C2A" w:rsidRPr="00E56C2A">
        <w:rPr>
          <w:i/>
        </w:rPr>
        <w:t>Mef2c</w:t>
      </w:r>
      <w:r w:rsidR="0078613C">
        <w:t xml:space="preserve"> </w:t>
      </w:r>
      <w:r w:rsidR="00E56C2A" w:rsidRPr="00E56C2A">
        <w:t xml:space="preserve">not occurring until around day 5 or 6 (Figure 1A). This is </w:t>
      </w:r>
      <w:r w:rsidR="0078613C">
        <w:t>consistent</w:t>
      </w:r>
      <w:r>
        <w:t xml:space="preserve"> previous observations </w:t>
      </w:r>
      <w:r>
        <w:fldChar w:fldCharType="begin" w:fldLock="1"/>
      </w:r>
      <w:r w:rsidR="00465702">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"[26]" }, "properties" : { "noteIndex" : 0 }, "schema" : "https://github.com/citation-style-language/schema/raw/master/csl-citation.json" }</w:instrText>
      </w:r>
      <w:r>
        <w:fldChar w:fldCharType="separate"/>
      </w:r>
      <w:r w:rsidR="006552AD" w:rsidRPr="006552AD">
        <w:rPr>
          <w:noProof/>
        </w:rPr>
        <w:t>[26]</w:t>
      </w:r>
      <w:r>
        <w:fldChar w:fldCharType="end"/>
      </w:r>
      <w:r>
        <w:t>.</w:t>
      </w:r>
      <w:r w:rsidR="00E56C2A" w:rsidRPr="00E56C2A">
        <w:t xml:space="preserve"> </w:t>
      </w:r>
    </w:p>
    <w:p w14:paraId="5E630208" w14:textId="77777777" w:rsidR="00E56C2A" w:rsidRPr="00E56C2A" w:rsidRDefault="00E56C2A" w:rsidP="00E56C2A"/>
    <w:p w14:paraId="79F31CE8" w14:textId="0DA54394" w:rsidR="004D266E" w:rsidRDefault="00E56C2A" w:rsidP="001A0687">
      <w:r w:rsidRPr="00E56C2A">
        <w:t xml:space="preserve">Next we wanted to observe the effect of </w:t>
      </w:r>
      <w:proofErr w:type="spellStart"/>
      <w:r w:rsidRPr="00E56C2A">
        <w:t>rapamycin</w:t>
      </w:r>
      <w:proofErr w:type="spellEnd"/>
      <w:r w:rsidRPr="00E56C2A">
        <w:t xml:space="preserve"> (a drug known to inhibit TORC1 signaling) on differentiation (Figure 1B and C). Treatment with </w:t>
      </w:r>
      <w:proofErr w:type="spellStart"/>
      <w:r w:rsidRPr="00E56C2A">
        <w:t>rapamycin</w:t>
      </w:r>
      <w:proofErr w:type="spellEnd"/>
      <w:r w:rsidRPr="00E56C2A">
        <w:t xml:space="preserve"> resulted in significant reductions in mRNA transcript levels for all differentiation markers measured (p&lt;0.05), with the exception of </w:t>
      </w:r>
      <w:r w:rsidRPr="00E56C2A">
        <w:rPr>
          <w:i/>
        </w:rPr>
        <w:t>Myod1</w:t>
      </w:r>
      <w:r w:rsidRPr="00E56C2A">
        <w:t xml:space="preserve"> (p</w:t>
      </w:r>
      <w:commentRangeStart w:id="1"/>
      <w:r w:rsidRPr="00E56C2A">
        <w:t>=</w:t>
      </w:r>
      <w:proofErr w:type="gramStart"/>
      <w:r w:rsidRPr="00E56C2A">
        <w:t>???</w:t>
      </w:r>
      <w:r w:rsidR="00046A74">
        <w:t>,</w:t>
      </w:r>
      <w:proofErr w:type="gramEnd"/>
      <w:r w:rsidR="00046A74">
        <w:t xml:space="preserve"> </w:t>
      </w:r>
      <w:commentRangeEnd w:id="1"/>
      <w:r w:rsidR="00852708">
        <w:rPr>
          <w:rStyle w:val="CommentReference"/>
        </w:rPr>
        <w:commentReference w:id="1"/>
      </w:r>
      <w:r w:rsidR="00046A74">
        <w:t>F</w:t>
      </w:r>
      <w:r w:rsidRPr="00E56C2A">
        <w:t>igure 1B</w:t>
      </w:r>
      <w:r w:rsidR="00046A74">
        <w:t xml:space="preserve">, consistent with </w:t>
      </w:r>
      <w:r w:rsidR="00046A74">
        <w:fldChar w:fldCharType="begin" w:fldLock="1"/>
      </w:r>
      <w:r w:rsidR="00465702">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"[22]" }, "properties" : { "noteIndex" : 0 }, "schema" : "https://github.com/citation-style-language/schema/raw/master/csl-citation.json" }</w:instrText>
      </w:r>
      <w:r w:rsidR="00046A74">
        <w:fldChar w:fldCharType="separate"/>
      </w:r>
      <w:r w:rsidR="00046A74" w:rsidRPr="00046A74">
        <w:rPr>
          <w:noProof/>
        </w:rPr>
        <w:t>[22]</w:t>
      </w:r>
      <w:r w:rsidR="00046A74">
        <w:fldChar w:fldCharType="end"/>
      </w:r>
      <w:r w:rsidRPr="00E56C2A">
        <w:t xml:space="preserve">) and prevented the formation of </w:t>
      </w:r>
      <w:proofErr w:type="spellStart"/>
      <w:r w:rsidRPr="00E56C2A">
        <w:t>myotubes</w:t>
      </w:r>
      <w:proofErr w:type="spellEnd"/>
      <w:r w:rsidRPr="00E56C2A">
        <w:t xml:space="preserve"> (Figure 1C). </w:t>
      </w:r>
    </w:p>
    <w:p w14:paraId="32D68E85" w14:textId="77777777" w:rsidR="004D266E" w:rsidRDefault="004D266E" w:rsidP="001A0687"/>
    <w:p w14:paraId="6BF140A1" w14:textId="00E33879" w:rsidR="004D266E" w:rsidRDefault="004D266E" w:rsidP="001A0687">
      <w:r>
        <w:t xml:space="preserve">Since the </w:t>
      </w:r>
      <w:r w:rsidR="0078613C">
        <w:t>pro-differentiation m</w:t>
      </w:r>
      <w:r w:rsidR="00E56C2A" w:rsidRPr="00E56C2A">
        <w:t xml:space="preserve">TORC1 </w:t>
      </w:r>
      <w:r w:rsidR="0078613C">
        <w:t>target</w:t>
      </w:r>
      <w:r>
        <w:t>(s)</w:t>
      </w:r>
      <w:r w:rsidR="00E56C2A" w:rsidRPr="00E56C2A">
        <w:t xml:space="preserve"> </w:t>
      </w:r>
      <w:r>
        <w:t>are</w:t>
      </w:r>
      <w:r w:rsidR="00E56C2A" w:rsidRPr="00E56C2A">
        <w:t xml:space="preserve"> not modifying </w:t>
      </w:r>
      <w:r w:rsidR="00E56C2A" w:rsidRPr="00E56C2A">
        <w:rPr>
          <w:i/>
        </w:rPr>
        <w:t>Myod1</w:t>
      </w:r>
      <w:r w:rsidR="00E56C2A" w:rsidRPr="00E56C2A">
        <w:t xml:space="preserve"> </w:t>
      </w:r>
      <w:r>
        <w:t>transcript levels (</w:t>
      </w:r>
      <w:r w:rsidR="0078613C">
        <w:t xml:space="preserve">since </w:t>
      </w:r>
      <w:r w:rsidR="0078613C">
        <w:rPr>
          <w:i/>
        </w:rPr>
        <w:t>Myod1</w:t>
      </w:r>
      <w:r w:rsidR="0078613C">
        <w:t xml:space="preserve"> is not altered</w:t>
      </w:r>
      <w:r>
        <w:t xml:space="preserve">) it is unlikely that the target is upstream of </w:t>
      </w:r>
      <w:r>
        <w:rPr>
          <w:i/>
        </w:rPr>
        <w:t>Myod1</w:t>
      </w:r>
      <w:r>
        <w:t xml:space="preserve"> transcription.  Furthermore, since several early differentiation targets, including </w:t>
      </w:r>
      <w:proofErr w:type="spellStart"/>
      <w:r w:rsidRPr="00E56C2A">
        <w:rPr>
          <w:i/>
        </w:rPr>
        <w:t>Myog</w:t>
      </w:r>
      <w:proofErr w:type="spellEnd"/>
      <w:r w:rsidRPr="00E56C2A">
        <w:t xml:space="preserve">, </w:t>
      </w:r>
      <w:r w:rsidRPr="00E56C2A">
        <w:rPr>
          <w:i/>
        </w:rPr>
        <w:t>Myf5</w:t>
      </w:r>
      <w:r w:rsidRPr="00E56C2A">
        <w:t xml:space="preserve">, and/or </w:t>
      </w:r>
      <w:r w:rsidRPr="00E56C2A">
        <w:rPr>
          <w:i/>
        </w:rPr>
        <w:t>Cdkn1a</w:t>
      </w:r>
      <w:r w:rsidR="00852708">
        <w:rPr>
          <w:i/>
        </w:rPr>
        <w:t>.</w:t>
      </w:r>
      <w:r>
        <w:t xml:space="preserve"> </w:t>
      </w:r>
      <w:r w:rsidR="0078613C">
        <w:t xml:space="preserve"> </w:t>
      </w:r>
      <w:r>
        <w:t xml:space="preserve">Finally, since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t xml:space="preserve"> this is not likely to be a direct mTORC1 target </w:t>
      </w:r>
      <w:r>
        <w:fldChar w:fldCharType="begin" w:fldLock="1"/>
      </w:r>
      <w:r w:rsidR="00465702">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"[27]" }, "properties" : { "noteIndex" : 0 }, "schema" : "https://github.com/citation-style-language/schema/raw/master/csl-citation.json" }</w:instrText>
      </w:r>
      <w:r>
        <w:fldChar w:fldCharType="separate"/>
      </w:r>
      <w:r w:rsidRPr="004D266E">
        <w:rPr>
          <w:noProof/>
        </w:rPr>
        <w:t>[27]</w:t>
      </w:r>
      <w:r>
        <w:fldChar w:fldCharType="end"/>
      </w:r>
      <w:r w:rsidR="0078613C">
        <w:t xml:space="preserve">. </w:t>
      </w:r>
    </w:p>
    <w:p w14:paraId="171217D9" w14:textId="77777777" w:rsidR="004D266E" w:rsidRDefault="004D266E" w:rsidP="001A0687"/>
    <w:p w14:paraId="0CB9B4B0" w14:textId="477534BE" w:rsidR="00852708" w:rsidRPr="00335C71" w:rsidRDefault="00E56C2A" w:rsidP="00852708">
      <w:r w:rsidRPr="00E56C2A">
        <w:t xml:space="preserve">These data show that the </w:t>
      </w:r>
      <w:r w:rsidR="0078613C">
        <w:t>m</w:t>
      </w:r>
      <w:r w:rsidRPr="00E56C2A">
        <w:t xml:space="preserve">TORC1 pathway is required to be active </w:t>
      </w:r>
      <w:r w:rsidR="00852708">
        <w:t>at a very early stage of</w:t>
      </w:r>
      <w:r w:rsidRPr="00E56C2A">
        <w:t xml:space="preserve"> differentiation in C2C12 cells</w:t>
      </w:r>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also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4D266E">
        <w:t xml:space="preserve"> </w:t>
      </w:r>
      <w:r w:rsidR="004D266E">
        <w:fldChar w:fldCharType="begin" w:fldLock="1"/>
      </w:r>
      <w:r w:rsidR="00465702">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"[22]" }, "properties" : { "noteIndex" : 0 }, "schema" : "https://github.com/citation-style-language/schema/raw/master/csl-citation.json" }</w:instrText>
      </w:r>
      <w:r w:rsidR="004D266E">
        <w:fldChar w:fldCharType="separate"/>
      </w:r>
      <w:r w:rsidR="004D266E" w:rsidRPr="004D266E">
        <w:rPr>
          <w:noProof/>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w:t>
      </w:r>
      <w:proofErr w:type="spellStart"/>
      <w:r w:rsidR="00852708">
        <w:t>rapamycin</w:t>
      </w:r>
      <w:proofErr w:type="spellEnd"/>
      <w:r w:rsidR="00852708">
        <w:t xml:space="preserve"> </w:t>
      </w:r>
      <w:r w:rsidR="00852708">
        <w:fldChar w:fldCharType="begin" w:fldLock="1"/>
      </w:r>
      <w:r w:rsidR="00465702">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"[11]" }, "properties" : { "noteIndex" : 0 }, "schema" : "https://github.com/citation-style-language/schema/raw/master/csl-citation.json" }</w:instrText>
      </w:r>
      <w:r w:rsidR="00852708">
        <w:fldChar w:fldCharType="separate"/>
      </w:r>
      <w:r w:rsidR="00852708" w:rsidRPr="006552AD">
        <w:rPr>
          <w:noProof/>
        </w:rPr>
        <w:t>[11]</w:t>
      </w:r>
      <w:r w:rsidR="00852708">
        <w:fldChar w:fldCharType="end"/>
      </w:r>
      <w:r w:rsidR="00852708">
        <w:t>.</w:t>
      </w:r>
    </w:p>
    <w:p w14:paraId="0AABC30B" w14:textId="12996B6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230E908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 by the maternal fly </w:t>
      </w:r>
      <w:r w:rsidR="0075212D">
        <w:fldChar w:fldCharType="begin" w:fldLock="1"/>
      </w:r>
      <w:r w:rsidR="00465702">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"[16]" }, "properties" : { "noteIndex" : 0 }, "schema" : "https://github.com/citation-style-language/schema/raw/master/csl-citation.json" }</w:instrText>
      </w:r>
      <w:r w:rsidR="0075212D">
        <w:fldChar w:fldCharType="separate"/>
      </w:r>
      <w:r w:rsidR="004B5387" w:rsidRPr="004B5387">
        <w:rPr>
          <w:noProof/>
        </w:rPr>
        <w:t>[16]</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465702">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"[12]" }, "properties" : { "noteIndex" : 0 }, "schema" : "https://github.com/citation-style-language/schema/raw/master/csl-citation.json" }</w:instrText>
      </w:r>
      <w:r w:rsidR="009111E3">
        <w:fldChar w:fldCharType="separate"/>
      </w:r>
      <w:r w:rsidR="004B5387" w:rsidRPr="004B5387">
        <w:rPr>
          <w:noProof/>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65702">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"[13\u201315, 28]" }, "properties" : { "noteIndex" : 0 }, "schema" : "https://github.com/citation-style-language/schema/raw/master/csl-citation.json" }</w:instrText>
      </w:r>
      <w:r w:rsidR="00E20164">
        <w:fldChar w:fldCharType="separate"/>
      </w:r>
      <w:r w:rsidR="00465702" w:rsidRPr="00465702">
        <w:rPr>
          <w:noProof/>
        </w:rPr>
        <w:t>[13–15, 28]</w:t>
      </w:r>
      <w:r w:rsidR="00E20164">
        <w:fldChar w:fldCharType="end"/>
      </w:r>
      <w:r w:rsidR="00340AA3">
        <w:t>.</w:t>
      </w:r>
    </w:p>
    <w:p w14:paraId="3BD273BB" w14:textId="77777777" w:rsidR="00B20189" w:rsidRDefault="00B20189" w:rsidP="001A0687"/>
    <w:p w14:paraId="0690C456" w14:textId="2C207741"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65702">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"[29]" }, "properties" : { "noteIndex" : 0 }, "schema" : "https://github.com/citation-style-language/schema/raw/master/csl-citation.json" }</w:instrText>
      </w:r>
      <w:r w:rsidR="00F0001B">
        <w:fldChar w:fldCharType="separate"/>
      </w:r>
      <w:r w:rsidR="00465702" w:rsidRPr="00465702">
        <w:rPr>
          <w:noProof/>
        </w:rPr>
        <w:t>[29]</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20248A3F"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2"/>
      <w:r w:rsidR="00554FC6">
        <w:t>Figure</w:t>
      </w:r>
      <w:r w:rsidR="00AC63C1">
        <w:t xml:space="preserve"> </w:t>
      </w:r>
      <w:r w:rsidR="003E4F67">
        <w:t>2</w:t>
      </w:r>
      <w:r w:rsidR="00554FC6">
        <w:t>A</w:t>
      </w:r>
      <w:commentRangeEnd w:id="2"/>
      <w:r w:rsidR="009637F4">
        <w:rPr>
          <w:rStyle w:val="CommentReference"/>
        </w:rPr>
        <w:commentReference w:id="2"/>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1A0687"/>
    <w:p w14:paraId="798E98C6" w14:textId="4EBDDE8E"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65702">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"[29]" }, "properties" : { "noteIndex" : 0 }, "schema" : "https://github.com/citation-style-language/schema/raw/master/csl-citation.json" }</w:instrText>
      </w:r>
      <w:r w:rsidR="00A95905">
        <w:fldChar w:fldCharType="separate"/>
      </w:r>
      <w:r w:rsidR="00465702" w:rsidRPr="00465702">
        <w:rPr>
          <w:noProof/>
        </w:rPr>
        <w:t>[29]</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05B7A999" w14:textId="6E48053B" w:rsidR="003C09B8" w:rsidRPr="000B3301" w:rsidRDefault="00A95905" w:rsidP="003C09B8">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6858C4">
        <w:rPr>
          <w:rFonts w:ascii="Cambria" w:hAnsi="Cambria"/>
          <w:i/>
        </w:rPr>
        <w:t>2</w:t>
      </w:r>
      <w:r w:rsidR="00DF02CD">
        <w:rPr>
          <w:rFonts w:ascii="Cambria" w:hAnsi="Cambria"/>
          <w:i/>
        </w:rPr>
        <w:t>-</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3"/>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3"/>
      <w:r w:rsidR="00487810">
        <w:rPr>
          <w:rStyle w:val="CommentReference"/>
        </w:rPr>
        <w:commentReference w:id="3"/>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 xml:space="preserve">knockout mice are viable </w:t>
      </w:r>
      <w:r w:rsidR="003C09B8">
        <w:fldChar w:fldCharType="begin" w:fldLock="1"/>
      </w:r>
      <w:r w:rsidR="00465702">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"[30, 31]" }, "properties" : { "noteIndex" : 0 }, "schema" : "https://github.com/citation-style-language/schema/raw/master/csl-citation.json" }</w:instrText>
      </w:r>
      <w:r w:rsidR="003C09B8">
        <w:fldChar w:fldCharType="separate"/>
      </w:r>
      <w:r w:rsidR="00465702" w:rsidRPr="00465702">
        <w:rPr>
          <w:noProof/>
        </w:rPr>
        <w:t>[30, 31]</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29CE8E7C"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743CE2F1"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565BE94B"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C7080C">
        <w:rPr>
          <w:rFonts w:ascii="Cambria" w:hAnsi="Cambria"/>
        </w:rPr>
        <w:t xml:space="preserve"> (Figure 4A, C and E compared to Figure 4B, D and F</w:t>
      </w:r>
      <w:r w:rsidR="00052987">
        <w:rPr>
          <w:rFonts w:ascii="Cambria" w:hAnsi="Cambria"/>
        </w:rPr>
        <w:t>)</w:t>
      </w:r>
      <w:r w:rsidR="00C7080C">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50AE02FA"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00B278CF"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a</w:t>
      </w:r>
      <w:r w:rsidR="008F353C">
        <w:t>n</w:t>
      </w:r>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4"/>
      <w:r>
        <w:t xml:space="preserve">XXXX </w:t>
      </w:r>
      <w:commentRangeEnd w:id="4"/>
      <w:r w:rsidR="00DD6A3B">
        <w:rPr>
          <w:rStyle w:val="CommentReference"/>
        </w:rPr>
        <w:commentReference w:id="4"/>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749CD5AB" w14:textId="4E08BD4E" w:rsidR="00465702" w:rsidRPr="00465702" w:rsidRDefault="00D07587">
      <w:pPr>
        <w:pStyle w:val="NormalWeb"/>
        <w:divId w:val="2145077811"/>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65702" w:rsidRPr="00465702">
        <w:rPr>
          <w:rFonts w:ascii="Cambria" w:hAnsi="Cambria"/>
          <w:noProof/>
          <w:sz w:val="24"/>
        </w:rPr>
        <w:t xml:space="preserve">1. Loewith R, Hall MN: </w:t>
      </w:r>
      <w:r w:rsidR="00465702" w:rsidRPr="00465702">
        <w:rPr>
          <w:rFonts w:ascii="Cambria" w:hAnsi="Cambria"/>
          <w:b/>
          <w:bCs/>
          <w:noProof/>
          <w:sz w:val="24"/>
        </w:rPr>
        <w:t>Target of rapamycin (TOR) in nutrient signaling and growth control.</w:t>
      </w:r>
      <w:r w:rsidR="00465702" w:rsidRPr="00465702">
        <w:rPr>
          <w:rFonts w:ascii="Cambria" w:hAnsi="Cambria"/>
          <w:noProof/>
          <w:sz w:val="24"/>
        </w:rPr>
        <w:t xml:space="preserve"> </w:t>
      </w:r>
      <w:r w:rsidR="00465702" w:rsidRPr="00465702">
        <w:rPr>
          <w:rFonts w:ascii="Cambria" w:hAnsi="Cambria"/>
          <w:i/>
          <w:iCs/>
          <w:noProof/>
          <w:sz w:val="24"/>
        </w:rPr>
        <w:t>Genetics</w:t>
      </w:r>
      <w:r w:rsidR="00465702" w:rsidRPr="00465702">
        <w:rPr>
          <w:rFonts w:ascii="Cambria" w:hAnsi="Cambria"/>
          <w:noProof/>
          <w:sz w:val="24"/>
        </w:rPr>
        <w:t xml:space="preserve"> 2011, </w:t>
      </w:r>
      <w:r w:rsidR="00465702" w:rsidRPr="00465702">
        <w:rPr>
          <w:rFonts w:ascii="Cambria" w:hAnsi="Cambria"/>
          <w:b/>
          <w:bCs/>
          <w:noProof/>
          <w:sz w:val="24"/>
        </w:rPr>
        <w:t>189</w:t>
      </w:r>
      <w:r w:rsidR="00465702" w:rsidRPr="00465702">
        <w:rPr>
          <w:rFonts w:ascii="Cambria" w:hAnsi="Cambria"/>
          <w:noProof/>
          <w:sz w:val="24"/>
        </w:rPr>
        <w:t>:1177–201.</w:t>
      </w:r>
    </w:p>
    <w:p w14:paraId="3FBDF03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 Zoncu R, Efeyan A, Sabatini DM: </w:t>
      </w:r>
      <w:r w:rsidRPr="00465702">
        <w:rPr>
          <w:rFonts w:ascii="Cambria" w:hAnsi="Cambria"/>
          <w:b/>
          <w:bCs/>
          <w:noProof/>
          <w:sz w:val="24"/>
        </w:rPr>
        <w:t>mTOR: from growth signal integration to cancer, diabetes and ageing.</w:t>
      </w:r>
      <w:r w:rsidRPr="00465702">
        <w:rPr>
          <w:rFonts w:ascii="Cambria" w:hAnsi="Cambria"/>
          <w:noProof/>
          <w:sz w:val="24"/>
        </w:rPr>
        <w:t xml:space="preserve"> </w:t>
      </w:r>
      <w:r w:rsidRPr="00465702">
        <w:rPr>
          <w:rFonts w:ascii="Cambria" w:hAnsi="Cambria"/>
          <w:i/>
          <w:iCs/>
          <w:noProof/>
          <w:sz w:val="24"/>
        </w:rPr>
        <w:t>Nat Rev Mol Cell Biol</w:t>
      </w:r>
      <w:r w:rsidRPr="00465702">
        <w:rPr>
          <w:rFonts w:ascii="Cambria" w:hAnsi="Cambria"/>
          <w:noProof/>
          <w:sz w:val="24"/>
        </w:rPr>
        <w:t xml:space="preserve"> 2010, </w:t>
      </w:r>
      <w:r w:rsidRPr="00465702">
        <w:rPr>
          <w:rFonts w:ascii="Cambria" w:hAnsi="Cambria"/>
          <w:b/>
          <w:bCs/>
          <w:noProof/>
          <w:sz w:val="24"/>
        </w:rPr>
        <w:t>12</w:t>
      </w:r>
      <w:r w:rsidRPr="00465702">
        <w:rPr>
          <w:rFonts w:ascii="Cambria" w:hAnsi="Cambria"/>
          <w:noProof/>
          <w:sz w:val="24"/>
        </w:rPr>
        <w:t>:21–35.</w:t>
      </w:r>
    </w:p>
    <w:p w14:paraId="74B63C62"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3. Howell JJ, Ricoult SJH, Ben-Sahra I, Manning BD: </w:t>
      </w:r>
      <w:r w:rsidRPr="00465702">
        <w:rPr>
          <w:rFonts w:ascii="Cambria" w:hAnsi="Cambria"/>
          <w:b/>
          <w:bCs/>
          <w:noProof/>
          <w:sz w:val="24"/>
        </w:rPr>
        <w:t>A growing role for mTOR in promoting anabolic metabolism.</w:t>
      </w:r>
      <w:r w:rsidRPr="00465702">
        <w:rPr>
          <w:rFonts w:ascii="Cambria" w:hAnsi="Cambria"/>
          <w:noProof/>
          <w:sz w:val="24"/>
        </w:rPr>
        <w:t xml:space="preserve"> </w:t>
      </w:r>
      <w:r w:rsidRPr="00465702">
        <w:rPr>
          <w:rFonts w:ascii="Cambria" w:hAnsi="Cambria"/>
          <w:i/>
          <w:iCs/>
          <w:noProof/>
          <w:sz w:val="24"/>
        </w:rPr>
        <w:t>Biochem Soc Trans</w:t>
      </w:r>
      <w:r w:rsidRPr="00465702">
        <w:rPr>
          <w:rFonts w:ascii="Cambria" w:hAnsi="Cambria"/>
          <w:noProof/>
          <w:sz w:val="24"/>
        </w:rPr>
        <w:t xml:space="preserve"> 2013, </w:t>
      </w:r>
      <w:r w:rsidRPr="00465702">
        <w:rPr>
          <w:rFonts w:ascii="Cambria" w:hAnsi="Cambria"/>
          <w:b/>
          <w:bCs/>
          <w:noProof/>
          <w:sz w:val="24"/>
        </w:rPr>
        <w:t>41</w:t>
      </w:r>
      <w:r w:rsidRPr="00465702">
        <w:rPr>
          <w:rFonts w:ascii="Cambria" w:hAnsi="Cambria"/>
          <w:noProof/>
          <w:sz w:val="24"/>
        </w:rPr>
        <w:t>:906–12.</w:t>
      </w:r>
    </w:p>
    <w:p w14:paraId="0E376ED8"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4. Cornu M, Albert V, Hall MN: </w:t>
      </w:r>
      <w:r w:rsidRPr="00465702">
        <w:rPr>
          <w:rFonts w:ascii="Cambria" w:hAnsi="Cambria"/>
          <w:b/>
          <w:bCs/>
          <w:noProof/>
          <w:sz w:val="24"/>
        </w:rPr>
        <w:t>mTOR in aging, metabolism, and cancer.</w:t>
      </w:r>
      <w:r w:rsidRPr="00465702">
        <w:rPr>
          <w:rFonts w:ascii="Cambria" w:hAnsi="Cambria"/>
          <w:noProof/>
          <w:sz w:val="24"/>
        </w:rPr>
        <w:t xml:space="preserve"> </w:t>
      </w:r>
      <w:r w:rsidRPr="00465702">
        <w:rPr>
          <w:rFonts w:ascii="Cambria" w:hAnsi="Cambria"/>
          <w:i/>
          <w:iCs/>
          <w:noProof/>
          <w:sz w:val="24"/>
        </w:rPr>
        <w:t>Curr Opin Genet Dev</w:t>
      </w:r>
      <w:r w:rsidRPr="00465702">
        <w:rPr>
          <w:rFonts w:ascii="Cambria" w:hAnsi="Cambria"/>
          <w:noProof/>
          <w:sz w:val="24"/>
        </w:rPr>
        <w:t xml:space="preserve"> 2013, </w:t>
      </w:r>
      <w:r w:rsidRPr="00465702">
        <w:rPr>
          <w:rFonts w:ascii="Cambria" w:hAnsi="Cambria"/>
          <w:b/>
          <w:bCs/>
          <w:noProof/>
          <w:sz w:val="24"/>
        </w:rPr>
        <w:t>23</w:t>
      </w:r>
      <w:r w:rsidRPr="00465702">
        <w:rPr>
          <w:rFonts w:ascii="Cambria" w:hAnsi="Cambria"/>
          <w:noProof/>
          <w:sz w:val="24"/>
        </w:rPr>
        <w:t>:53–62.</w:t>
      </w:r>
    </w:p>
    <w:p w14:paraId="7FA41607"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5. Lamming DW, Ye L, Sabatini DM, Baur JA: </w:t>
      </w:r>
      <w:r w:rsidRPr="00465702">
        <w:rPr>
          <w:rFonts w:ascii="Cambria" w:hAnsi="Cambria"/>
          <w:b/>
          <w:bCs/>
          <w:noProof/>
          <w:sz w:val="24"/>
        </w:rPr>
        <w:t>Rapalogs and mTOR inhibitors as anti-aging therapeutics.</w:t>
      </w:r>
      <w:r w:rsidRPr="00465702">
        <w:rPr>
          <w:rFonts w:ascii="Cambria" w:hAnsi="Cambria"/>
          <w:noProof/>
          <w:sz w:val="24"/>
        </w:rPr>
        <w:t xml:space="preserve"> </w:t>
      </w:r>
      <w:r w:rsidRPr="00465702">
        <w:rPr>
          <w:rFonts w:ascii="Cambria" w:hAnsi="Cambria"/>
          <w:i/>
          <w:iCs/>
          <w:noProof/>
          <w:sz w:val="24"/>
        </w:rPr>
        <w:t>J Clin Invest</w:t>
      </w:r>
      <w:r w:rsidRPr="00465702">
        <w:rPr>
          <w:rFonts w:ascii="Cambria" w:hAnsi="Cambria"/>
          <w:noProof/>
          <w:sz w:val="24"/>
        </w:rPr>
        <w:t xml:space="preserve"> 2013, </w:t>
      </w:r>
      <w:r w:rsidRPr="00465702">
        <w:rPr>
          <w:rFonts w:ascii="Cambria" w:hAnsi="Cambria"/>
          <w:b/>
          <w:bCs/>
          <w:noProof/>
          <w:sz w:val="24"/>
        </w:rPr>
        <w:t>123</w:t>
      </w:r>
      <w:r w:rsidRPr="00465702">
        <w:rPr>
          <w:rFonts w:ascii="Cambria" w:hAnsi="Cambria"/>
          <w:noProof/>
          <w:sz w:val="24"/>
        </w:rPr>
        <w:t>:980–9.</w:t>
      </w:r>
    </w:p>
    <w:p w14:paraId="54EE0846"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6. Zeng M, Zhou J-N: </w:t>
      </w:r>
      <w:r w:rsidRPr="00465702">
        <w:rPr>
          <w:rFonts w:ascii="Cambria" w:hAnsi="Cambria"/>
          <w:b/>
          <w:bCs/>
          <w:noProof/>
          <w:sz w:val="24"/>
        </w:rPr>
        <w:t>Roles of autophagy and mTOR signaling in neuronal differentiation of mouse neuroblastoma cells.</w:t>
      </w:r>
      <w:r w:rsidRPr="00465702">
        <w:rPr>
          <w:rFonts w:ascii="Cambria" w:hAnsi="Cambria"/>
          <w:noProof/>
          <w:sz w:val="24"/>
        </w:rPr>
        <w:t xml:space="preserve"> </w:t>
      </w:r>
      <w:r w:rsidRPr="00465702">
        <w:rPr>
          <w:rFonts w:ascii="Cambria" w:hAnsi="Cambria"/>
          <w:i/>
          <w:iCs/>
          <w:noProof/>
          <w:sz w:val="24"/>
        </w:rPr>
        <w:t>Cell Signal</w:t>
      </w:r>
      <w:r w:rsidRPr="00465702">
        <w:rPr>
          <w:rFonts w:ascii="Cambria" w:hAnsi="Cambria"/>
          <w:noProof/>
          <w:sz w:val="24"/>
        </w:rPr>
        <w:t xml:space="preserve"> 2008, </w:t>
      </w:r>
      <w:r w:rsidRPr="00465702">
        <w:rPr>
          <w:rFonts w:ascii="Cambria" w:hAnsi="Cambria"/>
          <w:b/>
          <w:bCs/>
          <w:noProof/>
          <w:sz w:val="24"/>
        </w:rPr>
        <w:t>20</w:t>
      </w:r>
      <w:r w:rsidRPr="00465702">
        <w:rPr>
          <w:rFonts w:ascii="Cambria" w:hAnsi="Cambria"/>
          <w:noProof/>
          <w:sz w:val="24"/>
        </w:rPr>
        <w:t>:659–65.</w:t>
      </w:r>
    </w:p>
    <w:p w14:paraId="4AC0377A"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7. Tyler WA, Gangoli N, Gokina P, Kim HA, Covey M, Levison SW, Wood TL: </w:t>
      </w:r>
      <w:r w:rsidRPr="00465702">
        <w:rPr>
          <w:rFonts w:ascii="Cambria" w:hAnsi="Cambria"/>
          <w:b/>
          <w:bCs/>
          <w:noProof/>
          <w:sz w:val="24"/>
        </w:rPr>
        <w:t>Activation of the mammalian target of rapamycin (mTOR) is essential for oligodendrocyte differentiation.</w:t>
      </w:r>
      <w:r w:rsidRPr="00465702">
        <w:rPr>
          <w:rFonts w:ascii="Cambria" w:hAnsi="Cambria"/>
          <w:noProof/>
          <w:sz w:val="24"/>
        </w:rPr>
        <w:t xml:space="preserve"> </w:t>
      </w:r>
      <w:r w:rsidRPr="00465702">
        <w:rPr>
          <w:rFonts w:ascii="Cambria" w:hAnsi="Cambria"/>
          <w:i/>
          <w:iCs/>
          <w:noProof/>
          <w:sz w:val="24"/>
        </w:rPr>
        <w:t>J Neurosci</w:t>
      </w:r>
      <w:r w:rsidRPr="00465702">
        <w:rPr>
          <w:rFonts w:ascii="Cambria" w:hAnsi="Cambria"/>
          <w:noProof/>
          <w:sz w:val="24"/>
        </w:rPr>
        <w:t xml:space="preserve"> 2009, </w:t>
      </w:r>
      <w:r w:rsidRPr="00465702">
        <w:rPr>
          <w:rFonts w:ascii="Cambria" w:hAnsi="Cambria"/>
          <w:b/>
          <w:bCs/>
          <w:noProof/>
          <w:sz w:val="24"/>
        </w:rPr>
        <w:t>29</w:t>
      </w:r>
      <w:r w:rsidRPr="00465702">
        <w:rPr>
          <w:rFonts w:ascii="Cambria" w:hAnsi="Cambria"/>
          <w:noProof/>
          <w:sz w:val="24"/>
        </w:rPr>
        <w:t>:6367–78.</w:t>
      </w:r>
    </w:p>
    <w:p w14:paraId="4B1D1930"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8. Zhang HH, Huang J, Düvel K, Boback B, Wu S, Squillace RM, Wu C-L, Manning BD: </w:t>
      </w:r>
      <w:r w:rsidRPr="00465702">
        <w:rPr>
          <w:rFonts w:ascii="Cambria" w:hAnsi="Cambria"/>
          <w:b/>
          <w:bCs/>
          <w:noProof/>
          <w:sz w:val="24"/>
        </w:rPr>
        <w:t>Insulin stimulates adipogenesis through the Akt-TSC2-mTORC1 pathway.</w:t>
      </w:r>
      <w:r w:rsidRPr="00465702">
        <w:rPr>
          <w:rFonts w:ascii="Cambria" w:hAnsi="Cambria"/>
          <w:noProof/>
          <w:sz w:val="24"/>
        </w:rPr>
        <w:t xml:space="preserve"> </w:t>
      </w:r>
      <w:r w:rsidRPr="00465702">
        <w:rPr>
          <w:rFonts w:ascii="Cambria" w:hAnsi="Cambria"/>
          <w:i/>
          <w:iCs/>
          <w:noProof/>
          <w:sz w:val="24"/>
        </w:rPr>
        <w:t>PLoS One</w:t>
      </w:r>
      <w:r w:rsidRPr="00465702">
        <w:rPr>
          <w:rFonts w:ascii="Cambria" w:hAnsi="Cambria"/>
          <w:noProof/>
          <w:sz w:val="24"/>
        </w:rPr>
        <w:t xml:space="preserve"> 2009, </w:t>
      </w:r>
      <w:r w:rsidRPr="00465702">
        <w:rPr>
          <w:rFonts w:ascii="Cambria" w:hAnsi="Cambria"/>
          <w:b/>
          <w:bCs/>
          <w:noProof/>
          <w:sz w:val="24"/>
        </w:rPr>
        <w:t>4</w:t>
      </w:r>
      <w:r w:rsidRPr="00465702">
        <w:rPr>
          <w:rFonts w:ascii="Cambria" w:hAnsi="Cambria"/>
          <w:noProof/>
          <w:sz w:val="24"/>
        </w:rPr>
        <w:t>:e6189.</w:t>
      </w:r>
    </w:p>
    <w:p w14:paraId="365C266C"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9. Cuenda a, Cohen P: </w:t>
      </w:r>
      <w:r w:rsidRPr="00465702">
        <w:rPr>
          <w:rFonts w:ascii="Cambria" w:hAnsi="Cambria"/>
          <w:b/>
          <w:bCs/>
          <w:noProof/>
          <w:sz w:val="24"/>
        </w:rPr>
        <w:t>Stress-activated protein kinase-2/p38 and a rapamycin-sensitive pathway are required for C2C12 myogenesis.</w:t>
      </w:r>
      <w:r w:rsidRPr="00465702">
        <w:rPr>
          <w:rFonts w:ascii="Cambria" w:hAnsi="Cambria"/>
          <w:noProof/>
          <w:sz w:val="24"/>
        </w:rPr>
        <w:t xml:space="preserve"> </w:t>
      </w:r>
      <w:r w:rsidRPr="00465702">
        <w:rPr>
          <w:rFonts w:ascii="Cambria" w:hAnsi="Cambria"/>
          <w:i/>
          <w:iCs/>
          <w:noProof/>
          <w:sz w:val="24"/>
        </w:rPr>
        <w:t>J Biol Chem</w:t>
      </w:r>
      <w:r w:rsidRPr="00465702">
        <w:rPr>
          <w:rFonts w:ascii="Cambria" w:hAnsi="Cambria"/>
          <w:noProof/>
          <w:sz w:val="24"/>
        </w:rPr>
        <w:t xml:space="preserve"> 1999, </w:t>
      </w:r>
      <w:r w:rsidRPr="00465702">
        <w:rPr>
          <w:rFonts w:ascii="Cambria" w:hAnsi="Cambria"/>
          <w:b/>
          <w:bCs/>
          <w:noProof/>
          <w:sz w:val="24"/>
        </w:rPr>
        <w:t>274</w:t>
      </w:r>
      <w:r w:rsidRPr="00465702">
        <w:rPr>
          <w:rFonts w:ascii="Cambria" w:hAnsi="Cambria"/>
          <w:noProof/>
          <w:sz w:val="24"/>
        </w:rPr>
        <w:t>:4341–6.</w:t>
      </w:r>
    </w:p>
    <w:p w14:paraId="083ACAD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10. Shu L, Zhang X, Houghton PJ: </w:t>
      </w:r>
      <w:r w:rsidRPr="00465702">
        <w:rPr>
          <w:rFonts w:ascii="Cambria" w:hAnsi="Cambria"/>
          <w:b/>
          <w:bCs/>
          <w:noProof/>
          <w:sz w:val="24"/>
        </w:rPr>
        <w:t>Myogenic differentiation is dependent on both the kinase function and the N-terminal sequence of mammalian target of rapamycin.</w:t>
      </w:r>
      <w:r w:rsidRPr="00465702">
        <w:rPr>
          <w:rFonts w:ascii="Cambria" w:hAnsi="Cambria"/>
          <w:noProof/>
          <w:sz w:val="24"/>
        </w:rPr>
        <w:t xml:space="preserve"> </w:t>
      </w:r>
      <w:r w:rsidRPr="00465702">
        <w:rPr>
          <w:rFonts w:ascii="Cambria" w:hAnsi="Cambria"/>
          <w:i/>
          <w:iCs/>
          <w:noProof/>
          <w:sz w:val="24"/>
        </w:rPr>
        <w:t>J Biol Chem</w:t>
      </w:r>
      <w:r w:rsidRPr="00465702">
        <w:rPr>
          <w:rFonts w:ascii="Cambria" w:hAnsi="Cambria"/>
          <w:noProof/>
          <w:sz w:val="24"/>
        </w:rPr>
        <w:t xml:space="preserve"> 2002, </w:t>
      </w:r>
      <w:r w:rsidRPr="00465702">
        <w:rPr>
          <w:rFonts w:ascii="Cambria" w:hAnsi="Cambria"/>
          <w:b/>
          <w:bCs/>
          <w:noProof/>
          <w:sz w:val="24"/>
        </w:rPr>
        <w:t>277</w:t>
      </w:r>
      <w:r w:rsidRPr="00465702">
        <w:rPr>
          <w:rFonts w:ascii="Cambria" w:hAnsi="Cambria"/>
          <w:noProof/>
          <w:sz w:val="24"/>
        </w:rPr>
        <w:t>:16726–32.</w:t>
      </w:r>
    </w:p>
    <w:p w14:paraId="52853AA7"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11. Erbay E, Chen J: </w:t>
      </w:r>
      <w:r w:rsidRPr="00465702">
        <w:rPr>
          <w:rFonts w:ascii="Cambria" w:hAnsi="Cambria"/>
          <w:b/>
          <w:bCs/>
          <w:noProof/>
          <w:sz w:val="24"/>
        </w:rPr>
        <w:t>The mammalian target of rapamycin regulates C2C12 myogenesis via a kinase-independent mechanism.</w:t>
      </w:r>
      <w:r w:rsidRPr="00465702">
        <w:rPr>
          <w:rFonts w:ascii="Cambria" w:hAnsi="Cambria"/>
          <w:noProof/>
          <w:sz w:val="24"/>
        </w:rPr>
        <w:t xml:space="preserve"> </w:t>
      </w:r>
      <w:r w:rsidRPr="00465702">
        <w:rPr>
          <w:rFonts w:ascii="Cambria" w:hAnsi="Cambria"/>
          <w:i/>
          <w:iCs/>
          <w:noProof/>
          <w:sz w:val="24"/>
        </w:rPr>
        <w:t>J Biol Chem</w:t>
      </w:r>
      <w:r w:rsidRPr="00465702">
        <w:rPr>
          <w:rFonts w:ascii="Cambria" w:hAnsi="Cambria"/>
          <w:noProof/>
          <w:sz w:val="24"/>
        </w:rPr>
        <w:t xml:space="preserve"> 2001, </w:t>
      </w:r>
      <w:r w:rsidRPr="00465702">
        <w:rPr>
          <w:rFonts w:ascii="Cambria" w:hAnsi="Cambria"/>
          <w:b/>
          <w:bCs/>
          <w:noProof/>
          <w:sz w:val="24"/>
        </w:rPr>
        <w:t>276</w:t>
      </w:r>
      <w:r w:rsidRPr="00465702">
        <w:rPr>
          <w:rFonts w:ascii="Cambria" w:hAnsi="Cambria"/>
          <w:noProof/>
          <w:sz w:val="24"/>
        </w:rPr>
        <w:t>:36079–82.</w:t>
      </w:r>
    </w:p>
    <w:p w14:paraId="5C28059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12. Hentges KE, Sirry B, Gingeras a C, Sarbassov D, Sonenberg N, Sabatini D, Peterson a S: </w:t>
      </w:r>
      <w:r w:rsidRPr="00465702">
        <w:rPr>
          <w:rFonts w:ascii="Cambria" w:hAnsi="Cambria"/>
          <w:b/>
          <w:bCs/>
          <w:noProof/>
          <w:sz w:val="24"/>
        </w:rPr>
        <w:t>FRAP/mTOR is required for proliferation and patterning during embryonic development in the mouse.</w:t>
      </w:r>
      <w:r w:rsidRPr="00465702">
        <w:rPr>
          <w:rFonts w:ascii="Cambria" w:hAnsi="Cambria"/>
          <w:noProof/>
          <w:sz w:val="24"/>
        </w:rPr>
        <w:t xml:space="preserve"> </w:t>
      </w:r>
      <w:r w:rsidRPr="00465702">
        <w:rPr>
          <w:rFonts w:ascii="Cambria" w:hAnsi="Cambria"/>
          <w:i/>
          <w:iCs/>
          <w:noProof/>
          <w:sz w:val="24"/>
        </w:rPr>
        <w:t>Proc Natl Acad Sci U S A</w:t>
      </w:r>
      <w:r w:rsidRPr="00465702">
        <w:rPr>
          <w:rFonts w:ascii="Cambria" w:hAnsi="Cambria"/>
          <w:noProof/>
          <w:sz w:val="24"/>
        </w:rPr>
        <w:t xml:space="preserve"> 2001, </w:t>
      </w:r>
      <w:r w:rsidRPr="00465702">
        <w:rPr>
          <w:rFonts w:ascii="Cambria" w:hAnsi="Cambria"/>
          <w:b/>
          <w:bCs/>
          <w:noProof/>
          <w:sz w:val="24"/>
        </w:rPr>
        <w:t>98</w:t>
      </w:r>
      <w:r w:rsidRPr="00465702">
        <w:rPr>
          <w:rFonts w:ascii="Cambria" w:hAnsi="Cambria"/>
          <w:noProof/>
          <w:sz w:val="24"/>
        </w:rPr>
        <w:t>:13796–801.</w:t>
      </w:r>
    </w:p>
    <w:p w14:paraId="066C35E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13. Guertin DA, Stevens DM, Thoreen CC, Burds AA, Kalaany NY, Moffat J, Brown MSS, Fitzgerald KJ, Sabatini DMM: </w:t>
      </w:r>
      <w:r w:rsidRPr="00465702">
        <w:rPr>
          <w:rFonts w:ascii="Cambria" w:hAnsi="Cambria"/>
          <w:b/>
          <w:bCs/>
          <w:noProof/>
          <w:sz w:val="24"/>
        </w:rPr>
        <w:t>Ablation in mice of the mTORC components raptor, rictor, or mLST8 reveals that mTORC2 is required for signaling to Akt-FOXO and PKCalpha, but not S6K1</w:t>
      </w:r>
      <w:r w:rsidRPr="00465702">
        <w:rPr>
          <w:rFonts w:ascii="Cambria" w:hAnsi="Cambria"/>
          <w:noProof/>
          <w:sz w:val="24"/>
        </w:rPr>
        <w:t xml:space="preserve">. </w:t>
      </w:r>
      <w:r w:rsidRPr="00465702">
        <w:rPr>
          <w:rFonts w:ascii="Cambria" w:hAnsi="Cambria"/>
          <w:i/>
          <w:iCs/>
          <w:noProof/>
          <w:sz w:val="24"/>
        </w:rPr>
        <w:t>Dev Cell</w:t>
      </w:r>
      <w:r w:rsidRPr="00465702">
        <w:rPr>
          <w:rFonts w:ascii="Cambria" w:hAnsi="Cambria"/>
          <w:noProof/>
          <w:sz w:val="24"/>
        </w:rPr>
        <w:t xml:space="preserve"> 2006, </w:t>
      </w:r>
      <w:r w:rsidRPr="00465702">
        <w:rPr>
          <w:rFonts w:ascii="Cambria" w:hAnsi="Cambria"/>
          <w:b/>
          <w:bCs/>
          <w:noProof/>
          <w:sz w:val="24"/>
        </w:rPr>
        <w:t>11</w:t>
      </w:r>
      <w:r w:rsidRPr="00465702">
        <w:rPr>
          <w:rFonts w:ascii="Cambria" w:hAnsi="Cambria"/>
          <w:noProof/>
          <w:sz w:val="24"/>
        </w:rPr>
        <w:t>:859–871.</w:t>
      </w:r>
    </w:p>
    <w:p w14:paraId="005D6911"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14. Gangloff Y, Mueller M, Dann SG, Svoboda P, Sticker M, Spetz J, Um SH, Brown EJ, Cereghini S, Thomas G, Kozma SC: </w:t>
      </w:r>
      <w:r w:rsidRPr="00465702">
        <w:rPr>
          <w:rFonts w:ascii="Cambria" w:hAnsi="Cambria"/>
          <w:b/>
          <w:bCs/>
          <w:noProof/>
          <w:sz w:val="24"/>
        </w:rPr>
        <w:t>Disruption of the mouse mTOR gene leads to early postimplantation lethality and prohibits embryonic stem cell development.</w:t>
      </w:r>
      <w:r w:rsidRPr="00465702">
        <w:rPr>
          <w:rFonts w:ascii="Cambria" w:hAnsi="Cambria"/>
          <w:noProof/>
          <w:sz w:val="24"/>
        </w:rPr>
        <w:t xml:space="preserve"> </w:t>
      </w:r>
      <w:r w:rsidRPr="00465702">
        <w:rPr>
          <w:rFonts w:ascii="Cambria" w:hAnsi="Cambria"/>
          <w:i/>
          <w:iCs/>
          <w:noProof/>
          <w:sz w:val="24"/>
        </w:rPr>
        <w:t>Mol Cell Biol</w:t>
      </w:r>
      <w:r w:rsidRPr="00465702">
        <w:rPr>
          <w:rFonts w:ascii="Cambria" w:hAnsi="Cambria"/>
          <w:noProof/>
          <w:sz w:val="24"/>
        </w:rPr>
        <w:t xml:space="preserve"> 2004, </w:t>
      </w:r>
      <w:r w:rsidRPr="00465702">
        <w:rPr>
          <w:rFonts w:ascii="Cambria" w:hAnsi="Cambria"/>
          <w:b/>
          <w:bCs/>
          <w:noProof/>
          <w:sz w:val="24"/>
        </w:rPr>
        <w:t>24</w:t>
      </w:r>
      <w:r w:rsidRPr="00465702">
        <w:rPr>
          <w:rFonts w:ascii="Cambria" w:hAnsi="Cambria"/>
          <w:noProof/>
          <w:sz w:val="24"/>
        </w:rPr>
        <w:t>:9508–16.</w:t>
      </w:r>
    </w:p>
    <w:p w14:paraId="1A946BD9"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15. Jia K, Chen D, Riddle DL: </w:t>
      </w:r>
      <w:r w:rsidRPr="00465702">
        <w:rPr>
          <w:rFonts w:ascii="Cambria" w:hAnsi="Cambria"/>
          <w:b/>
          <w:bCs/>
          <w:noProof/>
          <w:sz w:val="24"/>
        </w:rPr>
        <w:t>The TOR pathway interacts with the insulin signaling pathway to regulate C. elegans larval development, metabolism and life span.</w:t>
      </w:r>
      <w:r w:rsidRPr="00465702">
        <w:rPr>
          <w:rFonts w:ascii="Cambria" w:hAnsi="Cambria"/>
          <w:noProof/>
          <w:sz w:val="24"/>
        </w:rPr>
        <w:t xml:space="preserve"> </w:t>
      </w:r>
      <w:r w:rsidRPr="00465702">
        <w:rPr>
          <w:rFonts w:ascii="Cambria" w:hAnsi="Cambria"/>
          <w:i/>
          <w:iCs/>
          <w:noProof/>
          <w:sz w:val="24"/>
        </w:rPr>
        <w:t>Development</w:t>
      </w:r>
      <w:r w:rsidRPr="00465702">
        <w:rPr>
          <w:rFonts w:ascii="Cambria" w:hAnsi="Cambria"/>
          <w:noProof/>
          <w:sz w:val="24"/>
        </w:rPr>
        <w:t xml:space="preserve"> 2004, </w:t>
      </w:r>
      <w:r w:rsidRPr="00465702">
        <w:rPr>
          <w:rFonts w:ascii="Cambria" w:hAnsi="Cambria"/>
          <w:b/>
          <w:bCs/>
          <w:noProof/>
          <w:sz w:val="24"/>
        </w:rPr>
        <w:t>131</w:t>
      </w:r>
      <w:r w:rsidRPr="00465702">
        <w:rPr>
          <w:rFonts w:ascii="Cambria" w:hAnsi="Cambria"/>
          <w:noProof/>
          <w:sz w:val="24"/>
        </w:rPr>
        <w:t>:3897–906.</w:t>
      </w:r>
    </w:p>
    <w:p w14:paraId="4AFA1FE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16. Bjedov I, Toivonen JM, Kerr F, Slack C, Jacobson J, Foley A, Partridge L: </w:t>
      </w:r>
      <w:r w:rsidRPr="00465702">
        <w:rPr>
          <w:rFonts w:ascii="Cambria" w:hAnsi="Cambria"/>
          <w:b/>
          <w:bCs/>
          <w:noProof/>
          <w:sz w:val="24"/>
        </w:rPr>
        <w:t>Mechanisms of life span extension by rapamycin in the fruit fly Drosophila melanogaster.</w:t>
      </w:r>
      <w:r w:rsidRPr="00465702">
        <w:rPr>
          <w:rFonts w:ascii="Cambria" w:hAnsi="Cambria"/>
          <w:noProof/>
          <w:sz w:val="24"/>
        </w:rPr>
        <w:t xml:space="preserve"> </w:t>
      </w:r>
      <w:r w:rsidRPr="00465702">
        <w:rPr>
          <w:rFonts w:ascii="Cambria" w:hAnsi="Cambria"/>
          <w:i/>
          <w:iCs/>
          <w:noProof/>
          <w:sz w:val="24"/>
        </w:rPr>
        <w:t>Cell Metab</w:t>
      </w:r>
      <w:r w:rsidRPr="00465702">
        <w:rPr>
          <w:rFonts w:ascii="Cambria" w:hAnsi="Cambria"/>
          <w:noProof/>
          <w:sz w:val="24"/>
        </w:rPr>
        <w:t xml:space="preserve"> 2010, </w:t>
      </w:r>
      <w:r w:rsidRPr="00465702">
        <w:rPr>
          <w:rFonts w:ascii="Cambria" w:hAnsi="Cambria"/>
          <w:b/>
          <w:bCs/>
          <w:noProof/>
          <w:sz w:val="24"/>
        </w:rPr>
        <w:t>11</w:t>
      </w:r>
      <w:r w:rsidRPr="00465702">
        <w:rPr>
          <w:rFonts w:ascii="Cambria" w:hAnsi="Cambria"/>
          <w:noProof/>
          <w:sz w:val="24"/>
        </w:rPr>
        <w:t>:35–46.</w:t>
      </w:r>
    </w:p>
    <w:p w14:paraId="78A7A2D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17. Mauro A: </w:t>
      </w:r>
      <w:r w:rsidRPr="00465702">
        <w:rPr>
          <w:rFonts w:ascii="Cambria" w:hAnsi="Cambria"/>
          <w:b/>
          <w:bCs/>
          <w:noProof/>
          <w:sz w:val="24"/>
        </w:rPr>
        <w:t>Satellite cell of skeletal muscle fibers.</w:t>
      </w:r>
      <w:r w:rsidRPr="00465702">
        <w:rPr>
          <w:rFonts w:ascii="Cambria" w:hAnsi="Cambria"/>
          <w:noProof/>
          <w:sz w:val="24"/>
        </w:rPr>
        <w:t xml:space="preserve"> </w:t>
      </w:r>
      <w:r w:rsidRPr="00465702">
        <w:rPr>
          <w:rFonts w:ascii="Cambria" w:hAnsi="Cambria"/>
          <w:i/>
          <w:iCs/>
          <w:noProof/>
          <w:sz w:val="24"/>
        </w:rPr>
        <w:t>J Biophys Biochem Cytol</w:t>
      </w:r>
      <w:r w:rsidRPr="00465702">
        <w:rPr>
          <w:rFonts w:ascii="Cambria" w:hAnsi="Cambria"/>
          <w:noProof/>
          <w:sz w:val="24"/>
        </w:rPr>
        <w:t xml:space="preserve"> 1961, </w:t>
      </w:r>
      <w:r w:rsidRPr="00465702">
        <w:rPr>
          <w:rFonts w:ascii="Cambria" w:hAnsi="Cambria"/>
          <w:b/>
          <w:bCs/>
          <w:noProof/>
          <w:sz w:val="24"/>
        </w:rPr>
        <w:t>9</w:t>
      </w:r>
      <w:r w:rsidRPr="00465702">
        <w:rPr>
          <w:rFonts w:ascii="Cambria" w:hAnsi="Cambria"/>
          <w:noProof/>
          <w:sz w:val="24"/>
        </w:rPr>
        <w:t>:493–5.</w:t>
      </w:r>
    </w:p>
    <w:p w14:paraId="521FED8C"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18. Collins C a, Olsen I, Zammit PS, Heslop L, Petrie A, Partridge T a, Morgan JE: </w:t>
      </w:r>
      <w:r w:rsidRPr="00465702">
        <w:rPr>
          <w:rFonts w:ascii="Cambria" w:hAnsi="Cambria"/>
          <w:b/>
          <w:bCs/>
          <w:noProof/>
          <w:sz w:val="24"/>
        </w:rPr>
        <w:t>Stem cell function, self-renewal, and behavioral heterogeneity of cells from the adult muscle satellite cell niche.</w:t>
      </w:r>
      <w:r w:rsidRPr="00465702">
        <w:rPr>
          <w:rFonts w:ascii="Cambria" w:hAnsi="Cambria"/>
          <w:noProof/>
          <w:sz w:val="24"/>
        </w:rPr>
        <w:t xml:space="preserve"> </w:t>
      </w:r>
      <w:r w:rsidRPr="00465702">
        <w:rPr>
          <w:rFonts w:ascii="Cambria" w:hAnsi="Cambria"/>
          <w:i/>
          <w:iCs/>
          <w:noProof/>
          <w:sz w:val="24"/>
        </w:rPr>
        <w:t>Cell</w:t>
      </w:r>
      <w:r w:rsidRPr="00465702">
        <w:rPr>
          <w:rFonts w:ascii="Cambria" w:hAnsi="Cambria"/>
          <w:noProof/>
          <w:sz w:val="24"/>
        </w:rPr>
        <w:t xml:space="preserve"> 2005, </w:t>
      </w:r>
      <w:r w:rsidRPr="00465702">
        <w:rPr>
          <w:rFonts w:ascii="Cambria" w:hAnsi="Cambria"/>
          <w:b/>
          <w:bCs/>
          <w:noProof/>
          <w:sz w:val="24"/>
        </w:rPr>
        <w:t>122</w:t>
      </w:r>
      <w:r w:rsidRPr="00465702">
        <w:rPr>
          <w:rFonts w:ascii="Cambria" w:hAnsi="Cambria"/>
          <w:noProof/>
          <w:sz w:val="24"/>
        </w:rPr>
        <w:t>:289–301.</w:t>
      </w:r>
    </w:p>
    <w:p w14:paraId="2DE8F80A"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19. McCarthy JJ, Mula J, Miyazaki M, Erfani R, Garrison K, Farooqui AB, Srikuea R, Lawson BA, Grimes B, Keller C, Van Zant G, Campbell KS, Esser KA, Dupont-Versteegden EE, Peterson CA: </w:t>
      </w:r>
      <w:r w:rsidRPr="00465702">
        <w:rPr>
          <w:rFonts w:ascii="Cambria" w:hAnsi="Cambria"/>
          <w:b/>
          <w:bCs/>
          <w:noProof/>
          <w:sz w:val="24"/>
        </w:rPr>
        <w:t>Effective fiber hypertrophy in satellite cell-depleted skeletal muscle.</w:t>
      </w:r>
      <w:r w:rsidRPr="00465702">
        <w:rPr>
          <w:rFonts w:ascii="Cambria" w:hAnsi="Cambria"/>
          <w:noProof/>
          <w:sz w:val="24"/>
        </w:rPr>
        <w:t xml:space="preserve"> </w:t>
      </w:r>
      <w:r w:rsidRPr="00465702">
        <w:rPr>
          <w:rFonts w:ascii="Cambria" w:hAnsi="Cambria"/>
          <w:i/>
          <w:iCs/>
          <w:noProof/>
          <w:sz w:val="24"/>
        </w:rPr>
        <w:t>Development</w:t>
      </w:r>
      <w:r w:rsidRPr="00465702">
        <w:rPr>
          <w:rFonts w:ascii="Cambria" w:hAnsi="Cambria"/>
          <w:noProof/>
          <w:sz w:val="24"/>
        </w:rPr>
        <w:t xml:space="preserve"> 2011, </w:t>
      </w:r>
      <w:r w:rsidRPr="00465702">
        <w:rPr>
          <w:rFonts w:ascii="Cambria" w:hAnsi="Cambria"/>
          <w:b/>
          <w:bCs/>
          <w:noProof/>
          <w:sz w:val="24"/>
        </w:rPr>
        <w:t>138</w:t>
      </w:r>
      <w:r w:rsidRPr="00465702">
        <w:rPr>
          <w:rFonts w:ascii="Cambria" w:hAnsi="Cambria"/>
          <w:noProof/>
          <w:sz w:val="24"/>
        </w:rPr>
        <w:t>:3657–66.</w:t>
      </w:r>
    </w:p>
    <w:p w14:paraId="5D806BDA"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20. Eng D, Ma H-Y, Gross MK, Kioussi C: </w:t>
      </w:r>
      <w:r w:rsidRPr="00465702">
        <w:rPr>
          <w:rFonts w:ascii="Cambria" w:hAnsi="Cambria"/>
          <w:b/>
          <w:bCs/>
          <w:noProof/>
          <w:sz w:val="24"/>
        </w:rPr>
        <w:t>Gene Networks during Skeletal Myogenesis</w:t>
      </w:r>
      <w:r w:rsidRPr="00465702">
        <w:rPr>
          <w:rFonts w:ascii="Cambria" w:hAnsi="Cambria"/>
          <w:noProof/>
          <w:sz w:val="24"/>
        </w:rPr>
        <w:t xml:space="preserve">. </w:t>
      </w:r>
      <w:r w:rsidRPr="00465702">
        <w:rPr>
          <w:rFonts w:ascii="Cambria" w:hAnsi="Cambria"/>
          <w:i/>
          <w:iCs/>
          <w:noProof/>
          <w:sz w:val="24"/>
        </w:rPr>
        <w:t>ISRN Dev Biol</w:t>
      </w:r>
      <w:r w:rsidRPr="00465702">
        <w:rPr>
          <w:rFonts w:ascii="Cambria" w:hAnsi="Cambria"/>
          <w:noProof/>
          <w:sz w:val="24"/>
        </w:rPr>
        <w:t xml:space="preserve"> 2013, </w:t>
      </w:r>
      <w:r w:rsidRPr="00465702">
        <w:rPr>
          <w:rFonts w:ascii="Cambria" w:hAnsi="Cambria"/>
          <w:b/>
          <w:bCs/>
          <w:noProof/>
          <w:sz w:val="24"/>
        </w:rPr>
        <w:t>2013</w:t>
      </w:r>
      <w:r w:rsidRPr="00465702">
        <w:rPr>
          <w:rFonts w:ascii="Cambria" w:hAnsi="Cambria"/>
          <w:noProof/>
          <w:sz w:val="24"/>
        </w:rPr>
        <w:t>:1–8.</w:t>
      </w:r>
    </w:p>
    <w:p w14:paraId="22B66A55"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21. Ge Y, Chen J: </w:t>
      </w:r>
      <w:r w:rsidRPr="00465702">
        <w:rPr>
          <w:rFonts w:ascii="Cambria" w:hAnsi="Cambria"/>
          <w:b/>
          <w:bCs/>
          <w:noProof/>
          <w:sz w:val="24"/>
        </w:rPr>
        <w:t>Mammalian target of rapamycin (mTOR) signaling network in skeletal myogenesis.</w:t>
      </w:r>
      <w:r w:rsidRPr="00465702">
        <w:rPr>
          <w:rFonts w:ascii="Cambria" w:hAnsi="Cambria"/>
          <w:noProof/>
          <w:sz w:val="24"/>
        </w:rPr>
        <w:t xml:space="preserve"> </w:t>
      </w:r>
      <w:r w:rsidRPr="00465702">
        <w:rPr>
          <w:rFonts w:ascii="Cambria" w:hAnsi="Cambria"/>
          <w:i/>
          <w:iCs/>
          <w:noProof/>
          <w:sz w:val="24"/>
        </w:rPr>
        <w:t>J Biol Chem</w:t>
      </w:r>
      <w:r w:rsidRPr="00465702">
        <w:rPr>
          <w:rFonts w:ascii="Cambria" w:hAnsi="Cambria"/>
          <w:noProof/>
          <w:sz w:val="24"/>
        </w:rPr>
        <w:t xml:space="preserve"> 2012.</w:t>
      </w:r>
    </w:p>
    <w:p w14:paraId="4B19F414"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22. Sun Y, Ge Y, Drnevich J, Zhao Y, Band M, Chen J: </w:t>
      </w:r>
      <w:r w:rsidRPr="00465702">
        <w:rPr>
          <w:rFonts w:ascii="Cambria" w:hAnsi="Cambria"/>
          <w:b/>
          <w:bCs/>
          <w:noProof/>
          <w:sz w:val="24"/>
        </w:rPr>
        <w:t>Mammalian target of rapamycin regulates miRNA-1 and follistatin in skeletal myogenesis.</w:t>
      </w:r>
      <w:r w:rsidRPr="00465702">
        <w:rPr>
          <w:rFonts w:ascii="Cambria" w:hAnsi="Cambria"/>
          <w:noProof/>
          <w:sz w:val="24"/>
        </w:rPr>
        <w:t xml:space="preserve"> </w:t>
      </w:r>
      <w:r w:rsidRPr="00465702">
        <w:rPr>
          <w:rFonts w:ascii="Cambria" w:hAnsi="Cambria"/>
          <w:i/>
          <w:iCs/>
          <w:noProof/>
          <w:sz w:val="24"/>
        </w:rPr>
        <w:t>J Cell Biol</w:t>
      </w:r>
      <w:r w:rsidRPr="00465702">
        <w:rPr>
          <w:rFonts w:ascii="Cambria" w:hAnsi="Cambria"/>
          <w:noProof/>
          <w:sz w:val="24"/>
        </w:rPr>
        <w:t xml:space="preserve"> 2010, </w:t>
      </w:r>
      <w:r w:rsidRPr="00465702">
        <w:rPr>
          <w:rFonts w:ascii="Cambria" w:hAnsi="Cambria"/>
          <w:b/>
          <w:bCs/>
          <w:noProof/>
          <w:sz w:val="24"/>
        </w:rPr>
        <w:t>189</w:t>
      </w:r>
      <w:r w:rsidRPr="00465702">
        <w:rPr>
          <w:rFonts w:ascii="Cambria" w:hAnsi="Cambria"/>
          <w:noProof/>
          <w:sz w:val="24"/>
        </w:rPr>
        <w:t>:1157–69.</w:t>
      </w:r>
    </w:p>
    <w:p w14:paraId="3DB57BC2"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23. R Core Team: </w:t>
      </w:r>
      <w:r w:rsidRPr="00465702">
        <w:rPr>
          <w:rFonts w:ascii="Cambria" w:hAnsi="Cambria"/>
          <w:b/>
          <w:bCs/>
          <w:noProof/>
          <w:sz w:val="24"/>
        </w:rPr>
        <w:t>R: A Language and Environment for Statistical Computing</w:t>
      </w:r>
      <w:r w:rsidRPr="00465702">
        <w:rPr>
          <w:rFonts w:ascii="Cambria" w:hAnsi="Cambria"/>
          <w:noProof/>
          <w:sz w:val="24"/>
        </w:rPr>
        <w:t>. 2013.</w:t>
      </w:r>
    </w:p>
    <w:p w14:paraId="765988CE"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24. Fox J, Weisberg S: </w:t>
      </w:r>
      <w:r w:rsidRPr="00465702">
        <w:rPr>
          <w:rFonts w:ascii="Cambria" w:hAnsi="Cambria"/>
          <w:i/>
          <w:iCs/>
          <w:noProof/>
          <w:sz w:val="24"/>
        </w:rPr>
        <w:t>An {R} Companion to Applied Regression</w:t>
      </w:r>
      <w:r w:rsidRPr="00465702">
        <w:rPr>
          <w:rFonts w:ascii="Cambria" w:hAnsi="Cambria"/>
          <w:noProof/>
          <w:sz w:val="24"/>
        </w:rPr>
        <w:t>. Second. Thousand Oaks {CA}: Sage; 2011.</w:t>
      </w:r>
    </w:p>
    <w:p w14:paraId="63E2440A"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25. Benjamini Y, Hochberg Y: </w:t>
      </w:r>
      <w:r w:rsidRPr="00465702">
        <w:rPr>
          <w:rFonts w:ascii="Cambria" w:hAnsi="Cambria"/>
          <w:b/>
          <w:bCs/>
          <w:noProof/>
          <w:sz w:val="24"/>
        </w:rPr>
        <w:t>Controlling the False Discovery Rate: A Practical and Powerful Approach to Multiple Testing</w:t>
      </w:r>
      <w:r w:rsidRPr="00465702">
        <w:rPr>
          <w:rFonts w:ascii="Cambria" w:hAnsi="Cambria"/>
          <w:noProof/>
          <w:sz w:val="24"/>
        </w:rPr>
        <w:t xml:space="preserve">. </w:t>
      </w:r>
      <w:r w:rsidRPr="00465702">
        <w:rPr>
          <w:rFonts w:ascii="Cambria" w:hAnsi="Cambria"/>
          <w:i/>
          <w:iCs/>
          <w:noProof/>
          <w:sz w:val="24"/>
        </w:rPr>
        <w:t>J R Stat Soc Ser B</w:t>
      </w:r>
      <w:r w:rsidRPr="00465702">
        <w:rPr>
          <w:rFonts w:ascii="Cambria" w:hAnsi="Cambria"/>
          <w:noProof/>
          <w:sz w:val="24"/>
        </w:rPr>
        <w:t xml:space="preserve"> 1995, </w:t>
      </w:r>
      <w:r w:rsidRPr="00465702">
        <w:rPr>
          <w:rFonts w:ascii="Cambria" w:hAnsi="Cambria"/>
          <w:b/>
          <w:bCs/>
          <w:noProof/>
          <w:sz w:val="24"/>
        </w:rPr>
        <w:t>57</w:t>
      </w:r>
      <w:r w:rsidRPr="00465702">
        <w:rPr>
          <w:rFonts w:ascii="Cambria" w:hAnsi="Cambria"/>
          <w:noProof/>
          <w:sz w:val="24"/>
        </w:rPr>
        <w:t>:289–300.</w:t>
      </w:r>
    </w:p>
    <w:p w14:paraId="7A59218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26. Berkes C a, Tapscott SJ: </w:t>
      </w:r>
      <w:r w:rsidRPr="00465702">
        <w:rPr>
          <w:rFonts w:ascii="Cambria" w:hAnsi="Cambria"/>
          <w:b/>
          <w:bCs/>
          <w:noProof/>
          <w:sz w:val="24"/>
        </w:rPr>
        <w:t>MyoD and the transcriptional control of myogenesis.</w:t>
      </w:r>
      <w:r w:rsidRPr="00465702">
        <w:rPr>
          <w:rFonts w:ascii="Cambria" w:hAnsi="Cambria"/>
          <w:noProof/>
          <w:sz w:val="24"/>
        </w:rPr>
        <w:t xml:space="preserve"> </w:t>
      </w:r>
      <w:r w:rsidRPr="00465702">
        <w:rPr>
          <w:rFonts w:ascii="Cambria" w:hAnsi="Cambria"/>
          <w:i/>
          <w:iCs/>
          <w:noProof/>
          <w:sz w:val="24"/>
        </w:rPr>
        <w:t>Semin Cell Dev Biol</w:t>
      </w:r>
      <w:r w:rsidRPr="00465702">
        <w:rPr>
          <w:rFonts w:ascii="Cambria" w:hAnsi="Cambria"/>
          <w:noProof/>
          <w:sz w:val="24"/>
        </w:rPr>
        <w:t xml:space="preserve"> 2005, </w:t>
      </w:r>
      <w:r w:rsidRPr="00465702">
        <w:rPr>
          <w:rFonts w:ascii="Cambria" w:hAnsi="Cambria"/>
          <w:b/>
          <w:bCs/>
          <w:noProof/>
          <w:sz w:val="24"/>
        </w:rPr>
        <w:t>16</w:t>
      </w:r>
      <w:r w:rsidRPr="00465702">
        <w:rPr>
          <w:rFonts w:ascii="Cambria" w:hAnsi="Cambria"/>
          <w:noProof/>
          <w:sz w:val="24"/>
        </w:rPr>
        <w:t>:585–95.</w:t>
      </w:r>
    </w:p>
    <w:p w14:paraId="486909F8"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27. Rogerson PJ, Jamali M, Skerjanc IS: </w:t>
      </w:r>
      <w:r w:rsidRPr="00465702">
        <w:rPr>
          <w:rFonts w:ascii="Cambria" w:hAnsi="Cambria"/>
          <w:b/>
          <w:bCs/>
          <w:noProof/>
          <w:sz w:val="24"/>
        </w:rPr>
        <w:t>The C-terminus of myogenin, but not MyoD, targets upregulation of MEF2C expression.</w:t>
      </w:r>
      <w:r w:rsidRPr="00465702">
        <w:rPr>
          <w:rFonts w:ascii="Cambria" w:hAnsi="Cambria"/>
          <w:noProof/>
          <w:sz w:val="24"/>
        </w:rPr>
        <w:t xml:space="preserve"> </w:t>
      </w:r>
      <w:r w:rsidRPr="00465702">
        <w:rPr>
          <w:rFonts w:ascii="Cambria" w:hAnsi="Cambria"/>
          <w:i/>
          <w:iCs/>
          <w:noProof/>
          <w:sz w:val="24"/>
        </w:rPr>
        <w:t>FEBS Lett</w:t>
      </w:r>
      <w:r w:rsidRPr="00465702">
        <w:rPr>
          <w:rFonts w:ascii="Cambria" w:hAnsi="Cambria"/>
          <w:noProof/>
          <w:sz w:val="24"/>
        </w:rPr>
        <w:t xml:space="preserve"> 2002, </w:t>
      </w:r>
      <w:r w:rsidRPr="00465702">
        <w:rPr>
          <w:rFonts w:ascii="Cambria" w:hAnsi="Cambria"/>
          <w:b/>
          <w:bCs/>
          <w:noProof/>
          <w:sz w:val="24"/>
        </w:rPr>
        <w:t>524</w:t>
      </w:r>
      <w:r w:rsidRPr="00465702">
        <w:rPr>
          <w:rFonts w:ascii="Cambria" w:hAnsi="Cambria"/>
          <w:noProof/>
          <w:sz w:val="24"/>
        </w:rPr>
        <w:t>:134–8.</w:t>
      </w:r>
    </w:p>
    <w:p w14:paraId="00B050BB"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28. Murakami M, Ichisaka T, Maeda M, Oshiro N, Hara K, Edenhofer F, Kiyama H, Yonezawa K, Yamanaka S: </w:t>
      </w:r>
      <w:r w:rsidRPr="00465702">
        <w:rPr>
          <w:rFonts w:ascii="Cambria" w:hAnsi="Cambria"/>
          <w:b/>
          <w:bCs/>
          <w:noProof/>
          <w:sz w:val="24"/>
        </w:rPr>
        <w:t>mTOR is essential for growth and proliferation in early mouse embryos and embryonic stem cells.</w:t>
      </w:r>
      <w:r w:rsidRPr="00465702">
        <w:rPr>
          <w:rFonts w:ascii="Cambria" w:hAnsi="Cambria"/>
          <w:noProof/>
          <w:sz w:val="24"/>
        </w:rPr>
        <w:t xml:space="preserve"> </w:t>
      </w:r>
      <w:r w:rsidRPr="00465702">
        <w:rPr>
          <w:rFonts w:ascii="Cambria" w:hAnsi="Cambria"/>
          <w:i/>
          <w:iCs/>
          <w:noProof/>
          <w:sz w:val="24"/>
        </w:rPr>
        <w:t>Mol Cell Biol</w:t>
      </w:r>
      <w:r w:rsidRPr="00465702">
        <w:rPr>
          <w:rFonts w:ascii="Cambria" w:hAnsi="Cambria"/>
          <w:noProof/>
          <w:sz w:val="24"/>
        </w:rPr>
        <w:t xml:space="preserve"> 2004, </w:t>
      </w:r>
      <w:r w:rsidRPr="00465702">
        <w:rPr>
          <w:rFonts w:ascii="Cambria" w:hAnsi="Cambria"/>
          <w:b/>
          <w:bCs/>
          <w:noProof/>
          <w:sz w:val="24"/>
        </w:rPr>
        <w:t>24</w:t>
      </w:r>
      <w:r w:rsidRPr="00465702">
        <w:rPr>
          <w:rFonts w:ascii="Cambria" w:hAnsi="Cambria"/>
          <w:noProof/>
          <w:sz w:val="24"/>
        </w:rPr>
        <w:t>:6710–8.</w:t>
      </w:r>
    </w:p>
    <w:p w14:paraId="0715BD0D"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29. Duffy JB: </w:t>
      </w:r>
      <w:r w:rsidRPr="00465702">
        <w:rPr>
          <w:rFonts w:ascii="Cambria" w:hAnsi="Cambria"/>
          <w:b/>
          <w:bCs/>
          <w:noProof/>
          <w:sz w:val="24"/>
        </w:rPr>
        <w:t>GAL4 system in Drosophila: a fly geneticist’s Swiss army knife.</w:t>
      </w:r>
      <w:r w:rsidRPr="00465702">
        <w:rPr>
          <w:rFonts w:ascii="Cambria" w:hAnsi="Cambria"/>
          <w:noProof/>
          <w:sz w:val="24"/>
        </w:rPr>
        <w:t xml:space="preserve"> </w:t>
      </w:r>
      <w:r w:rsidRPr="00465702">
        <w:rPr>
          <w:rFonts w:ascii="Cambria" w:hAnsi="Cambria"/>
          <w:i/>
          <w:iCs/>
          <w:noProof/>
          <w:sz w:val="24"/>
        </w:rPr>
        <w:t>Genesis</w:t>
      </w:r>
      <w:r w:rsidRPr="00465702">
        <w:rPr>
          <w:rFonts w:ascii="Cambria" w:hAnsi="Cambria"/>
          <w:noProof/>
          <w:sz w:val="24"/>
        </w:rPr>
        <w:t xml:space="preserve"> 2002, </w:t>
      </w:r>
      <w:r w:rsidRPr="00465702">
        <w:rPr>
          <w:rFonts w:ascii="Cambria" w:hAnsi="Cambria"/>
          <w:b/>
          <w:bCs/>
          <w:noProof/>
          <w:sz w:val="24"/>
        </w:rPr>
        <w:t>34</w:t>
      </w:r>
      <w:r w:rsidRPr="00465702">
        <w:rPr>
          <w:rFonts w:ascii="Cambria" w:hAnsi="Cambria"/>
          <w:noProof/>
          <w:sz w:val="24"/>
        </w:rPr>
        <w:t>:1–15.</w:t>
      </w:r>
    </w:p>
    <w:p w14:paraId="68024827"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30. Bentzinger CF, Romanino K, Cloëtta D, Lin S, Mascarenhas JB, Oliveri F, Xia J, Casanova E, Costa CF, Brink M, Zorzato F, Hall MN, Rüegg MA: </w:t>
      </w:r>
      <w:r w:rsidRPr="00465702">
        <w:rPr>
          <w:rFonts w:ascii="Cambria" w:hAnsi="Cambria"/>
          <w:b/>
          <w:bCs/>
          <w:noProof/>
          <w:sz w:val="24"/>
        </w:rPr>
        <w:t>Skeletal muscle-specific ablation of raptor, but not of rictor, causes metabolic changes and results in muscle dystrophy.</w:t>
      </w:r>
      <w:r w:rsidRPr="00465702">
        <w:rPr>
          <w:rFonts w:ascii="Cambria" w:hAnsi="Cambria"/>
          <w:noProof/>
          <w:sz w:val="24"/>
        </w:rPr>
        <w:t xml:space="preserve"> </w:t>
      </w:r>
      <w:r w:rsidRPr="00465702">
        <w:rPr>
          <w:rFonts w:ascii="Cambria" w:hAnsi="Cambria"/>
          <w:i/>
          <w:iCs/>
          <w:noProof/>
          <w:sz w:val="24"/>
        </w:rPr>
        <w:t>Cell Metab</w:t>
      </w:r>
      <w:r w:rsidRPr="00465702">
        <w:rPr>
          <w:rFonts w:ascii="Cambria" w:hAnsi="Cambria"/>
          <w:noProof/>
          <w:sz w:val="24"/>
        </w:rPr>
        <w:t xml:space="preserve"> 2008, </w:t>
      </w:r>
      <w:r w:rsidRPr="00465702">
        <w:rPr>
          <w:rFonts w:ascii="Cambria" w:hAnsi="Cambria"/>
          <w:b/>
          <w:bCs/>
          <w:noProof/>
          <w:sz w:val="24"/>
        </w:rPr>
        <w:t>8</w:t>
      </w:r>
      <w:r w:rsidRPr="00465702">
        <w:rPr>
          <w:rFonts w:ascii="Cambria" w:hAnsi="Cambria"/>
          <w:noProof/>
          <w:sz w:val="24"/>
        </w:rPr>
        <w:t>:411–24.</w:t>
      </w:r>
    </w:p>
    <w:p w14:paraId="3A9700DC" w14:textId="77777777" w:rsidR="00465702" w:rsidRPr="00465702" w:rsidRDefault="00465702">
      <w:pPr>
        <w:pStyle w:val="NormalWeb"/>
        <w:divId w:val="2145077811"/>
        <w:rPr>
          <w:rFonts w:ascii="Cambria" w:hAnsi="Cambria"/>
          <w:noProof/>
          <w:sz w:val="24"/>
        </w:rPr>
      </w:pPr>
      <w:r w:rsidRPr="00465702">
        <w:rPr>
          <w:rFonts w:ascii="Cambria" w:hAnsi="Cambria"/>
          <w:noProof/>
          <w:sz w:val="24"/>
        </w:rPr>
        <w:t xml:space="preserve">31. Bentzinger CF, Lin S, Romanino K, Castets P, Guridi M, Summermatter S, Handschin C, Tintignac L a, Hall MN, Rüegg M a: </w:t>
      </w:r>
      <w:r w:rsidRPr="00465702">
        <w:rPr>
          <w:rFonts w:ascii="Cambria" w:hAnsi="Cambria"/>
          <w:b/>
          <w:bCs/>
          <w:noProof/>
          <w:sz w:val="24"/>
        </w:rPr>
        <w:t>Differential response of skeletal muscles to mTORC1 signaling during atrophy and hypertrophy.</w:t>
      </w:r>
      <w:r w:rsidRPr="00465702">
        <w:rPr>
          <w:rFonts w:ascii="Cambria" w:hAnsi="Cambria"/>
          <w:noProof/>
          <w:sz w:val="24"/>
        </w:rPr>
        <w:t xml:space="preserve"> </w:t>
      </w:r>
      <w:r w:rsidRPr="00465702">
        <w:rPr>
          <w:rFonts w:ascii="Cambria" w:hAnsi="Cambria"/>
          <w:i/>
          <w:iCs/>
          <w:noProof/>
          <w:sz w:val="24"/>
        </w:rPr>
        <w:t>Skelet Muscle</w:t>
      </w:r>
      <w:r w:rsidRPr="00465702">
        <w:rPr>
          <w:rFonts w:ascii="Cambria" w:hAnsi="Cambria"/>
          <w:noProof/>
          <w:sz w:val="24"/>
        </w:rPr>
        <w:t xml:space="preserve"> 2013, </w:t>
      </w:r>
      <w:r w:rsidRPr="00465702">
        <w:rPr>
          <w:rFonts w:ascii="Cambria" w:hAnsi="Cambria"/>
          <w:b/>
          <w:bCs/>
          <w:noProof/>
          <w:sz w:val="24"/>
        </w:rPr>
        <w:t>3</w:t>
      </w:r>
      <w:r w:rsidRPr="00465702">
        <w:rPr>
          <w:rFonts w:ascii="Cambria" w:hAnsi="Cambria"/>
          <w:noProof/>
          <w:sz w:val="24"/>
        </w:rPr>
        <w:t xml:space="preserve">:6. </w:t>
      </w:r>
    </w:p>
    <w:p w14:paraId="41FF71FC" w14:textId="2D97DE70" w:rsidR="00234C0A" w:rsidRPr="008C6740" w:rsidRDefault="00D07587" w:rsidP="00465702">
      <w:pPr>
        <w:pStyle w:val="NormalWeb"/>
        <w:divId w:val="1260716834"/>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1A0A6E88" w14:textId="177A274D" w:rsidR="008B5CF0" w:rsidRDefault="008B5CF0" w:rsidP="00DD6A3B">
      <w:pPr>
        <w:pStyle w:val="Heading1"/>
      </w:pPr>
      <w:r>
        <w:t>Table Legends</w:t>
      </w:r>
    </w:p>
    <w:p w14:paraId="6CAE2BA7" w14:textId="77777777" w:rsidR="008B5CF0" w:rsidRPr="008B5CF0" w:rsidRDefault="008B5CF0" w:rsidP="008B5CF0"/>
    <w:p w14:paraId="2016AED6" w14:textId="625F9F11" w:rsidR="00434223" w:rsidRPr="00434223" w:rsidRDefault="00434223" w:rsidP="008B5CF0">
      <w:pPr>
        <w:rPr>
          <w:rFonts w:cs="Times"/>
        </w:rPr>
      </w:pPr>
      <w:commentRangeStart w:id="5"/>
      <w:r>
        <w:rPr>
          <w:rFonts w:cs="Times"/>
          <w:b/>
        </w:rPr>
        <w:t xml:space="preserve">Table 1: </w:t>
      </w:r>
      <w:r>
        <w:rPr>
          <w:rFonts w:cs="Times"/>
        </w:rPr>
        <w:t>Fly stocks used in this study.</w:t>
      </w:r>
      <w:commentRangeEnd w:id="5"/>
      <w:r w:rsidR="00E822AA">
        <w:rPr>
          <w:rStyle w:val="CommentReference"/>
        </w:rPr>
        <w:commentReference w:id="5"/>
      </w:r>
    </w:p>
    <w:p w14:paraId="4283EC5B" w14:textId="77777777" w:rsidR="00A52511" w:rsidRDefault="00A52511" w:rsidP="008B5CF0">
      <w:pPr>
        <w:rPr>
          <w:rFonts w:cs="Times"/>
          <w:b/>
        </w:rPr>
      </w:pPr>
    </w:p>
    <w:p w14:paraId="44427377" w14:textId="4918410A" w:rsidR="008B5CF0" w:rsidRPr="003E4F67" w:rsidRDefault="00434223" w:rsidP="008B5CF0">
      <w:pPr>
        <w:rPr>
          <w:rFonts w:cs="Times"/>
        </w:rPr>
      </w:pPr>
      <w:r>
        <w:rPr>
          <w:rFonts w:cs="Times"/>
          <w:b/>
        </w:rPr>
        <w:t>Table 2</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bookmarkStart w:id="6" w:name="_GoBack"/>
      <w:bookmarkEnd w:id="6"/>
    </w:p>
    <w:p w14:paraId="1D3F10F4" w14:textId="77777777" w:rsidR="008B5CF0" w:rsidRPr="008B5CF0" w:rsidRDefault="008B5CF0" w:rsidP="008B5CF0"/>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188455A8" w14:textId="78086697" w:rsidR="00E56C2A" w:rsidRPr="001F7903" w:rsidRDefault="00E56C2A" w:rsidP="00E56C2A">
      <w:pPr>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 B) Differences in differentation marker transcripts when treate</w:t>
      </w:r>
      <w:r w:rsidR="008B5CF0">
        <w:rPr>
          <w:noProof/>
        </w:rPr>
        <w:t>d with DMSO (vehicle) or 500nM</w:t>
      </w:r>
      <w:r w:rsidRPr="00E56C2A">
        <w:rPr>
          <w:noProof/>
        </w:rPr>
        <w:t xml:space="preserve"> rapamycin for 9 days. Transcripts from both A) and B) were measured by RT-qPCR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p>
    <w:p w14:paraId="44D2A218" w14:textId="65221538" w:rsidR="00474711" w:rsidRPr="003E4F67" w:rsidRDefault="00474711" w:rsidP="00C920F1">
      <w:pPr>
        <w:rPr>
          <w:noProof/>
        </w:rPr>
      </w:pPr>
    </w:p>
    <w:p w14:paraId="497BC1B3" w14:textId="77777777" w:rsidR="00474711" w:rsidRPr="003E4F67" w:rsidRDefault="00474711" w:rsidP="00C920F1">
      <w:pPr>
        <w:rPr>
          <w:noProof/>
        </w:rPr>
      </w:pPr>
    </w:p>
    <w:p w14:paraId="4A7E2386" w14:textId="34D86216"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5DCD0850"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393AB6D7" w14:textId="77777777" w:rsidR="00A8530A" w:rsidRPr="003E4F67" w:rsidRDefault="00A8530A" w:rsidP="00A8530A">
      <w:pPr>
        <w:rPr>
          <w:rFonts w:cs="Times"/>
        </w:rPr>
      </w:pPr>
      <w:r w:rsidRPr="00A8530A">
        <w:rPr>
          <w:rFonts w:cs="Times"/>
          <w:b/>
        </w:rPr>
        <w:t xml:space="preserve">Figure 4. </w:t>
      </w:r>
      <w:proofErr w:type="gramStart"/>
      <w:r w:rsidRPr="00A8530A">
        <w:rPr>
          <w:rFonts w:cs="Times"/>
          <w:b/>
        </w:rPr>
        <w:t xml:space="preserve">Lifespan of </w:t>
      </w:r>
      <w:r w:rsidRPr="00660F67">
        <w:rPr>
          <w:rFonts w:cs="Times"/>
          <w:b/>
          <w:i/>
        </w:rPr>
        <w:t>C179-GAL4</w:t>
      </w:r>
      <w:r w:rsidRPr="00A8530A">
        <w:rPr>
          <w:rFonts w:cs="Times"/>
          <w:b/>
        </w:rPr>
        <w:t xml:space="preserve"> Driven Raptor Knockout Flies.</w:t>
      </w:r>
      <w:proofErr w:type="gramEnd"/>
      <w:r w:rsidRPr="00A8530A">
        <w:rPr>
          <w:rFonts w:cs="Times"/>
          <w:b/>
        </w:rPr>
        <w:t xml:space="preserve">  </w:t>
      </w:r>
      <w:r>
        <w:rPr>
          <w:rFonts w:cs="Times"/>
        </w:rPr>
        <w:t xml:space="preserve">Dashed lines indicate two control strains.  Each panel shows a control of C179-GAL4 crossed to the control </w:t>
      </w:r>
      <w:proofErr w:type="spellStart"/>
      <w:r>
        <w:rPr>
          <w:rFonts w:cs="Times"/>
        </w:rPr>
        <w:t>shRNA</w:t>
      </w:r>
      <w:proofErr w:type="spellEnd"/>
      <w:r>
        <w:rPr>
          <w:rFonts w:cs="Times"/>
        </w:rPr>
        <w:t xml:space="preserve"> strain, as well as the balancer containing progeny of the C179-GAL4 homozygotes crossed to the heterozygous UAS-</w:t>
      </w:r>
      <w:r w:rsidRPr="00A8530A">
        <w:rPr>
          <w:rFonts w:cs="Times"/>
          <w:i/>
        </w:rPr>
        <w:t>Raptor</w:t>
      </w:r>
      <w:r>
        <w:rPr>
          <w:rFonts w:cs="Times"/>
        </w:rPr>
        <w:t xml:space="preserve"> </w:t>
      </w:r>
      <w:proofErr w:type="spellStart"/>
      <w:r>
        <w:rPr>
          <w:rFonts w:cs="Times"/>
        </w:rPr>
        <w:t>shRNA</w:t>
      </w:r>
      <w:proofErr w:type="spellEnd"/>
      <w:r>
        <w:rPr>
          <w:rFonts w:cs="Times"/>
        </w:rPr>
        <w:t>/</w:t>
      </w:r>
      <w:proofErr w:type="gramStart"/>
      <w:r>
        <w:rPr>
          <w:rFonts w:cs="Times"/>
        </w:rPr>
        <w:t xml:space="preserve">Tm6B </w:t>
      </w:r>
      <w:r w:rsidRPr="003E4F67">
        <w:rPr>
          <w:rFonts w:cs="Times"/>
        </w:rPr>
        <w:t xml:space="preserve"> strain</w:t>
      </w:r>
      <w:r>
        <w:rPr>
          <w:rFonts w:cs="Times"/>
        </w:rPr>
        <w:t>s</w:t>
      </w:r>
      <w:proofErr w:type="gramEnd"/>
      <w:r w:rsidRPr="003E4F67">
        <w:rPr>
          <w:rFonts w:cs="Times"/>
        </w:rPr>
        <w:t>.</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09CFCDEC" w:rsidR="00912E8F" w:rsidRPr="003E4F67" w:rsidRDefault="00912E8F" w:rsidP="00912E8F">
      <w:pPr>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7-28T14:23:00Z" w:initials="DB">
    <w:p w14:paraId="0900FF19" w14:textId="44675D92" w:rsidR="00263B29" w:rsidRDefault="00263B29">
      <w:pPr>
        <w:pStyle w:val="CommentText"/>
      </w:pPr>
      <w:r>
        <w:rPr>
          <w:rStyle w:val="CommentReference"/>
        </w:rPr>
        <w:annotationRef/>
      </w:r>
      <w:r>
        <w:t>Larry – need reference</w:t>
      </w:r>
    </w:p>
  </w:comment>
  <w:comment w:id="1" w:author="Dave Bridges" w:date="2014-07-28T17:03:00Z" w:initials="DB">
    <w:p w14:paraId="0A96CFE7" w14:textId="3A7EB269" w:rsidR="00263B29" w:rsidRDefault="00263B29">
      <w:pPr>
        <w:pStyle w:val="CommentText"/>
      </w:pPr>
      <w:r>
        <w:rPr>
          <w:rStyle w:val="CommentReference"/>
        </w:rPr>
        <w:annotationRef/>
      </w:r>
      <w:r>
        <w:t>Innocence, I need this p-value</w:t>
      </w:r>
    </w:p>
  </w:comment>
  <w:comment w:id="2" w:author="Dave Bridges" w:date="2014-06-24T12:12:00Z" w:initials="DB">
    <w:p w14:paraId="57FE5732" w14:textId="370A191E" w:rsidR="00263B29" w:rsidRDefault="00263B29">
      <w:pPr>
        <w:pStyle w:val="CommentText"/>
      </w:pPr>
      <w:r>
        <w:rPr>
          <w:rStyle w:val="CommentReference"/>
        </w:rPr>
        <w:annotationRef/>
      </w:r>
      <w:r>
        <w:t>Larry, do you think a schematic of the crosses for each figure would help, or people will be able to follow along?</w:t>
      </w:r>
    </w:p>
  </w:comment>
  <w:comment w:id="3" w:author="Dave Bridges" w:date="2014-07-28T15:00:00Z" w:initials="DB">
    <w:p w14:paraId="60EE095C" w14:textId="24C21368" w:rsidR="00263B29" w:rsidRDefault="00263B29">
      <w:pPr>
        <w:pStyle w:val="CommentText"/>
      </w:pPr>
      <w:r>
        <w:rPr>
          <w:rStyle w:val="CommentReference"/>
        </w:rPr>
        <w:annotationRef/>
      </w:r>
      <w:r>
        <w:t>Maybe mention gender, stronger effect on males than females</w:t>
      </w:r>
    </w:p>
  </w:comment>
  <w:comment w:id="4" w:author="Dave Bridges" w:date="2014-05-07T08:47:00Z" w:initials="DB">
    <w:p w14:paraId="339065ED" w14:textId="1B50010F" w:rsidR="00263B29" w:rsidRDefault="00263B29">
      <w:pPr>
        <w:pStyle w:val="CommentText"/>
      </w:pPr>
      <w:r>
        <w:rPr>
          <w:rStyle w:val="CommentReference"/>
        </w:rPr>
        <w:annotationRef/>
      </w:r>
      <w:r>
        <w:t>Larry can you put whatever grant you want to include</w:t>
      </w:r>
    </w:p>
  </w:comment>
  <w:comment w:id="5" w:author="Dave Bridges" w:date="2014-07-29T15:01:00Z" w:initials="DB">
    <w:p w14:paraId="08D097D3" w14:textId="521BED08" w:rsidR="00E822AA" w:rsidRDefault="00E822AA">
      <w:pPr>
        <w:pStyle w:val="CommentText"/>
      </w:pPr>
      <w:r>
        <w:rPr>
          <w:rStyle w:val="CommentReference"/>
        </w:rPr>
        <w:annotationRef/>
      </w:r>
      <w:r>
        <w:t>Larry is it customary to include genotypes and references in these tables?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46A74"/>
    <w:rsid w:val="00052987"/>
    <w:rsid w:val="00061E90"/>
    <w:rsid w:val="000B3301"/>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B0D"/>
    <w:rsid w:val="001C5E50"/>
    <w:rsid w:val="001F289E"/>
    <w:rsid w:val="00222D22"/>
    <w:rsid w:val="00234C0A"/>
    <w:rsid w:val="00263B29"/>
    <w:rsid w:val="00267136"/>
    <w:rsid w:val="00272846"/>
    <w:rsid w:val="002754B1"/>
    <w:rsid w:val="00296E19"/>
    <w:rsid w:val="002A13D8"/>
    <w:rsid w:val="002A5C22"/>
    <w:rsid w:val="002B1207"/>
    <w:rsid w:val="002D6048"/>
    <w:rsid w:val="002E57BF"/>
    <w:rsid w:val="0033192B"/>
    <w:rsid w:val="00335C71"/>
    <w:rsid w:val="00340AA3"/>
    <w:rsid w:val="00357F77"/>
    <w:rsid w:val="00364075"/>
    <w:rsid w:val="003937DA"/>
    <w:rsid w:val="003C09B8"/>
    <w:rsid w:val="003D6BD1"/>
    <w:rsid w:val="003E4F67"/>
    <w:rsid w:val="0040324E"/>
    <w:rsid w:val="00407AC6"/>
    <w:rsid w:val="00411E0B"/>
    <w:rsid w:val="00415CB0"/>
    <w:rsid w:val="00433D82"/>
    <w:rsid w:val="00434223"/>
    <w:rsid w:val="00436E62"/>
    <w:rsid w:val="00453B12"/>
    <w:rsid w:val="00465702"/>
    <w:rsid w:val="00471708"/>
    <w:rsid w:val="00474711"/>
    <w:rsid w:val="004826A6"/>
    <w:rsid w:val="0048645D"/>
    <w:rsid w:val="00486518"/>
    <w:rsid w:val="00487810"/>
    <w:rsid w:val="004A57A5"/>
    <w:rsid w:val="004A69CC"/>
    <w:rsid w:val="004B5387"/>
    <w:rsid w:val="004B7CDC"/>
    <w:rsid w:val="004C7062"/>
    <w:rsid w:val="004D266E"/>
    <w:rsid w:val="004F31C0"/>
    <w:rsid w:val="00510FCF"/>
    <w:rsid w:val="00515535"/>
    <w:rsid w:val="0052513C"/>
    <w:rsid w:val="00537B34"/>
    <w:rsid w:val="005537E0"/>
    <w:rsid w:val="00554FC6"/>
    <w:rsid w:val="00561F32"/>
    <w:rsid w:val="00571E6C"/>
    <w:rsid w:val="00581BE2"/>
    <w:rsid w:val="005B4AB2"/>
    <w:rsid w:val="005D5E1F"/>
    <w:rsid w:val="005E17FC"/>
    <w:rsid w:val="00615C91"/>
    <w:rsid w:val="00650720"/>
    <w:rsid w:val="006552AD"/>
    <w:rsid w:val="00660F67"/>
    <w:rsid w:val="00674B7E"/>
    <w:rsid w:val="006858C4"/>
    <w:rsid w:val="00695686"/>
    <w:rsid w:val="006A20BD"/>
    <w:rsid w:val="006A4D21"/>
    <w:rsid w:val="006C082B"/>
    <w:rsid w:val="006F1172"/>
    <w:rsid w:val="006F267C"/>
    <w:rsid w:val="007255E2"/>
    <w:rsid w:val="0072748C"/>
    <w:rsid w:val="00740552"/>
    <w:rsid w:val="0074200C"/>
    <w:rsid w:val="0075212D"/>
    <w:rsid w:val="0078613C"/>
    <w:rsid w:val="007A2B2C"/>
    <w:rsid w:val="007C342C"/>
    <w:rsid w:val="007D22A8"/>
    <w:rsid w:val="007D3910"/>
    <w:rsid w:val="007D7721"/>
    <w:rsid w:val="007E2C73"/>
    <w:rsid w:val="007E44ED"/>
    <w:rsid w:val="008104BA"/>
    <w:rsid w:val="0084604E"/>
    <w:rsid w:val="00852708"/>
    <w:rsid w:val="008559E4"/>
    <w:rsid w:val="0086020A"/>
    <w:rsid w:val="00886ACA"/>
    <w:rsid w:val="00895FB6"/>
    <w:rsid w:val="008B5CF0"/>
    <w:rsid w:val="008C6740"/>
    <w:rsid w:val="008F353C"/>
    <w:rsid w:val="0090102F"/>
    <w:rsid w:val="009111E3"/>
    <w:rsid w:val="00912E8F"/>
    <w:rsid w:val="00921C69"/>
    <w:rsid w:val="00922DE5"/>
    <w:rsid w:val="009364BA"/>
    <w:rsid w:val="009637F4"/>
    <w:rsid w:val="00975E32"/>
    <w:rsid w:val="009964F9"/>
    <w:rsid w:val="009C36DF"/>
    <w:rsid w:val="00A35634"/>
    <w:rsid w:val="00A52511"/>
    <w:rsid w:val="00A57AAC"/>
    <w:rsid w:val="00A8530A"/>
    <w:rsid w:val="00A87B4B"/>
    <w:rsid w:val="00A95905"/>
    <w:rsid w:val="00A95BDD"/>
    <w:rsid w:val="00AB5F98"/>
    <w:rsid w:val="00AC4DDA"/>
    <w:rsid w:val="00AC63C1"/>
    <w:rsid w:val="00AF6080"/>
    <w:rsid w:val="00B20189"/>
    <w:rsid w:val="00B26960"/>
    <w:rsid w:val="00B5747D"/>
    <w:rsid w:val="00B65631"/>
    <w:rsid w:val="00B70FD4"/>
    <w:rsid w:val="00B840BA"/>
    <w:rsid w:val="00BC1C08"/>
    <w:rsid w:val="00BD3C4E"/>
    <w:rsid w:val="00BD6FBB"/>
    <w:rsid w:val="00BE0793"/>
    <w:rsid w:val="00BE37DD"/>
    <w:rsid w:val="00BF484F"/>
    <w:rsid w:val="00C10A32"/>
    <w:rsid w:val="00C2697E"/>
    <w:rsid w:val="00C35D4F"/>
    <w:rsid w:val="00C40639"/>
    <w:rsid w:val="00C574F1"/>
    <w:rsid w:val="00C7080C"/>
    <w:rsid w:val="00C8155A"/>
    <w:rsid w:val="00C838F3"/>
    <w:rsid w:val="00C920F1"/>
    <w:rsid w:val="00CA3EED"/>
    <w:rsid w:val="00CC2116"/>
    <w:rsid w:val="00CC4247"/>
    <w:rsid w:val="00CC59CA"/>
    <w:rsid w:val="00CD646A"/>
    <w:rsid w:val="00CF329D"/>
    <w:rsid w:val="00D07587"/>
    <w:rsid w:val="00D10BC7"/>
    <w:rsid w:val="00D71024"/>
    <w:rsid w:val="00D86513"/>
    <w:rsid w:val="00DA59AE"/>
    <w:rsid w:val="00DB29A1"/>
    <w:rsid w:val="00DD6A3B"/>
    <w:rsid w:val="00DF02CD"/>
    <w:rsid w:val="00E20164"/>
    <w:rsid w:val="00E21A55"/>
    <w:rsid w:val="00E251E9"/>
    <w:rsid w:val="00E25FD7"/>
    <w:rsid w:val="00E475B9"/>
    <w:rsid w:val="00E56C2A"/>
    <w:rsid w:val="00E73EEA"/>
    <w:rsid w:val="00E822A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17739</Words>
  <Characters>101116</Characters>
  <Application>Microsoft Macintosh Word</Application>
  <DocSecurity>0</DocSecurity>
  <Lines>842</Lines>
  <Paragraphs>237</Paragraphs>
  <ScaleCrop>false</ScaleCrop>
  <Company>UTHSC</Company>
  <LinksUpToDate>false</LinksUpToDate>
  <CharactersWithSpaces>118618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42</cp:revision>
  <cp:lastPrinted>2013-08-09T15:54:00Z</cp:lastPrinted>
  <dcterms:created xsi:type="dcterms:W3CDTF">2014-05-07T19:10:00Z</dcterms:created>
  <dcterms:modified xsi:type="dcterms:W3CDTF">2014-07-29T20:19:00Z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