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24137AF9" w:rsidR="00404E72" w:rsidRDefault="002E2075" w:rsidP="002E2075">
      <w:pPr>
        <w:spacing w:line="480" w:lineRule="auto"/>
        <w:jc w:val="both"/>
      </w:pPr>
      <w:proofErr w:type="gramStart"/>
      <w:r>
        <w:t>The role of mTORC1 in muscle development in Drosophila</w:t>
      </w:r>
      <w:r w:rsidR="00404E72">
        <w:t>.</w:t>
      </w:r>
      <w:proofErr w:type="gramEnd"/>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1A617435"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t>Lawrence T. Reiter</w:t>
      </w:r>
      <w:r w:rsidR="006A3628" w:rsidRPr="00D01D9C">
        <w:rPr>
          <w:vertAlign w:val="superscript"/>
        </w:rPr>
        <w:t>2</w:t>
      </w:r>
      <w:proofErr w:type="gramStart"/>
      <w:r w:rsidR="006A3628" w:rsidRPr="00D01D9C">
        <w:rPr>
          <w:vertAlign w:val="superscript"/>
        </w:rPr>
        <w:t>,3</w:t>
      </w:r>
      <w:proofErr w:type="gramEnd"/>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4E4BAFE8" w:rsidR="00404E72" w:rsidRDefault="00404E72" w:rsidP="002E2075">
      <w:pPr>
        <w:spacing w:line="480" w:lineRule="auto"/>
        <w:jc w:val="both"/>
      </w:pPr>
      <w:r>
        <w:t>*Corresponding Author</w:t>
      </w:r>
    </w:p>
    <w:p w14:paraId="138E184E" w14:textId="77777777" w:rsidR="00C518A5" w:rsidRDefault="00C518A5" w:rsidP="002E2075">
      <w:pPr>
        <w:spacing w:line="480" w:lineRule="auto"/>
        <w:jc w:val="both"/>
      </w:pPr>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7971419F" w:rsidR="00DD6A3B" w:rsidRPr="00515535" w:rsidRDefault="00515535" w:rsidP="002E2075">
      <w:pPr>
        <w:spacing w:line="480" w:lineRule="auto"/>
        <w:jc w:val="both"/>
      </w:pPr>
      <w:proofErr w:type="spellStart"/>
      <w:r>
        <w:t>Myogenesis</w:t>
      </w:r>
      <w:proofErr w:type="spellEnd"/>
      <w:r>
        <w:t xml:space="preserve">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proofErr w:type="spellStart"/>
      <w:r w:rsidRPr="001C2994">
        <w:rPr>
          <w:i/>
        </w:rPr>
        <w:t>Myog</w:t>
      </w:r>
      <w:proofErr w:type="spellEnd"/>
      <w:r>
        <w:t xml:space="preserve"> and </w:t>
      </w:r>
      <w:r w:rsidRPr="001C2994">
        <w:rPr>
          <w:i/>
        </w:rPr>
        <w:t>Mef2c</w:t>
      </w:r>
      <w:r>
        <w:t xml:space="preserve"> but not </w:t>
      </w:r>
      <w:proofErr w:type="spellStart"/>
      <w:r w:rsidRPr="001C2994">
        <w:rPr>
          <w:i/>
        </w:rPr>
        <w:t>MyoD</w:t>
      </w:r>
      <w:proofErr w:type="spellEnd"/>
      <w:r>
        <w:t xml:space="preserve"> </w:t>
      </w:r>
      <w:r w:rsidR="00404E72">
        <w:t>decreases</w:t>
      </w:r>
      <w:r>
        <w:t xml:space="preserve"> when C2C12 cells are treated with </w:t>
      </w:r>
      <w:proofErr w:type="spellStart"/>
      <w:r>
        <w:t>rapamycin</w:t>
      </w:r>
      <w:proofErr w:type="spellEnd"/>
      <w:r w:rsidR="00404E72">
        <w:t xml:space="preserve">, implying a role for </w:t>
      </w:r>
      <w:proofErr w:type="spellStart"/>
      <w:r w:rsidR="00404E72">
        <w:t>mTOR</w:t>
      </w:r>
      <w:proofErr w:type="spellEnd"/>
      <w:r w:rsidR="00404E72">
        <w:t xml:space="preserve"> pathway during muscle development</w:t>
      </w:r>
      <w:r>
        <w:t xml:space="preserve">.  To </w:t>
      </w:r>
      <w:r w:rsidR="00404E72">
        <w:t xml:space="preserve">investigate the possibility that </w:t>
      </w:r>
      <w:proofErr w:type="spellStart"/>
      <w:r w:rsidR="00404E72">
        <w:t>mTOR</w:t>
      </w:r>
      <w:proofErr w:type="spellEnd"/>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 xml:space="preserve">too weak to emerge from their </w:t>
      </w:r>
      <w:proofErr w:type="spellStart"/>
      <w:r w:rsidR="009E4939">
        <w:t>pupal</w:t>
      </w:r>
      <w:proofErr w:type="spellEnd"/>
      <w:r w:rsidR="009E4939">
        <w:t xml:space="preserve"> cases during </w:t>
      </w:r>
      <w:proofErr w:type="spellStart"/>
      <w:r w:rsidR="009E4939">
        <w:t>eclosion</w:t>
      </w:r>
      <w:proofErr w:type="spellEnd"/>
      <w:r>
        <w:t xml:space="preserve">.  Furthermore, we </w:t>
      </w:r>
      <w:r w:rsidR="00F9363C">
        <w:t xml:space="preserve">found </w:t>
      </w:r>
      <w:r>
        <w:t>that there is a critical</w:t>
      </w:r>
      <w:r w:rsidR="00F9363C">
        <w:t xml:space="preserve"> period</w:t>
      </w:r>
      <w:r>
        <w:t xml:space="preserve"> post-</w:t>
      </w:r>
      <w:proofErr w:type="spellStart"/>
      <w:r>
        <w:t>eclosure</w:t>
      </w:r>
      <w:proofErr w:type="spellEnd"/>
      <w:r>
        <w:t xml:space="preserv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w:t>
      </w:r>
      <w:r w:rsidR="00537C7B">
        <w:t xml:space="preserve">new </w:t>
      </w:r>
      <w:r w:rsidR="006F267C">
        <w:t xml:space="preserve">role </w:t>
      </w:r>
      <w:r w:rsidR="00537C7B">
        <w:t xml:space="preserve">for </w:t>
      </w:r>
      <w:r w:rsidR="001C2994">
        <w:t xml:space="preserve">mTORC1 </w:t>
      </w:r>
      <w:r w:rsidR="006F267C">
        <w:t xml:space="preserve">in </w:t>
      </w:r>
      <w:r w:rsidR="00537C7B">
        <w:t xml:space="preserve">late </w:t>
      </w:r>
      <w:r w:rsidR="006F267C">
        <w:t>muscle development</w:t>
      </w:r>
      <w:r w:rsidR="00537C7B">
        <w:t>, integrity or</w:t>
      </w:r>
      <w:r w:rsidR="006F267C">
        <w:t xml:space="preserve"> function.</w:t>
      </w:r>
    </w:p>
    <w:p w14:paraId="1A0E5A35" w14:textId="31E4B4F9" w:rsidR="00E73EEA" w:rsidRDefault="0040324E" w:rsidP="002E2075">
      <w:pPr>
        <w:pStyle w:val="Heading1"/>
        <w:spacing w:line="480" w:lineRule="auto"/>
        <w:jc w:val="both"/>
      </w:pPr>
      <w:r>
        <w:t>Background</w:t>
      </w:r>
    </w:p>
    <w:p w14:paraId="4114FCDB" w14:textId="1A158D40" w:rsidR="006A4D21" w:rsidRDefault="00C665D7" w:rsidP="002E2075">
      <w:pPr>
        <w:spacing w:line="480" w:lineRule="auto"/>
        <w:jc w:val="both"/>
      </w:pPr>
      <w:r>
        <w:t xml:space="preserve">The </w:t>
      </w:r>
      <w:proofErr w:type="spellStart"/>
      <w:r>
        <w:t>mTOR</w:t>
      </w:r>
      <w:proofErr w:type="spellEnd"/>
      <w:r>
        <w:t xml:space="preserve">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346877">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 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"previouslyFormattedCitation" : "&lt;sup&gt;1,2&lt;/sup&gt;" }, "properties" : { "noteIndex" : 0 }, "schema" : "https://github.com/citation-style-language/schema/raw/master/csl-citation.json" }</w:instrText>
      </w:r>
      <w:r w:rsidR="0084604E">
        <w:fldChar w:fldCharType="separate"/>
      </w:r>
      <w:r w:rsidR="00346877" w:rsidRPr="00346877">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346877">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 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 W", "non-dropping-particle" : "", "parse-names" : false, "suffix" : "" }, { "dropping-particle" : "", "family" : "Ye", "given" : "Lan", "non-dropping-particle" : "", "parse-names" : false, "suffix" : "" }, { "dropping-particle" : "", "family" : "Sabatini", "given" : "David 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"previouslyFormattedCitation" : "&lt;sup&gt;3\u20135&lt;/sup&gt;" }, "properties" : { "noteIndex" : 0 }, "schema" : "https://github.com/citation-style-language/schema/raw/master/csl-citation.json" }</w:instrText>
      </w:r>
      <w:r w:rsidR="00272846">
        <w:fldChar w:fldCharType="separate"/>
      </w:r>
      <w:r w:rsidR="00346877" w:rsidRPr="00346877">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346877">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"previouslyFormattedCitation" : "&lt;sup&gt;6,7&lt;/sup&gt;" }, "properties" : { "noteIndex" : 0 }, "schema" : "https://github.com/citation-style-language/schema/raw/master/csl-citation.json" }</w:instrText>
      </w:r>
      <w:r w:rsidR="004B5387">
        <w:fldChar w:fldCharType="separate"/>
      </w:r>
      <w:r w:rsidR="00346877" w:rsidRPr="00346877">
        <w:rPr>
          <w:noProof/>
          <w:vertAlign w:val="superscript"/>
        </w:rPr>
        <w:t>6,7</w:t>
      </w:r>
      <w:r w:rsidR="004B5387">
        <w:fldChar w:fldCharType="end"/>
      </w:r>
      <w:r w:rsidR="00D71024">
        <w:t>, adipogenesis</w:t>
      </w:r>
      <w:r w:rsidR="00D71024">
        <w:fldChar w:fldCharType="begin" w:fldLock="1"/>
      </w:r>
      <w:r w:rsidR="00346877">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"previouslyFormattedCitation" : "&lt;sup&gt;8&lt;/sup&gt;" }, "properties" : { "noteIndex" : 0 }, "schema" : "https://github.com/citation-style-language/schema/raw/master/csl-citation.json" }</w:instrText>
      </w:r>
      <w:r w:rsidR="00D71024">
        <w:fldChar w:fldCharType="separate"/>
      </w:r>
      <w:r w:rsidR="00346877" w:rsidRPr="00346877">
        <w:rPr>
          <w:noProof/>
          <w:vertAlign w:val="superscript"/>
        </w:rPr>
        <w:t>8</w:t>
      </w:r>
      <w:r w:rsidR="00D71024">
        <w:fldChar w:fldCharType="end"/>
      </w:r>
      <w:r w:rsidR="00D71024">
        <w:t xml:space="preserve"> and myogenesis</w:t>
      </w:r>
      <w:r w:rsidR="00D71024">
        <w:fldChar w:fldCharType="begin" w:fldLock="1"/>
      </w:r>
      <w:r w:rsidR="00346877">
        <w:instrText>ADDIN CSL_CITATION { "citationItems" : [ { "id" : "ITEM-1", "itemData" : {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"http://www.mendeley.com/documents/?uuid=4c840777-3060-46f2-bdc9-1875a6f4dd4d"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"&lt;sup&gt;9\u201311&lt;/sup&gt;" }, "properties" : { "noteIndex" : 0 }, "schema" : "https://github.com/citation-style-language/schema/raw/master/csl-citation.json" }</w:instrText>
      </w:r>
      <w:r w:rsidR="00D71024">
        <w:fldChar w:fldCharType="separate"/>
      </w:r>
      <w:r w:rsidR="00346877" w:rsidRPr="00346877">
        <w:rPr>
          <w:noProof/>
          <w:vertAlign w:val="superscript"/>
        </w:rPr>
        <w:t>9–11</w:t>
      </w:r>
      <w:r w:rsidR="00D71024">
        <w:fldChar w:fldCharType="end"/>
      </w:r>
      <w:r w:rsidR="00D71024">
        <w:t>.</w:t>
      </w:r>
      <w:r w:rsidR="004B5387">
        <w:t xml:space="preserve">  Consistent with these findings, either loss of the obligate mTORC1 complex members </w:t>
      </w:r>
      <w:proofErr w:type="spellStart"/>
      <w:r w:rsidR="004B5387">
        <w:t>mTOR</w:t>
      </w:r>
      <w:proofErr w:type="spellEnd"/>
      <w:r w:rsidR="004B5387">
        <w:t xml:space="preserve"> and Raptor, or treatment with </w:t>
      </w:r>
      <w:proofErr w:type="spellStart"/>
      <w:r w:rsidR="004B5387">
        <w:t>rapamycin</w:t>
      </w:r>
      <w:proofErr w:type="spellEnd"/>
      <w:r w:rsidR="004B5387">
        <w:t xml:space="preserve"> induces developmental arrest in mice</w:t>
      </w:r>
      <w:r w:rsidR="004B5387">
        <w:fldChar w:fldCharType="begin" w:fldLock="1"/>
      </w:r>
      <w:r w:rsidR="00346877">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"previouslyFormattedCitation" : "&lt;sup&gt;12\u201314&lt;/sup&gt;" }, "properties" : { "noteIndex" : 0 }, "schema" : "https://github.com/citation-style-language/schema/raw/master/csl-citation.json" }</w:instrText>
      </w:r>
      <w:r w:rsidR="004B5387">
        <w:fldChar w:fldCharType="separate"/>
      </w:r>
      <w:r w:rsidR="00346877" w:rsidRPr="00346877">
        <w:rPr>
          <w:noProof/>
          <w:vertAlign w:val="superscript"/>
        </w:rPr>
        <w:t>12–14</w:t>
      </w:r>
      <w:r w:rsidR="004B5387">
        <w:fldChar w:fldCharType="end"/>
      </w:r>
      <w:r w:rsidR="004B5387">
        <w:t>, worms</w:t>
      </w:r>
      <w:r w:rsidR="004B5387">
        <w:fldChar w:fldCharType="begin" w:fldLock="1"/>
      </w:r>
      <w:r w:rsidR="00346877">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"previouslyFormattedCitation" : "&lt;sup&gt;15&lt;/sup&gt;" }, "properties" : { "noteIndex" : 0 }, "schema" : "https://github.com/citation-style-language/schema/raw/master/csl-citation.json" }</w:instrText>
      </w:r>
      <w:r w:rsidR="004B5387">
        <w:fldChar w:fldCharType="separate"/>
      </w:r>
      <w:r w:rsidR="00346877" w:rsidRPr="00346877">
        <w:rPr>
          <w:noProof/>
          <w:vertAlign w:val="superscript"/>
        </w:rPr>
        <w:t>15</w:t>
      </w:r>
      <w:r w:rsidR="004B5387">
        <w:fldChar w:fldCharType="end"/>
      </w:r>
      <w:r w:rsidR="004B5387">
        <w:t xml:space="preserve"> and fruit flies</w:t>
      </w:r>
      <w:r w:rsidR="004B5387">
        <w:fldChar w:fldCharType="begin" w:fldLock="1"/>
      </w:r>
      <w:r w:rsidR="00346877">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4B5387">
        <w:fldChar w:fldCharType="separate"/>
      </w:r>
      <w:r w:rsidR="00346877" w:rsidRPr="00346877">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047DF4BC" w:rsidR="006A4D21" w:rsidRPr="00335C71" w:rsidRDefault="006A4D21" w:rsidP="002E2075">
      <w:pPr>
        <w:spacing w:line="480" w:lineRule="auto"/>
        <w:jc w:val="both"/>
      </w:pPr>
      <w:proofErr w:type="spellStart"/>
      <w:r>
        <w:t>Myogenesis</w:t>
      </w:r>
      <w:proofErr w:type="spellEnd"/>
      <w:r w:rsidR="005D5E1F">
        <w:t xml:space="preserve"> occurs </w:t>
      </w:r>
      <w:r w:rsidR="00751EFD">
        <w:t xml:space="preserve">both </w:t>
      </w:r>
      <w:r w:rsidR="005D5E1F">
        <w:t xml:space="preserve">during </w:t>
      </w:r>
      <w:r w:rsidR="00B5747D">
        <w:t>development and 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346877">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"id" : "ITEM-3", "itemData" : { "DOI" : "10.1242/dev.068858", "ISSN" : "1477-9129", "PMID" : "21828094", "abstract" : "An important unresolved question in skeletal muscle plasticity is whether satellite cells are necessary for muscle fiber hypertrophy. To address this issue, a novel mouse strain (Pax7-DTA) was created which enabled the conditional ablation of &gt;90% of satellite cells in mature skeletal muscle following tamoxifen administration. To test the hypothesis that satellite cells are necessary for skeletal muscle hypertrophy, the plantaris muscle of adult Pax7-DTA mice was subjected to mechanical overload by surgical removal of the synergist muscle. Following two weeks of overload, satellite cell-depleted muscle showed the same increases in muscle mass (approximately twofold) and fiber cross-sectional area with hypertrophy as observed in the vehicle-treated group. The typical increase in myonuclei with hypertrophy was absent in satellite cell-depleted fibers, resulting in expansion of the myonuclear domain. Consistent with lack of nuclear addition to enlarged fibers, long-term BrdU labeling showed a significant reduction in the number of BrdU-positive myonuclei in satellite cell-depleted muscle compared with vehicle-treated muscle. Single fiber functional analyses showed no difference in specific force, Ca(2+) sensitivity, rate of cross-bridge cycling and cooperativity between hypertrophied fibers from vehicle and tamoxifen-treated groups. Although a small component of the hypertrophic response, both fiber hyperplasia and regeneration were significantly blunted following satellite cell depletion, indicating a distinct requirement for satellite cells during these processes. These results provide convincing evidence that skeletal muscle fibers are capable of mounting a robust hypertrophic response to mechanical overload that is not dependent on satellite cells.", "author" : [ { "dropping-particle" : "", "family" : "McCarthy", "given" : "John J", "non-dropping-particle" : "", "parse-names" : false, "suffix" : "" }, { "dropping-particle" : "", "family" : "Mula", "given" : "Jyothi", "non-dropping-particle" : "", "parse-names" : false, "suffix" : "" }, { "dropping-particle" : "", "family" : "Miyazaki", "given" : "Mitsunori", "non-dropping-particle" : "", "parse-names" : false, "suffix" : "" }, { "dropping-particle" : "", "family" : "Erfani", "given" : "Rod", "non-dropping-particle" : "", "parse-names" : false, "suffix" : "" }, { "dropping-particle" : "", "family" : "Garrison", "given" : "Kelcye", "non-dropping-particle" : "", "parse-names" : false, "suffix" : "" }, { "dropping-particle" : "", "family" : "Farooqui", "given" : "Amreen B", "non-dropping-particle" : "", "parse-names" : false, "suffix" : "" }, { "dropping-particle" : "", "family" : "Srikuea", "given" : "Ratchakrit", "non-dropping-particle" : "", "parse-names" : false, "suffix" : "" }, { "dropping-particle" : "", "family" : "Lawson", "given" : "Benjamin A", "non-dropping-particle" : "", "parse-names" : false, "suffix" : "" }, { "dropping-particle" : "", "family" : "Grimes", "given" : "Barry", "non-dropping-particle" : "", "parse-names" : false, "suffix" : "" }, { "dropping-particle" : "", "family" : "Keller", "given" : "Charles", "non-dropping-particle" : "", "parse-names" : false, "suffix" : "" }, { "dropping-particle" : "", "family" : "Zant", "given" : "Gary", "non-dropping-particle" : "Van", "parse-names" : false, "suffix" : "" }, { "dropping-particle" : "", "family" : "Campbell", "given" : "Kenneth S", "non-dropping-particle" : "", "parse-names" : false, "suffix" : "" }, { "dropping-particle" : "", "family" : "Esser", "given" : "Karyn A", "non-dropping-particle" : "", "parse-names" : false, "suffix" : "" }, { "dropping-particle" : "", "family" : "Dupont-Versteegden", "given" : "Esther E", "non-dropping-particle" : "", "parse-names" : false, "suffix" : "" }, { "dropping-particle" : "", "family" : "Peterson", "given" : "Charlotte A", "non-dropping-particle" : "", "parse-names" : false, "suffix" : "" } ], "container-title" : "Development (Cambridge, England)", "id" : "ITEM-3", "issue" : "17", "issued" : { "date-parts" : [ [ "2011", "9" ] ] }, "page" : "3657-66", "title" : "Effective fiber hypertrophy in satellite cell-depleted skeletal muscle.", "type" : "article-journal", "volume" : "138" }, "uris" : [ "http://www.mendeley.com/documents/?uuid=6232b633-fbb3-4fd9-a856-247e5df7db8f" ] } ], "mendeley" : { "previouslyFormattedCitation" : "&lt;sup&gt;17\u201319&lt;/sup&gt;" }, "properties" : { "noteIndex" : 0 }, "schema" : "https://github.com/citation-style-language/schema/raw/master/csl-citation.json" }</w:instrText>
      </w:r>
      <w:r w:rsidR="00B5747D">
        <w:fldChar w:fldCharType="separate"/>
      </w:r>
      <w:r w:rsidR="00346877" w:rsidRPr="00346877">
        <w:rPr>
          <w:noProof/>
          <w:vertAlign w:val="superscript"/>
        </w:rPr>
        <w:t>17–19</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w:t>
      </w:r>
      <w:proofErr w:type="spellStart"/>
      <w:r w:rsidR="00335C71">
        <w:rPr>
          <w:i/>
        </w:rPr>
        <w:t>Myog</w:t>
      </w:r>
      <w:proofErr w:type="spellEnd"/>
      <w:r w:rsidR="00335C71">
        <w:rPr>
          <w:i/>
        </w:rPr>
        <w:t xml:space="preserve">, </w:t>
      </w:r>
      <w:proofErr w:type="spellStart"/>
      <w:r w:rsidR="00335C71">
        <w:rPr>
          <w:i/>
        </w:rPr>
        <w:t>Myod</w:t>
      </w:r>
      <w:proofErr w:type="spellEnd"/>
      <w:r w:rsidR="00335C71">
        <w:rPr>
          <w:i/>
        </w:rPr>
        <w:t xml:space="preserve"> </w:t>
      </w:r>
      <w:r w:rsidR="00335C71">
        <w:t xml:space="preserve">and </w:t>
      </w:r>
      <w:r w:rsidR="00335C71">
        <w:rPr>
          <w:i/>
        </w:rPr>
        <w:t>Mef2c</w:t>
      </w:r>
      <w:r w:rsidR="00335C71">
        <w:t xml:space="preserve"> (reviewed in </w:t>
      </w:r>
      <w:r w:rsidR="00335C71">
        <w:fldChar w:fldCharType="begin" w:fldLock="1"/>
      </w:r>
      <w:r w:rsidR="00346877">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"mTOR, the mammalian (or mechanistic) target of rapamycin,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review, we present an emerging view of the signaling network underlying mTOR regulation of myogenesis, which contrasts the well-established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"19", "issued" : { "date-parts" : [ [ "2012", "10", "31" ] ] }, "title" : "Mammalian target of rapamycin (mTOR) signaling network in skeletal myogenesis.", "type" : "article-journal" }, "uris" : [ "http://www.mendeley.com/documents/?uuid=b10fac69-3464-4f02-8227-b72ab7700ec4" ] } ], "mendeley" : { "previouslyFormattedCitation" : "&lt;sup&gt;20,21&lt;/sup&gt;" }, "properties" : { "noteIndex" : 0 }, "schema" : "https://github.com/citation-style-language/schema/raw/master/csl-citation.json" }</w:instrText>
      </w:r>
      <w:r w:rsidR="00335C71">
        <w:fldChar w:fldCharType="separate"/>
      </w:r>
      <w:r w:rsidR="00346877" w:rsidRPr="00346877">
        <w:rPr>
          <w:noProof/>
          <w:vertAlign w:val="superscript"/>
        </w:rPr>
        <w:t>20,21</w:t>
      </w:r>
      <w:r w:rsidR="00335C71">
        <w:fldChar w:fldCharType="end"/>
      </w:r>
      <w:r w:rsidR="00335C71">
        <w:t xml:space="preserve">).  The direct target of mTORC1 on </w:t>
      </w:r>
      <w:proofErr w:type="spellStart"/>
      <w:r w:rsidR="00335C71">
        <w:t>myogenesis</w:t>
      </w:r>
      <w:proofErr w:type="spellEnd"/>
      <w:r w:rsidR="00335C71">
        <w:t xml:space="preserve"> has not been clearly established, but recent work has implicated mTORC1 in the regulation of </w:t>
      </w:r>
      <w:proofErr w:type="spellStart"/>
      <w:r w:rsidR="00335C71">
        <w:t>MyoD</w:t>
      </w:r>
      <w:proofErr w:type="spellEnd"/>
      <w:r w:rsidR="00335C71">
        <w:t xml:space="preserve"> protein stability, leading to a </w:t>
      </w:r>
      <w:r w:rsidR="00335C71" w:rsidRPr="001C2994">
        <w:rPr>
          <w:i/>
        </w:rPr>
        <w:t>miR</w:t>
      </w:r>
      <w:r w:rsidR="00335C71">
        <w:t xml:space="preserve">-1 dependent </w:t>
      </w:r>
      <w:r w:rsidR="00650720">
        <w:t xml:space="preserve">effect on </w:t>
      </w:r>
      <w:proofErr w:type="spellStart"/>
      <w:r w:rsidR="00650720">
        <w:t>myotube</w:t>
      </w:r>
      <w:proofErr w:type="spellEnd"/>
      <w:r w:rsidR="00650720">
        <w:t xml:space="preserve"> fusion</w:t>
      </w:r>
      <w:r w:rsidR="00650720">
        <w:fldChar w:fldCharType="begin" w:fldLock="1"/>
      </w:r>
      <w:r w:rsidR="00346877">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650720">
        <w:fldChar w:fldCharType="separate"/>
      </w:r>
      <w:r w:rsidR="00346877" w:rsidRPr="00346877">
        <w:rPr>
          <w:noProof/>
          <w:vertAlign w:val="superscript"/>
        </w:rPr>
        <w:t>22</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 xml:space="preserve">Tissue Culture and </w:t>
      </w:r>
      <w:proofErr w:type="spellStart"/>
      <w:r>
        <w:t>Myotube</w:t>
      </w:r>
      <w:proofErr w:type="spellEnd"/>
      <w:r>
        <w:t xml:space="preserve"> Formation</w:t>
      </w:r>
    </w:p>
    <w:p w14:paraId="0D35AB59" w14:textId="1D679D79"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1C2994">
        <w:t xml:space="preserve"> (from Sigma-Aldrich)</w:t>
      </w:r>
      <w:r w:rsidRPr="00E56C2A">
        <w:t xml:space="preserve"> </w:t>
      </w:r>
      <w:r w:rsidR="00581BE2">
        <w:t>in DMEM</w:t>
      </w:r>
      <w:r w:rsidR="001C2994">
        <w:t xml:space="preserve"> with PSG </w:t>
      </w:r>
      <w:r w:rsidR="00581BE2">
        <w:t>was added</w:t>
      </w:r>
      <w:r w:rsidR="00C06AF7">
        <w:t xml:space="preserve"> as previously described</w:t>
      </w:r>
      <w:r w:rsidR="00346877">
        <w:fldChar w:fldCharType="begin" w:fldLock="1"/>
      </w:r>
      <w:r w:rsidR="00346877">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"previouslyFormattedCitation" : "&lt;sup&gt;23&lt;/sup&gt;" }, "properties" : { "noteIndex" : 0 }, "schema" : "https://github.com/citation-style-language/schema/raw/master/csl-citation.json" }</w:instrText>
      </w:r>
      <w:r w:rsidR="00346877">
        <w:fldChar w:fldCharType="separate"/>
      </w:r>
      <w:r w:rsidR="00346877" w:rsidRPr="00346877">
        <w:rPr>
          <w:noProof/>
          <w:vertAlign w:val="superscript"/>
        </w:rPr>
        <w:t>23</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w:t>
      </w:r>
      <w:proofErr w:type="spellStart"/>
      <w:r w:rsidRPr="00852708">
        <w:t>rapamycin</w:t>
      </w:r>
      <w:proofErr w:type="spellEnd"/>
      <w:r w:rsidRPr="00852708">
        <w:t xml:space="preserve"> on differentiation, cells were treated every other day for 9 days with either </w:t>
      </w:r>
      <w:r w:rsidR="00581BE2" w:rsidRPr="00852708">
        <w:t>vehicle alone (DMSO</w:t>
      </w:r>
      <w:r w:rsidR="001C2994">
        <w:t>; Sigma-Aldrich</w:t>
      </w:r>
      <w:r w:rsidR="00581BE2" w:rsidRPr="00852708">
        <w:t>), or 500nM</w:t>
      </w:r>
      <w:r w:rsidRPr="00852708">
        <w:t xml:space="preserve"> </w:t>
      </w:r>
      <w:proofErr w:type="spellStart"/>
      <w:r w:rsidRPr="00852708">
        <w:t>rapamycin</w:t>
      </w:r>
      <w:proofErr w:type="spellEnd"/>
      <w:r w:rsidRPr="00852708">
        <w:t xml:space="preserve"> </w:t>
      </w:r>
      <w:r w:rsidR="00930499">
        <w:t>(</w:t>
      </w:r>
      <w:r w:rsidR="00241C16">
        <w:t>Cayman chemicals</w:t>
      </w:r>
      <w:r w:rsidR="00930499">
        <w:t xml:space="preserve">) </w:t>
      </w:r>
      <w:r w:rsidRPr="00852708">
        <w:t>dissolved in DMSO. Cell lysates were prepared on day 9 of treatment.</w:t>
      </w:r>
      <w:r w:rsidR="00852708">
        <w:t xml:space="preserve">  </w:t>
      </w:r>
      <w:r w:rsidRPr="00E56C2A">
        <w:t xml:space="preserve">Cell lysates were generated by washing </w:t>
      </w:r>
      <w:r w:rsidR="00581BE2">
        <w:t xml:space="preserve">once </w:t>
      </w:r>
      <w:r w:rsidRPr="00E56C2A">
        <w:t xml:space="preserve">with ice-cold PBS followed by the addition of 1 ml of </w:t>
      </w:r>
      <w:proofErr w:type="spellStart"/>
      <w:r w:rsidRPr="00E56C2A">
        <w:t>QIAzol</w:t>
      </w:r>
      <w:proofErr w:type="spellEnd"/>
      <w:r w:rsidRPr="00E56C2A">
        <w:t xml:space="preserve"> (</w:t>
      </w:r>
      <w:proofErr w:type="spellStart"/>
      <w:r w:rsidR="00581BE2">
        <w:t>Qiagen</w:t>
      </w:r>
      <w:proofErr w:type="spellEnd"/>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0DFF6599" w:rsidR="00DB29A1" w:rsidRPr="00061E90" w:rsidRDefault="00E56C2A" w:rsidP="002E2075">
      <w:pPr>
        <w:spacing w:line="480" w:lineRule="auto"/>
        <w:jc w:val="both"/>
      </w:pPr>
      <w:r w:rsidRPr="00E56C2A">
        <w:t xml:space="preserve">RNA was extracted with the </w:t>
      </w:r>
      <w:proofErr w:type="spellStart"/>
      <w:r w:rsidRPr="00E56C2A">
        <w:t>PureLink</w:t>
      </w:r>
      <w:proofErr w:type="spellEnd"/>
      <w:r w:rsidRPr="00E56C2A">
        <w:t xml:space="preserve">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w:t>
      </w:r>
      <w:proofErr w:type="spellStart"/>
      <w:r w:rsidRPr="00E56C2A">
        <w:t>cDNA</w:t>
      </w:r>
      <w:proofErr w:type="spellEnd"/>
      <w:r w:rsidRPr="00E56C2A">
        <w:t xml:space="preserve"> using the High Capacity Reverse Transcription Kit (Life Technologies). </w:t>
      </w:r>
      <w:proofErr w:type="spellStart"/>
      <w:proofErr w:type="gramStart"/>
      <w:r w:rsidRPr="00E56C2A">
        <w:t>cDNA</w:t>
      </w:r>
      <w:proofErr w:type="spellEnd"/>
      <w:proofErr w:type="gramEnd"/>
      <w:r w:rsidRPr="00E56C2A">
        <w:t xml:space="preserve"> was added to </w:t>
      </w:r>
      <w:r w:rsidRPr="00E56C2A">
        <w:rPr>
          <w:i/>
        </w:rPr>
        <w:t>Power</w:t>
      </w:r>
      <w:r w:rsidRPr="00E56C2A">
        <w:t xml:space="preserve"> SYBR Green PCR Master Mix in accordance with the manufacturer’s guidelines (Life Technologies) and </w:t>
      </w:r>
      <w:proofErr w:type="spellStart"/>
      <w:r w:rsidR="00B675A2">
        <w:t>qRT</w:t>
      </w:r>
      <w:proofErr w:type="spellEnd"/>
      <w:r w:rsidR="00B675A2">
        <w:t>-PCR performed</w:t>
      </w:r>
      <w:r w:rsidRPr="00E56C2A">
        <w:t xml:space="preserve"> </w:t>
      </w:r>
      <w:r w:rsidR="00263B29">
        <w:t xml:space="preserve">on a Roche </w:t>
      </w:r>
      <w:proofErr w:type="spellStart"/>
      <w:r w:rsidR="00263B29">
        <w:t>Lightcycler</w:t>
      </w:r>
      <w:proofErr w:type="spellEnd"/>
      <w:r w:rsidR="00B675A2">
        <w:t xml:space="preserve">.  </w:t>
      </w:r>
      <w:r w:rsidR="00174E48">
        <w:t>A</w:t>
      </w:r>
      <w:r w:rsidR="00895AB1">
        <w:t xml:space="preserve"> series of control genes including </w:t>
      </w:r>
      <w:proofErr w:type="spellStart"/>
      <w:r w:rsidR="00895AB1">
        <w:rPr>
          <w:i/>
        </w:rPr>
        <w:t>Gapdh</w:t>
      </w:r>
      <w:proofErr w:type="spellEnd"/>
      <w:r w:rsidR="00895AB1">
        <w:rPr>
          <w:i/>
        </w:rPr>
        <w:t xml:space="preserve">, Rplp0, </w:t>
      </w:r>
      <w:proofErr w:type="spellStart"/>
      <w:r w:rsidR="00895AB1">
        <w:rPr>
          <w:i/>
        </w:rPr>
        <w:t>Actb</w:t>
      </w:r>
      <w:proofErr w:type="spellEnd"/>
      <w:r w:rsidR="00895AB1">
        <w:rPr>
          <w:i/>
        </w:rPr>
        <w:t xml:space="preserve"> </w:t>
      </w:r>
      <w:r w:rsidR="00895AB1" w:rsidRPr="00C574F1">
        <w:t>and</w:t>
      </w:r>
      <w:r w:rsidR="00895AB1">
        <w:rPr>
          <w:i/>
        </w:rPr>
        <w:t xml:space="preserve"> Rplp13a</w:t>
      </w:r>
      <w:r w:rsidR="00895AB1">
        <w:t xml:space="preserve"> were examined, and </w:t>
      </w:r>
      <w:proofErr w:type="spellStart"/>
      <w:r w:rsidR="00895AB1">
        <w:rPr>
          <w:i/>
        </w:rPr>
        <w:t>Gapdh</w:t>
      </w:r>
      <w:proofErr w:type="spellEnd"/>
      <w:r w:rsidR="00895AB1">
        <w:t xml:space="preserve"> was chosen as a control as it </w:t>
      </w:r>
      <w:r w:rsidR="00441811">
        <w:t xml:space="preserve">did </w:t>
      </w:r>
      <w:r w:rsidR="00895AB1">
        <w:t xml:space="preserve">not change across </w:t>
      </w:r>
      <w:proofErr w:type="spellStart"/>
      <w:r w:rsidR="00895AB1">
        <w:t>rapamycin</w:t>
      </w:r>
      <w:proofErr w:type="spellEnd"/>
      <w:r w:rsidR="00174E48">
        <w:t xml:space="preserve"> </w:t>
      </w:r>
      <w:r w:rsidR="00441811">
        <w:t xml:space="preserve">concentrations </w:t>
      </w:r>
      <w:r w:rsidR="00174E48">
        <w:t>or differentiation</w:t>
      </w:r>
      <w:r w:rsidR="00895AB1">
        <w:t xml:space="preserve"> conditions.   For a complete list of primers and probes used,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346877">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"previouslyFormattedCitation" : "&lt;sup&gt;24&lt;/sup&gt;" }, "properties" : { "noteIndex" : 0 }, "schema" : "https://github.com/citation-style-language/schema/raw/master/csl-citation.json" }</w:instrText>
      </w:r>
      <w:r w:rsidR="0028099F">
        <w:fldChar w:fldCharType="separate"/>
      </w:r>
      <w:r w:rsidR="00346877" w:rsidRPr="00346877">
        <w:rPr>
          <w:noProof/>
          <w:vertAlign w:val="superscript"/>
        </w:rPr>
        <w:t>24</w:t>
      </w:r>
      <w:r w:rsidR="0028099F">
        <w:fldChar w:fldCharType="end"/>
      </w:r>
      <w:r w:rsidR="00174E48">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2B10DAFD"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Pr="00241C16">
        <w:rPr>
          <w:i/>
        </w:rPr>
        <w:t>c179</w:t>
      </w:r>
      <w:r>
        <w:t xml:space="preserve">-GAL4 and </w:t>
      </w:r>
      <w:r w:rsidRPr="00241C16">
        <w:rPr>
          <w:i/>
        </w:rPr>
        <w:t>mef2</w:t>
      </w:r>
      <w:r>
        <w:t xml:space="preserve">-GAL4), as well as both the </w:t>
      </w:r>
      <w:r w:rsidRPr="00241C16">
        <w:rPr>
          <w:i/>
        </w:rPr>
        <w:t>Raptor</w:t>
      </w:r>
      <w:r>
        <w:t xml:space="preserve"> and </w:t>
      </w:r>
      <w:r w:rsidRPr="00241C16">
        <w:rPr>
          <w:i/>
        </w:rPr>
        <w:t>mTOR1C</w:t>
      </w:r>
      <w:r>
        <w:t xml:space="preserve"> UAS-</w:t>
      </w:r>
      <w:proofErr w:type="spellStart"/>
      <w:r>
        <w:t>shRNA</w:t>
      </w:r>
      <w:proofErr w:type="spellEnd"/>
      <w:r>
        <w:t xml:space="preserve"> </w:t>
      </w:r>
      <w:proofErr w:type="spellStart"/>
      <w:r>
        <w:t>TRiP</w:t>
      </w:r>
      <w:proofErr w:type="spellEnd"/>
      <w:r>
        <w:t xml:space="preserve">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proofErr w:type="spellStart"/>
      <w:r>
        <w:t>Rapamycin</w:t>
      </w:r>
      <w:proofErr w:type="spellEnd"/>
      <w:r>
        <w:t xml:space="preserve">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w:t>
      </w:r>
      <w:proofErr w:type="spellStart"/>
      <w:r w:rsidR="00020703">
        <w:t>TRiP</w:t>
      </w:r>
      <w:proofErr w:type="spellEnd"/>
      <w:r w:rsidR="009F649A">
        <w:t>-</w:t>
      </w:r>
      <w:proofErr w:type="spellStart"/>
      <w:r w:rsidR="00BE0793">
        <w:t>shRNA</w:t>
      </w:r>
      <w:proofErr w:type="spellEnd"/>
      <w:r w:rsidR="00BE0793">
        <w:t xml:space="preserve">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w:t>
      </w:r>
      <w:proofErr w:type="spellStart"/>
      <w:r w:rsidR="009F649A">
        <w:t>TRiP</w:t>
      </w:r>
      <w:proofErr w:type="spellEnd"/>
      <w:r w:rsidR="009F649A">
        <w:t xml:space="preserve"> control which contains the genomic insertion site but no shRNA</w:t>
      </w:r>
      <w:r w:rsidR="00241C16">
        <w:fldChar w:fldCharType="begin" w:fldLock="1"/>
      </w:r>
      <w:r w:rsidR="00346877">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"previouslyFormattedCitation" : "&lt;sup&gt;25&lt;/sup&gt;" }, "properties" : { "noteIndex" : 0 }, "schema" : "https://github.com/citation-style-language/schema/raw/master/csl-citation.json" }</w:instrText>
      </w:r>
      <w:r w:rsidR="00241C16">
        <w:fldChar w:fldCharType="separate"/>
      </w:r>
      <w:r w:rsidR="00346877" w:rsidRPr="00346877">
        <w:rPr>
          <w:noProof/>
          <w:vertAlign w:val="superscript"/>
        </w:rPr>
        <w:t>25</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w:t>
      </w:r>
      <w:proofErr w:type="spellStart"/>
      <w:r w:rsidR="00B11CCB">
        <w:t>eclose</w:t>
      </w:r>
      <w:proofErr w:type="spellEnd"/>
      <w:r w:rsidR="00B11CCB">
        <w:t xml:space="preserv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w:t>
      </w:r>
      <w:proofErr w:type="spellStart"/>
      <w:r w:rsidR="008600F9">
        <w:t>shRNA</w:t>
      </w:r>
      <w:proofErr w:type="spellEnd"/>
      <w:r w:rsidR="003979DD">
        <w:t>-</w:t>
      </w:r>
      <w:r>
        <w:rPr>
          <w:i/>
        </w:rPr>
        <w:t xml:space="preserve">Raptor </w:t>
      </w:r>
      <w:r>
        <w:t xml:space="preserve">and </w:t>
      </w:r>
      <w:r>
        <w:rPr>
          <w:i/>
        </w:rPr>
        <w:t>Mef</w:t>
      </w:r>
      <w:r w:rsidR="006858C4">
        <w:rPr>
          <w:i/>
        </w:rPr>
        <w:t>2</w:t>
      </w:r>
      <w:r>
        <w:rPr>
          <w:i/>
        </w:rPr>
        <w:t>-</w:t>
      </w:r>
      <w:r w:rsidR="00FE5A20" w:rsidRPr="008600F9">
        <w:t>GAL4</w:t>
      </w:r>
      <w:r w:rsidR="003979DD">
        <w:t>&gt;UAS-</w:t>
      </w:r>
      <w:proofErr w:type="spellStart"/>
      <w:r w:rsidR="003979DD">
        <w:t>shRNA</w:t>
      </w:r>
      <w:proofErr w:type="spellEnd"/>
      <w:r w:rsidR="003979DD">
        <w:t>-</w:t>
      </w:r>
      <w:r w:rsidR="003979DD">
        <w:rPr>
          <w:i/>
        </w:rPr>
        <w:t xml:space="preserve">Raptor </w:t>
      </w:r>
      <w:r>
        <w:t>crosses were made</w:t>
      </w:r>
      <w:r w:rsidR="00AA05A9">
        <w:t xml:space="preserve"> any remaining adult or F1 progeny </w:t>
      </w:r>
      <w:r>
        <w:t xml:space="preserve">flies were emptied from the vials. The empty </w:t>
      </w:r>
      <w:proofErr w:type="spellStart"/>
      <w:r>
        <w:t>pupal</w:t>
      </w:r>
      <w:proofErr w:type="spellEnd"/>
      <w:r>
        <w:t xml:space="preserve"> cases were counted and the cases containing dead flies were counted. </w:t>
      </w:r>
      <w:proofErr w:type="spellStart"/>
      <w:r w:rsidR="00AA05A9">
        <w:t>P</w:t>
      </w:r>
      <w:r>
        <w:t>upal</w:t>
      </w:r>
      <w:proofErr w:type="spellEnd"/>
      <w:r>
        <w:t xml:space="preserve">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 xml:space="preserve">Manual Assistance of </w:t>
      </w:r>
      <w:proofErr w:type="spellStart"/>
      <w:r>
        <w:t>Eclosure</w:t>
      </w:r>
      <w:proofErr w:type="spellEnd"/>
    </w:p>
    <w:p w14:paraId="4FFE9568" w14:textId="69751E0E" w:rsidR="001155A3" w:rsidRPr="001155A3" w:rsidRDefault="00E3624C" w:rsidP="00963A23">
      <w:pPr>
        <w:spacing w:line="480" w:lineRule="auto"/>
      </w:pPr>
      <w:r>
        <w:t xml:space="preserve">In order to </w:t>
      </w:r>
      <w:r w:rsidR="00E60C97">
        <w:t xml:space="preserve">determine if flies were dying because they were too weak to </w:t>
      </w:r>
      <w:proofErr w:type="spellStart"/>
      <w:r w:rsidR="00E60C97">
        <w:t>eclose</w:t>
      </w:r>
      <w:proofErr w:type="spellEnd"/>
      <w:r w:rsidR="00E60C97">
        <w:t xml:space="preserve"> from their </w:t>
      </w:r>
      <w:proofErr w:type="spellStart"/>
      <w:r w:rsidR="00E60C97">
        <w:t>pupal</w:t>
      </w:r>
      <w:proofErr w:type="spellEnd"/>
      <w:r w:rsidR="00E60C97">
        <w:t xml:space="preserve"> cases or dead in their </w:t>
      </w:r>
      <w:proofErr w:type="spellStart"/>
      <w:r w:rsidR="00E60C97">
        <w:t>pupal</w:t>
      </w:r>
      <w:proofErr w:type="spellEnd"/>
      <w:r w:rsidR="00E60C97">
        <w:t xml:space="preserve"> cases for other reasons we manually removed the anterior </w:t>
      </w:r>
      <w:proofErr w:type="spellStart"/>
      <w:r w:rsidR="00E60C97">
        <w:t>puparial</w:t>
      </w:r>
      <w:proofErr w:type="spellEnd"/>
      <w:r w:rsidR="00E60C97">
        <w:t xml:space="preserve"> operculum </w:t>
      </w:r>
      <w:r w:rsidR="00495F9F">
        <w:t xml:space="preserve">under a dissecting microscope using fine forceps </w:t>
      </w:r>
      <w:r w:rsidR="00E60C97">
        <w:t xml:space="preserve">from stage ~12-13 pupae that were fully formed, but had not yet </w:t>
      </w:r>
      <w:proofErr w:type="spellStart"/>
      <w:r w:rsidR="00E60C97">
        <w:t>eclosed</w:t>
      </w:r>
      <w:proofErr w:type="spellEnd"/>
      <w:r w:rsidR="00E60C97">
        <w:t xml:space="preserve">.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w:t>
      </w:r>
      <w:proofErr w:type="spellStart"/>
      <w:r w:rsidR="0041214D">
        <w:t>pupal</w:t>
      </w:r>
      <w:proofErr w:type="spellEnd"/>
      <w:r w:rsidR="0041214D">
        <w:t xml:space="preserve"> cases then placed back into a fresh vial for incubation</w:t>
      </w:r>
      <w:r w:rsidR="00E1521E">
        <w:t xml:space="preserve"> at 25 °C</w:t>
      </w:r>
      <w:r w:rsidR="0041214D">
        <w:t xml:space="preserve">. </w:t>
      </w:r>
      <w:r w:rsidR="00E1521E">
        <w:t>Using this</w:t>
      </w:r>
      <w:r w:rsidR="0041214D">
        <w:t xml:space="preserve"> method allowed for the rescue of </w:t>
      </w:r>
      <w:r w:rsidR="001155A3">
        <w:rPr>
          <w:b/>
        </w:rPr>
        <w:t>3</w:t>
      </w:r>
      <w:r w:rsidR="001155A3">
        <w:t xml:space="preserve"> </w:t>
      </w:r>
      <w:r w:rsidR="0041214D" w:rsidRPr="001155A3">
        <w:rPr>
          <w:rFonts w:asciiTheme="majorHAnsi" w:eastAsiaTheme="majorEastAsia" w:hAnsiTheme="majorHAnsi" w:cstheme="majorBidi"/>
          <w:bCs/>
          <w:i/>
          <w:color w:val="4F81BD" w:themeColor="accent1"/>
          <w:sz w:val="26"/>
          <w:szCs w:val="26"/>
        </w:rPr>
        <w:t>mef2</w:t>
      </w:r>
      <w:r w:rsidR="0041214D">
        <w:t>-GAL4&gt;UAS-</w:t>
      </w:r>
      <w:r w:rsidR="0041214D" w:rsidRPr="001155A3">
        <w:rPr>
          <w:rFonts w:asciiTheme="majorHAnsi" w:eastAsiaTheme="majorEastAsia" w:hAnsiTheme="majorHAnsi" w:cstheme="majorBidi"/>
          <w:bCs/>
          <w:i/>
          <w:color w:val="4F81BD" w:themeColor="accent1"/>
          <w:sz w:val="26"/>
          <w:szCs w:val="26"/>
        </w:rPr>
        <w:t>Raptor</w:t>
      </w:r>
      <w:r w:rsidR="0041214D">
        <w:t>-</w:t>
      </w:r>
      <w:proofErr w:type="spellStart"/>
      <w:r w:rsidR="0041214D">
        <w:t>shRNA</w:t>
      </w:r>
      <w:proofErr w:type="spellEnd"/>
      <w:r w:rsidR="0041214D">
        <w:t xml:space="preserve"> adults </w:t>
      </w:r>
      <w:r w:rsidR="00E1521E">
        <w:t>that</w:t>
      </w:r>
      <w:r w:rsidR="0041214D">
        <w:t xml:space="preserve"> were too weak to </w:t>
      </w:r>
      <w:r w:rsidR="00E1521E">
        <w:t xml:space="preserve">begin to </w:t>
      </w:r>
      <w:proofErr w:type="spellStart"/>
      <w:r w:rsidR="0041214D">
        <w:t>eclose</w:t>
      </w:r>
      <w:proofErr w:type="spellEnd"/>
      <w:r w:rsidR="0041214D">
        <w:t xml:space="preserv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05699572"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performed </w:t>
      </w:r>
      <w:r w:rsidR="00D8035D">
        <w:t xml:space="preserve">within 3 days post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4F11DD58"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346877">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"&lt;sup&gt;26&lt;/sup&gt;" }, "properties" : { "noteIndex" : 0 }, "schema" : "https://github.com/citation-style-language/schema/raw/master/csl-citation.json" }</w:instrText>
      </w:r>
      <w:r w:rsidR="00F3104E">
        <w:fldChar w:fldCharType="separate"/>
      </w:r>
      <w:r w:rsidR="00346877" w:rsidRPr="00346877">
        <w:rPr>
          <w:noProof/>
          <w:vertAlign w:val="superscript"/>
        </w:rPr>
        <w:t>26</w:t>
      </w:r>
      <w:r w:rsidR="00F3104E">
        <w:fldChar w:fldCharType="end"/>
      </w:r>
      <w:r w:rsidR="00F3104E">
        <w:t>.  Prior to performing ANOVA analyses, normality was assessed by Shapiro-</w:t>
      </w:r>
      <w:proofErr w:type="spellStart"/>
      <w:r w:rsidR="00F3104E">
        <w:t>Wilk</w:t>
      </w:r>
      <w:proofErr w:type="spellEnd"/>
      <w:r w:rsidR="00F3104E">
        <w:t xml:space="preserve"> test</w:t>
      </w:r>
      <w:r w:rsidR="001155A3">
        <w:t>s</w:t>
      </w:r>
      <w:r w:rsidR="00F3104E">
        <w:t xml:space="preserve"> and equal variance was tested using </w:t>
      </w:r>
      <w:proofErr w:type="spellStart"/>
      <w:r w:rsidR="00F3104E">
        <w:t>Levene’s</w:t>
      </w:r>
      <w:proofErr w:type="spellEnd"/>
      <w:r w:rsidR="00F3104E">
        <w:t xml:space="preserve"> test</w:t>
      </w:r>
      <w:r w:rsidR="001155A3">
        <w:t>s</w:t>
      </w:r>
      <w:r w:rsidR="00F3104E">
        <w:t xml:space="preserve"> (from the car package</w:t>
      </w:r>
      <w:r w:rsidR="00E9011E">
        <w:t xml:space="preserve"> (</w:t>
      </w:r>
      <w:r w:rsidR="00F3104E">
        <w:t>version 2.0-20</w:t>
      </w:r>
      <w:r w:rsidR="00E9011E">
        <w:t>)</w:t>
      </w:r>
      <w:r w:rsidR="00F3104E">
        <w:fldChar w:fldCharType="begin" w:fldLock="1"/>
      </w:r>
      <w:r w:rsidR="00346877">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"&lt;sup&gt;27&lt;/sup&gt;" }, "properties" : { "noteIndex" : 0 }, "schema" : "https://github.com/citation-style-language/schema/raw/master/csl-citation.json" }</w:instrText>
      </w:r>
      <w:r w:rsidR="00F3104E">
        <w:fldChar w:fldCharType="separate"/>
      </w:r>
      <w:r w:rsidR="00346877" w:rsidRPr="00346877">
        <w:rPr>
          <w:noProof/>
          <w:vertAlign w:val="superscript"/>
        </w:rPr>
        <w:t>27</w:t>
      </w:r>
      <w:r w:rsidR="00F3104E">
        <w:fldChar w:fldCharType="end"/>
      </w:r>
      <w:r w:rsidR="00F3104E">
        <w:t xml:space="preserve">).  If both these assumptions were met (p&gt;0.05) an ANOVA was performed. </w:t>
      </w:r>
      <w:r w:rsidR="004A69CC">
        <w:t xml:space="preserve">If either of these assumptions failed, a </w:t>
      </w:r>
      <w:proofErr w:type="spellStart"/>
      <w:r w:rsidR="004A69CC">
        <w:t>Kruskal</w:t>
      </w:r>
      <w:proofErr w:type="spellEnd"/>
      <w:r w:rsidR="004A69CC">
        <w:t xml:space="preserve">-Wallis test was performed.  If either of those omnibus tests reached significance, then Student’s </w:t>
      </w:r>
      <w:r w:rsidR="00E9011E" w:rsidRPr="001155A3">
        <w:rPr>
          <w:i/>
        </w:rPr>
        <w:t>t</w:t>
      </w:r>
      <w:r w:rsidR="004A69CC">
        <w:t>-</w:t>
      </w:r>
      <w:r w:rsidR="00E9011E">
        <w:t xml:space="preserve">tests </w:t>
      </w:r>
      <w:r w:rsidR="004A69CC">
        <w:t xml:space="preserve">or </w:t>
      </w:r>
      <w:proofErr w:type="spellStart"/>
      <w:r w:rsidR="004A69CC">
        <w:t>Wicoxon</w:t>
      </w:r>
      <w:proofErr w:type="spellEnd"/>
      <w:r w:rsidR="004A69CC">
        <w:t xml:space="preserve">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fldChar w:fldCharType="begin" w:fldLock="1"/>
      </w:r>
      <w:r w:rsidR="00346877">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"&lt;sup&gt;28&lt;/sup&gt;" }, "properties" : { "noteIndex" : 0 }, "schema" : "https://github.com/citation-style-language/schema/raw/master/csl-citation.json" }</w:instrText>
      </w:r>
      <w:r w:rsidR="009364BA">
        <w:fldChar w:fldCharType="separate"/>
      </w:r>
      <w:r w:rsidR="00346877" w:rsidRPr="00346877">
        <w:rPr>
          <w:noProof/>
          <w:vertAlign w:val="superscript"/>
        </w:rPr>
        <w:t>28</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proofErr w:type="spellStart"/>
      <w:r>
        <w:t>Rapamycin</w:t>
      </w:r>
      <w:proofErr w:type="spellEnd"/>
      <w:r>
        <w:t xml:space="preserve"> Inhibits Differentiation of Muscle Cells in Culture</w:t>
      </w:r>
    </w:p>
    <w:p w14:paraId="4CEA9500" w14:textId="1603A3C2" w:rsidR="00E56C2A" w:rsidRPr="00E56C2A" w:rsidRDefault="00581BE2" w:rsidP="00963A23">
      <w:pPr>
        <w:spacing w:line="480" w:lineRule="auto"/>
        <w:jc w:val="both"/>
      </w:pPr>
      <w:r>
        <w:t>To determine the order in which myogenic markers are induced</w:t>
      </w:r>
      <w:r w:rsidR="00FB74D5">
        <w:t xml:space="preserve"> during </w:t>
      </w:r>
      <w:proofErr w:type="spellStart"/>
      <w:r w:rsidR="00FB74D5">
        <w:t>myogenesis</w:t>
      </w:r>
      <w:proofErr w:type="spellEnd"/>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proofErr w:type="spellStart"/>
      <w:r w:rsidR="00C8511F" w:rsidRPr="00E56C2A">
        <w:t>q</w:t>
      </w:r>
      <w:r w:rsidR="00E56C2A" w:rsidRPr="00E56C2A">
        <w:t>RT</w:t>
      </w:r>
      <w:proofErr w:type="spellEnd"/>
      <w:r w:rsidR="00E56C2A" w:rsidRPr="00E56C2A">
        <w:t xml:space="preserve">-PCR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E56C2A" w:rsidRPr="00E56C2A">
        <w:t xml:space="preserve">day 5 or 6 (Figure 1A).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346877">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"previouslyFormattedCitation" : "&lt;sup&gt;29&lt;/sup&gt;" }, "properties" : { "noteIndex" : 0 }, "schema" : "https://github.com/citation-style-language/schema/raw/master/csl-citation.json" }</w:instrText>
      </w:r>
      <w:r>
        <w:fldChar w:fldCharType="separate"/>
      </w:r>
      <w:r w:rsidR="00346877" w:rsidRPr="00346877">
        <w:rPr>
          <w:noProof/>
          <w:vertAlign w:val="superscript"/>
        </w:rPr>
        <w:t>29</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79F31CE8" w14:textId="5DBC26A1" w:rsidR="004D266E" w:rsidRDefault="00E56C2A" w:rsidP="00963A23">
      <w:pPr>
        <w:spacing w:line="480" w:lineRule="auto"/>
        <w:jc w:val="both"/>
      </w:pPr>
      <w:r w:rsidRPr="00E56C2A">
        <w:t xml:space="preserve">Next we wanted to </w:t>
      </w:r>
      <w:r w:rsidR="002F0B96">
        <w:t>determine if</w:t>
      </w:r>
      <w:r w:rsidRPr="00E56C2A">
        <w:t xml:space="preserve"> </w:t>
      </w:r>
      <w:proofErr w:type="spellStart"/>
      <w:r w:rsidRPr="00E56C2A">
        <w:t>rapamycin</w:t>
      </w:r>
      <w:proofErr w:type="spellEnd"/>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 xml:space="preserve">differentiation (Figure 1B and C). Treatment with </w:t>
      </w:r>
      <w:proofErr w:type="spellStart"/>
      <w:r w:rsidRPr="00E56C2A">
        <w:t>rapamycin</w:t>
      </w:r>
      <w:proofErr w:type="spellEnd"/>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 xml:space="preserve">igure 1B) and prevented the formation of </w:t>
      </w:r>
      <w:proofErr w:type="spellStart"/>
      <w:r w:rsidRPr="00E56C2A">
        <w:t>myotubes</w:t>
      </w:r>
      <w:proofErr w:type="spellEnd"/>
      <w:r w:rsidRPr="00E56C2A">
        <w:t xml:space="preserve"> (Figure 1C). </w:t>
      </w:r>
    </w:p>
    <w:p w14:paraId="32D68E85" w14:textId="77777777" w:rsidR="004D266E" w:rsidRDefault="004D266E" w:rsidP="00963A23">
      <w:pPr>
        <w:spacing w:line="480" w:lineRule="auto"/>
        <w:jc w:val="both"/>
      </w:pPr>
    </w:p>
    <w:p w14:paraId="6BF140A1" w14:textId="7B22C0C0" w:rsidR="004D266E" w:rsidRDefault="004D266E" w:rsidP="00963A23">
      <w:pPr>
        <w:spacing w:line="480" w:lineRule="auto"/>
        <w:jc w:val="both"/>
      </w:pPr>
      <w:r>
        <w:t xml:space="preserve">Since </w:t>
      </w:r>
      <w:proofErr w:type="spellStart"/>
      <w:r w:rsidR="006A5842">
        <w:t>rapamycin</w:t>
      </w:r>
      <w:proofErr w:type="spellEnd"/>
      <w:r w:rsidR="006A5842">
        <w:t xml:space="preserve"> does</w:t>
      </w:r>
      <w:r w:rsidR="00297FB0">
        <w:t xml:space="preserve"> not reduce the differentiation-</w:t>
      </w:r>
      <w:r w:rsidR="006A5842">
        <w:t>associated elevation of</w:t>
      </w:r>
      <w:r w:rsidR="00E56C2A" w:rsidRPr="00E56C2A">
        <w:t xml:space="preserve"> </w:t>
      </w:r>
      <w:r w:rsidR="00E56C2A" w:rsidRPr="00E56C2A">
        <w:rPr>
          <w:i/>
        </w:rPr>
        <w:t>Myod1</w:t>
      </w:r>
      <w:r w:rsidR="00E56C2A" w:rsidRPr="00E56C2A">
        <w:t xml:space="preserve"> </w:t>
      </w:r>
      <w:r>
        <w:t>transcript levels</w:t>
      </w:r>
      <w:r w:rsidR="00297FB0">
        <w:t>, consistent with previous findings</w:t>
      </w:r>
      <w:r w:rsidR="00297FB0">
        <w:fldChar w:fldCharType="begin" w:fldLock="1"/>
      </w:r>
      <w:r w:rsidR="00346877">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297FB0">
        <w:fldChar w:fldCharType="separate"/>
      </w:r>
      <w:r w:rsidR="00346877" w:rsidRPr="00346877">
        <w:rPr>
          <w:noProof/>
          <w:vertAlign w:val="superscript"/>
        </w:rPr>
        <w:t>22</w:t>
      </w:r>
      <w:r w:rsidR="00297FB0">
        <w:fldChar w:fldCharType="end"/>
      </w:r>
      <w:r w:rsidR="00297FB0">
        <w:t>,</w:t>
      </w:r>
      <w:r>
        <w:t xml:space="preserve"> it is unlikely that the</w:t>
      </w:r>
      <w:r w:rsidR="006A5842">
        <w:t xml:space="preserve"> mTORC1</w:t>
      </w:r>
      <w:r>
        <w:t xml:space="preserve"> target is upstream of </w:t>
      </w:r>
      <w:r>
        <w:rPr>
          <w:i/>
        </w:rPr>
        <w:t>Myod1</w:t>
      </w:r>
      <w:r>
        <w:t xml:space="preserve"> transcription.  Furthermore, since </w:t>
      </w:r>
      <w:r w:rsidR="006A5842">
        <w:t xml:space="preserve">the elevation of </w:t>
      </w:r>
      <w:r>
        <w:t xml:space="preserve">several early differentiation targets, including </w:t>
      </w:r>
      <w:proofErr w:type="spellStart"/>
      <w:r w:rsidRPr="00E56C2A">
        <w:rPr>
          <w:i/>
        </w:rPr>
        <w:t>Myog</w:t>
      </w:r>
      <w:proofErr w:type="spellEnd"/>
      <w:r w:rsidRPr="00E56C2A">
        <w:t xml:space="preserve">, </w:t>
      </w:r>
      <w:r w:rsidRPr="00E56C2A">
        <w:rPr>
          <w:i/>
        </w:rPr>
        <w:t>Myf5</w:t>
      </w:r>
      <w:r w:rsidR="006A5842">
        <w:t>, and</w:t>
      </w:r>
      <w:r w:rsidRPr="00E56C2A">
        <w:t xml:space="preserve"> </w:t>
      </w:r>
      <w:r w:rsidRPr="00E56C2A">
        <w:rPr>
          <w:i/>
        </w:rPr>
        <w:t>Cdkn1a</w:t>
      </w:r>
      <w:r w:rsidR="006A5842">
        <w:rPr>
          <w:i/>
        </w:rPr>
        <w:t xml:space="preserve"> </w:t>
      </w:r>
      <w:r w:rsidR="006A5842">
        <w:t xml:space="preserve">are all blocked by </w:t>
      </w:r>
      <w:proofErr w:type="spellStart"/>
      <w:r w:rsidR="006A5842">
        <w:t>rapamycin</w:t>
      </w:r>
      <w:proofErr w:type="spellEnd"/>
      <w:r w:rsidR="006A5842">
        <w:t xml:space="preserve"> </w:t>
      </w:r>
      <w:r w:rsidR="007D6A72">
        <w:t xml:space="preserve">our data supports the hypothesis that mTORC1 is required downstream of </w:t>
      </w:r>
      <w:r w:rsidR="007D6A72">
        <w:rPr>
          <w:i/>
        </w:rPr>
        <w:t>Myod1</w:t>
      </w:r>
      <w:r w:rsidR="007D6A72">
        <w:t xml:space="preserve"> transcription</w:t>
      </w:r>
      <w:r w:rsidR="003006ED">
        <w:t xml:space="preserve"> but still quite early in the differentiation process</w:t>
      </w:r>
      <w:r w:rsidR="00852708">
        <w:rPr>
          <w:i/>
        </w:rPr>
        <w:t>.</w:t>
      </w:r>
      <w:r>
        <w:t xml:space="preserve"> </w:t>
      </w:r>
      <w:r w:rsidR="0078613C">
        <w:t xml:space="preserve"> </w:t>
      </w:r>
      <w:r w:rsidR="007D6A72">
        <w:t>Since</w:t>
      </w:r>
      <w:r>
        <w:t xml:space="preserve"> </w:t>
      </w:r>
      <w:r w:rsidR="00E56C2A" w:rsidRPr="00E56C2A">
        <w:rPr>
          <w:i/>
        </w:rPr>
        <w:t>Mef2c</w:t>
      </w:r>
      <w:r w:rsidR="006552AD">
        <w:t xml:space="preserve"> does not increase until late</w:t>
      </w:r>
      <w:r w:rsidR="00E56C2A" w:rsidRPr="00E56C2A">
        <w:t xml:space="preserve"> in the differentiation process</w:t>
      </w:r>
      <w:r>
        <w:t xml:space="preserve">, and is downstream of </w:t>
      </w:r>
      <w:proofErr w:type="spellStart"/>
      <w:r>
        <w:rPr>
          <w:i/>
        </w:rPr>
        <w:t>Myog</w:t>
      </w:r>
      <w:proofErr w:type="spellEnd"/>
      <w:r w:rsidR="007D6A72">
        <w:t xml:space="preserve">, reductions in </w:t>
      </w:r>
      <w:r w:rsidR="007D6A72">
        <w:rPr>
          <w:i/>
        </w:rPr>
        <w:t xml:space="preserve">Mef2c </w:t>
      </w:r>
      <w:r w:rsidR="007D6A72">
        <w:t xml:space="preserve">levels are likely due to defects upstream of </w:t>
      </w:r>
      <w:r w:rsidR="007D6A72">
        <w:rPr>
          <w:i/>
        </w:rPr>
        <w:t>Myog</w:t>
      </w:r>
      <w:r>
        <w:fldChar w:fldCharType="begin" w:fldLock="1"/>
      </w:r>
      <w:r w:rsidR="00346877">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"previouslyFormattedCitation" : "&lt;sup&gt;30&lt;/sup&gt;" }, "properties" : { "noteIndex" : 0 }, "schema" : "https://github.com/citation-style-language/schema/raw/master/csl-citation.json" }</w:instrText>
      </w:r>
      <w:r>
        <w:fldChar w:fldCharType="separate"/>
      </w:r>
      <w:r w:rsidR="00346877" w:rsidRPr="00346877">
        <w:rPr>
          <w:noProof/>
          <w:vertAlign w:val="superscript"/>
        </w:rPr>
        <w:t>30</w:t>
      </w:r>
      <w:r>
        <w:fldChar w:fldCharType="end"/>
      </w:r>
      <w:r w:rsidR="0078613C">
        <w:t xml:space="preserve">. </w:t>
      </w:r>
      <w:r w:rsidR="009F7B4A">
        <w:t xml:space="preserve">  We therefore predicted that mTORC1, required for </w:t>
      </w:r>
      <w:proofErr w:type="spellStart"/>
      <w:r w:rsidR="009F7B4A">
        <w:t>MyoD</w:t>
      </w:r>
      <w:proofErr w:type="spellEnd"/>
      <w:r w:rsidR="009F7B4A">
        <w:t xml:space="preserve"> stabilization, may play a critical role in muscle development and should be tested in a live organism undergoing </w:t>
      </w:r>
      <w:proofErr w:type="spellStart"/>
      <w:r w:rsidR="009F7B4A">
        <w:t>myogenesis</w:t>
      </w:r>
      <w:proofErr w:type="spellEnd"/>
      <w:r w:rsidR="009F7B4A">
        <w:t>.</w:t>
      </w:r>
    </w:p>
    <w:p w14:paraId="171217D9" w14:textId="77777777" w:rsidR="004D266E" w:rsidRDefault="004D266E" w:rsidP="00963A23">
      <w:pPr>
        <w:spacing w:line="480" w:lineRule="auto"/>
        <w:jc w:val="both"/>
      </w:pPr>
    </w:p>
    <w:p w14:paraId="0CB9B4B0" w14:textId="31974C36" w:rsidR="00852708" w:rsidRPr="00335C71" w:rsidRDefault="00E56C2A" w:rsidP="00963A23">
      <w:pPr>
        <w:spacing w:line="480" w:lineRule="auto"/>
        <w:jc w:val="both"/>
      </w:pPr>
      <w:r w:rsidRPr="00E56C2A">
        <w:t xml:space="preserve">These data show that the </w:t>
      </w:r>
      <w:r w:rsidR="0078613C">
        <w:t>m</w:t>
      </w:r>
      <w:r w:rsidRPr="00E56C2A">
        <w:t xml:space="preserve">TORC1 pathway is required to be active </w:t>
      </w:r>
      <w:r w:rsidR="00852708">
        <w:t xml:space="preserve">at a very early </w:t>
      </w:r>
      <w:r w:rsidR="00AA5186">
        <w:t xml:space="preserve">time point during the </w:t>
      </w:r>
      <w:r w:rsidRPr="00E56C2A">
        <w:t>differentiation in C2C12 cells</w:t>
      </w:r>
      <w:r w:rsidR="00AA5186">
        <w:t xml:space="preserve"> into </w:t>
      </w:r>
      <w:proofErr w:type="spellStart"/>
      <w:r w:rsidR="00AA5186">
        <w:t>myotubes</w:t>
      </w:r>
      <w:proofErr w:type="spellEnd"/>
      <w:r w:rsidR="00852708">
        <w:t xml:space="preserve">.  </w:t>
      </w:r>
      <w:r w:rsidRPr="00E56C2A">
        <w:t xml:space="preserve">Additionally, these data indicate </w:t>
      </w:r>
      <w:r w:rsidR="00852708">
        <w:t xml:space="preserve">that </w:t>
      </w:r>
      <w:proofErr w:type="spellStart"/>
      <w:r w:rsidRPr="00E56C2A">
        <w:rPr>
          <w:i/>
        </w:rPr>
        <w:t>Myog</w:t>
      </w:r>
      <w:proofErr w:type="spellEnd"/>
      <w:r w:rsidRPr="00E56C2A">
        <w:t xml:space="preserve">, </w:t>
      </w:r>
      <w:r w:rsidRPr="00E56C2A">
        <w:rPr>
          <w:i/>
        </w:rPr>
        <w:t>Myf5</w:t>
      </w:r>
      <w:r w:rsidRPr="00E56C2A">
        <w:t xml:space="preserve">, </w:t>
      </w:r>
      <w:r w:rsidRPr="00E56C2A">
        <w:rPr>
          <w:i/>
        </w:rPr>
        <w:t>Cdkn1a</w:t>
      </w:r>
      <w:r w:rsidRPr="00E56C2A">
        <w:t xml:space="preserve"> </w:t>
      </w:r>
      <w:r w:rsidR="004D266E">
        <w:t xml:space="preserve">and </w:t>
      </w:r>
      <w:r w:rsidR="004D266E">
        <w:rPr>
          <w:i/>
        </w:rPr>
        <w:t xml:space="preserve">Mef2c </w:t>
      </w:r>
      <w:r w:rsidR="006552AD">
        <w:t xml:space="preserve">all require mTORC1 function for their transcriptional activation during </w:t>
      </w:r>
      <w:proofErr w:type="spellStart"/>
      <w:r w:rsidR="006552AD">
        <w:t>myogenesis</w:t>
      </w:r>
      <w:proofErr w:type="spellEnd"/>
      <w:r w:rsidR="006552AD">
        <w:t>.</w:t>
      </w:r>
      <w:r w:rsidR="004D266E">
        <w:t xml:space="preserve"> 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w:t>
      </w:r>
      <w:proofErr w:type="spellStart"/>
      <w:r w:rsidR="004D266E">
        <w:t>MyoD</w:t>
      </w:r>
      <w:proofErr w:type="spellEnd"/>
      <w:r w:rsidR="00BE2567">
        <w:t xml:space="preserve"> as previously suggested</w:t>
      </w:r>
      <w:r w:rsidR="004D266E">
        <w:fldChar w:fldCharType="begin" w:fldLock="1"/>
      </w:r>
      <w:r w:rsidR="00346877">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4D266E">
        <w:fldChar w:fldCharType="separate"/>
      </w:r>
      <w:r w:rsidR="00346877" w:rsidRPr="00346877">
        <w:rPr>
          <w:noProof/>
          <w:vertAlign w:val="superscript"/>
        </w:rPr>
        <w:t>22</w:t>
      </w:r>
      <w:r w:rsidR="004D266E">
        <w:fldChar w:fldCharType="end"/>
      </w:r>
      <w:r w:rsidR="00852708">
        <w:t>, though whether there are other mTORC1 targets in early differentiation is not clear</w:t>
      </w:r>
      <w:r w:rsidR="004D266E">
        <w:t>.</w:t>
      </w:r>
      <w:r w:rsidR="00852708" w:rsidRPr="00852708">
        <w:t xml:space="preserve"> </w:t>
      </w:r>
      <w:r w:rsidR="00852708">
        <w:t xml:space="preserve">Since the primary effect of miRNA-1 is on </w:t>
      </w:r>
      <w:proofErr w:type="spellStart"/>
      <w:r w:rsidR="00852708">
        <w:t>myotube</w:t>
      </w:r>
      <w:proofErr w:type="spellEnd"/>
      <w:r w:rsidR="00852708">
        <w:t xml:space="preserve"> fusion, it is likely that there are other mTORC1 dependent effects, as the morphological changes prior to </w:t>
      </w:r>
      <w:proofErr w:type="spellStart"/>
      <w:r w:rsidR="00852708">
        <w:t>myotube</w:t>
      </w:r>
      <w:proofErr w:type="spellEnd"/>
      <w:r w:rsidR="00852708">
        <w:t xml:space="preserve"> fusion are also disrupted by rapamycin</w:t>
      </w:r>
      <w:r w:rsidR="00852708">
        <w:fldChar w:fldCharType="begin" w:fldLock="1"/>
      </w:r>
      <w:r w:rsidR="00346877">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"&lt;sup&gt;11&lt;/sup&gt;" }, "properties" : { "noteIndex" : 0 }, "schema" : "https://github.com/citation-style-language/schema/raw/master/csl-citation.json" }</w:instrText>
      </w:r>
      <w:r w:rsidR="00852708">
        <w:fldChar w:fldCharType="separate"/>
      </w:r>
      <w:r w:rsidR="00346877" w:rsidRPr="00346877">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w:t>
      </w:r>
      <w:proofErr w:type="spellStart"/>
      <w:r w:rsidR="00974669">
        <w:t>Pupal</w:t>
      </w:r>
      <w:proofErr w:type="spellEnd"/>
      <w:r w:rsidR="00974669">
        <w:t xml:space="preserve"> </w:t>
      </w:r>
      <w:r>
        <w:t>Lethality in Drosophila</w:t>
      </w:r>
    </w:p>
    <w:p w14:paraId="2465595E" w14:textId="09BFC3D3"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w:t>
      </w:r>
      <w:r w:rsidR="00615C91">
        <w:t>s</w:t>
      </w:r>
      <w:r w:rsidR="0075212D">
        <w:t xml:space="preserve"> egg laying</w:t>
      </w:r>
      <w:r w:rsidR="00C570D3">
        <w:t xml:space="preserve"> in females</w:t>
      </w:r>
      <w:r w:rsidR="0075212D">
        <w:fldChar w:fldCharType="begin" w:fldLock="1"/>
      </w:r>
      <w:r w:rsidR="00346877">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75212D">
        <w:fldChar w:fldCharType="separate"/>
      </w:r>
      <w:r w:rsidR="00346877" w:rsidRPr="00346877">
        <w:rPr>
          <w:noProof/>
          <w:vertAlign w:val="superscript"/>
        </w:rPr>
        <w:t>16</w:t>
      </w:r>
      <w:r w:rsidR="0075212D">
        <w:fldChar w:fldCharType="end"/>
      </w:r>
      <w:r w:rsidR="0075212D">
        <w:t xml:space="preserve">.  We performed dose curves and found that at much lower doses (EC50 of ~860 </w:t>
      </w:r>
      <w:proofErr w:type="spellStart"/>
      <w:r w:rsidR="0075212D">
        <w:t>nM</w:t>
      </w:r>
      <w:proofErr w:type="spellEnd"/>
      <w:r w:rsidR="0075212D">
        <w:t>) there was an absence of pupae and 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 xml:space="preserve">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7D3910">
        <w:t>.</w:t>
      </w:r>
      <w:r w:rsidR="00340AA3">
        <w:t xml:space="preserve">  These data suggest that </w:t>
      </w:r>
      <w:proofErr w:type="spellStart"/>
      <w:r w:rsidR="009111E3">
        <w:t>rapamycin</w:t>
      </w:r>
      <w:proofErr w:type="spellEnd"/>
      <w:r w:rsidR="00340AA3">
        <w:t xml:space="preserve"> inhibits fly </w:t>
      </w:r>
      <w:r w:rsidR="00C570D3">
        <w:t xml:space="preserve">muscle </w:t>
      </w:r>
      <w:r w:rsidR="00340AA3">
        <w:t>development, similar to what has been observed in mice</w:t>
      </w:r>
      <w:r w:rsidR="009111E3">
        <w:fldChar w:fldCharType="begin" w:fldLock="1"/>
      </w:r>
      <w:r w:rsidR="00346877">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"&lt;sup&gt;12&lt;/sup&gt;" }, "properties" : { "noteIndex" : 0 }, "schema" : "https://github.com/citation-style-language/schema/raw/master/csl-citation.json" }</w:instrText>
      </w:r>
      <w:r w:rsidR="009111E3">
        <w:fldChar w:fldCharType="separate"/>
      </w:r>
      <w:r w:rsidR="00346877" w:rsidRPr="00346877">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346877">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"&lt;sup&gt;13\u201315,31&lt;/sup&gt;" }, "properties" : { "noteIndex" : 0 }, "schema" : "https://github.com/citation-style-language/schema/raw/master/csl-citation.json" }</w:instrText>
      </w:r>
      <w:r w:rsidR="00E20164">
        <w:fldChar w:fldCharType="separate"/>
      </w:r>
      <w:r w:rsidR="00346877" w:rsidRPr="00346877">
        <w:rPr>
          <w:noProof/>
          <w:vertAlign w:val="superscript"/>
        </w:rPr>
        <w:t>13–15,31</w:t>
      </w:r>
      <w:r w:rsidR="00E20164">
        <w:fldChar w:fldCharType="end"/>
      </w:r>
      <w:r w:rsidR="00340AA3">
        <w:t>.</w:t>
      </w:r>
    </w:p>
    <w:p w14:paraId="3BD273BB" w14:textId="77777777" w:rsidR="00B20189" w:rsidRDefault="00B20189" w:rsidP="00963A23">
      <w:pPr>
        <w:spacing w:line="480" w:lineRule="auto"/>
        <w:jc w:val="both"/>
      </w:pPr>
    </w:p>
    <w:p w14:paraId="0690C456" w14:textId="7B2369FA"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346877">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"&lt;sup&gt;32&lt;/sup&gt;" }, "properties" : { "noteIndex" : 0 }, "schema" : "https://github.com/citation-style-language/schema/raw/master/csl-citation.json" }</w:instrText>
      </w:r>
      <w:r w:rsidR="00F0001B">
        <w:fldChar w:fldCharType="separate"/>
      </w:r>
      <w:r w:rsidR="00346877" w:rsidRPr="00346877">
        <w:rPr>
          <w:noProof/>
          <w:vertAlign w:val="superscript"/>
        </w:rPr>
        <w:t>32</w:t>
      </w:r>
      <w:r w:rsidR="00F0001B">
        <w:fldChar w:fldCharType="end"/>
      </w:r>
      <w:r w:rsidR="00C10A32">
        <w:t xml:space="preserve">. </w:t>
      </w:r>
      <w:r w:rsidR="00C8155A">
        <w:t>We used</w:t>
      </w:r>
      <w:r w:rsidR="003C09B8">
        <w:t xml:space="preserve"> several</w:t>
      </w:r>
      <w:r w:rsidR="00C8155A">
        <w:t xml:space="preserve"> </w:t>
      </w:r>
      <w:r w:rsidR="00FE5A20">
        <w:rPr>
          <w:i/>
        </w:rPr>
        <w:t>GAL4</w:t>
      </w:r>
      <w:r w:rsidR="00C8155A">
        <w:rPr>
          <w:i/>
        </w:rPr>
        <w:t xml:space="preserve"> </w:t>
      </w:r>
      <w:r w:rsidR="00C8155A">
        <w:t xml:space="preserve">drivers that </w:t>
      </w:r>
      <w:r w:rsidR="00166782">
        <w:t xml:space="preserve">drove </w:t>
      </w:r>
      <w:r w:rsidR="00C8155A">
        <w:t xml:space="preserve">expression of the UAS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Pr>
          <w:i/>
        </w:rPr>
        <w:t>GAL4</w:t>
      </w:r>
      <w:r w:rsidR="00EE5C4B">
        <w:rPr>
          <w:i/>
        </w:rPr>
        <w:t>, C179-</w:t>
      </w:r>
      <w:r w:rsidR="00FE5A20">
        <w:rPr>
          <w:i/>
        </w:rPr>
        <w:t>GAL4</w:t>
      </w:r>
      <w:r w:rsidR="00EE5C4B">
        <w:rPr>
          <w:i/>
        </w:rPr>
        <w:t>,</w:t>
      </w:r>
      <w:r w:rsidR="00EE5C4B">
        <w:t xml:space="preserve"> </w:t>
      </w:r>
      <w:r w:rsidR="00EE5C4B">
        <w:rPr>
          <w:i/>
        </w:rPr>
        <w:t>Mef</w:t>
      </w:r>
      <w:r w:rsidR="006858C4">
        <w:rPr>
          <w:i/>
        </w:rPr>
        <w:t>2</w:t>
      </w:r>
      <w:r w:rsidR="00EE5C4B">
        <w:rPr>
          <w:i/>
        </w:rPr>
        <w:t>-</w:t>
      </w:r>
      <w:r w:rsidR="00FE5A20">
        <w:rPr>
          <w:i/>
        </w:rPr>
        <w:t>GAL4</w:t>
      </w:r>
      <w:r w:rsidR="00C10A32">
        <w:t xml:space="preserve"> </w:t>
      </w:r>
      <w:r w:rsidR="003C09B8">
        <w:t xml:space="preserve">and </w:t>
      </w:r>
      <w:r w:rsidR="003C09B8" w:rsidRPr="003C09B8">
        <w:rPr>
          <w:i/>
        </w:rPr>
        <w:t>Mhc-GAL4</w:t>
      </w:r>
      <w:r w:rsidR="003C09B8">
        <w:t xml:space="preserve"> </w:t>
      </w:r>
      <w:r w:rsidR="00C10A32">
        <w:t>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166782">
        <w:t xml:space="preserve"> were used from the Harvard </w:t>
      </w:r>
      <w:proofErr w:type="spellStart"/>
      <w:r w:rsidR="00166782">
        <w:t>shRNA</w:t>
      </w:r>
      <w:proofErr w:type="spellEnd"/>
      <w:r w:rsidR="00166782">
        <w:t xml:space="preserve"> </w:t>
      </w:r>
      <w:proofErr w:type="spellStart"/>
      <w:r w:rsidR="00166782">
        <w:t>TRiP</w:t>
      </w:r>
      <w:proofErr w:type="spellEnd"/>
      <w:r w:rsidR="00166782">
        <w:t xml:space="preserve">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5AF29F2C"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proofErr w:type="spellStart"/>
      <w:r w:rsidR="0005343F" w:rsidRPr="002E2075">
        <w:rPr>
          <w:i/>
        </w:rPr>
        <w:t>S</w:t>
      </w:r>
      <w:r w:rsidR="00B84625" w:rsidRPr="002E2075">
        <w:rPr>
          <w:i/>
        </w:rPr>
        <w:t>b</w:t>
      </w:r>
      <w:proofErr w:type="spellEnd"/>
      <w:r>
        <w:t xml:space="preserve"> flies with heterozygous, balanced </w:t>
      </w:r>
      <w:r w:rsidR="003C09B8">
        <w:t>UAS-</w:t>
      </w:r>
      <w:proofErr w:type="spellStart"/>
      <w:r>
        <w:t>shRNA</w:t>
      </w:r>
      <w:proofErr w:type="spellEnd"/>
      <w:r w:rsidR="00F4039D">
        <w:t>/</w:t>
      </w:r>
      <w:r w:rsidR="00B84625">
        <w:t>TM6B</w:t>
      </w:r>
      <w:r>
        <w:t xml:space="preserve"> </w:t>
      </w:r>
      <w:r w:rsidR="003C09B8">
        <w:t>transgenic flies</w:t>
      </w:r>
      <w:r>
        <w:t xml:space="preserve">. </w:t>
      </w:r>
      <w:r w:rsidR="00BE37DD">
        <w:t xml:space="preserve">The </w:t>
      </w:r>
      <w:proofErr w:type="gramStart"/>
      <w:r w:rsidR="004826A6">
        <w:t>flies</w:t>
      </w:r>
      <w:proofErr w:type="gramEnd"/>
      <w:r w:rsidR="00BE37DD">
        <w:t xml:space="preserve"> </w:t>
      </w:r>
      <w:proofErr w:type="spellStart"/>
      <w:r w:rsidR="004F0ECA">
        <w:t>inherting</w:t>
      </w:r>
      <w:proofErr w:type="spellEnd"/>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4039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proofErr w:type="gramStart"/>
      <w:r w:rsidR="00BE37DD">
        <w:t>driver</w:t>
      </w:r>
      <w:proofErr w:type="gramEnd"/>
      <w:r w:rsidR="00BE37DD">
        <w:t xml:space="preserve">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the</w:t>
      </w:r>
      <w:r w:rsidR="00F4039D">
        <w:t xml:space="preserve">re was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proofErr w:type="spellStart"/>
      <w:r w:rsidR="00695686">
        <w:t>shRNA</w:t>
      </w:r>
      <w:proofErr w:type="spellEnd"/>
      <w:r w:rsidR="00695686">
        <w:t>/</w:t>
      </w:r>
      <w:r w:rsidR="007237A6">
        <w:t>TM6</w:t>
      </w:r>
      <w:r w:rsidR="00B84625">
        <w:t>B</w:t>
      </w:r>
      <w:r w:rsidR="00695686">
        <w:t xml:space="preserve"> </w:t>
      </w:r>
      <w:r w:rsidR="00F4039D">
        <w:t xml:space="preserve">resulted </w:t>
      </w:r>
      <w:proofErr w:type="gramStart"/>
      <w:r w:rsidR="00F4039D">
        <w:t>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proofErr w:type="gramEnd"/>
      <w:r w:rsidR="00F4039D">
        <w:t xml:space="preserve"> (i.e. </w:t>
      </w:r>
      <w:r w:rsidR="00F4039D" w:rsidRPr="00B84625">
        <w:rPr>
          <w:i/>
        </w:rPr>
        <w:t>c179</w:t>
      </w:r>
      <w:r w:rsidR="00F4039D">
        <w:t>-GAL4&gt;UAS-</w:t>
      </w:r>
      <w:r w:rsidR="00F4039D" w:rsidRPr="00B84625">
        <w:rPr>
          <w:i/>
        </w:rPr>
        <w:t>Raptor</w:t>
      </w:r>
      <w:r w:rsidR="00F4039D">
        <w:t>-</w:t>
      </w:r>
      <w:proofErr w:type="spellStart"/>
      <w:r w:rsidR="00F4039D">
        <w:t>shRNA</w:t>
      </w:r>
      <w:proofErr w:type="spellEnd"/>
      <w:r w:rsidR="00F4039D">
        <w:t>)</w:t>
      </w:r>
      <w:r w:rsidR="00695686">
        <w:t xml:space="preserve">, although in this case some flies </w:t>
      </w:r>
      <w:r w:rsidR="00F4039D">
        <w:t>expressing UAS-</w:t>
      </w:r>
      <w:r w:rsidR="00F4039D" w:rsidRPr="00B84625">
        <w:rPr>
          <w:i/>
        </w:rPr>
        <w:t>Raptor</w:t>
      </w:r>
      <w:r w:rsidR="00F4039D">
        <w:t>-</w:t>
      </w:r>
      <w:proofErr w:type="spellStart"/>
      <w:r w:rsidR="00F4039D">
        <w:t>shRNA</w:t>
      </w:r>
      <w:proofErr w:type="spellEnd"/>
      <w:r w:rsidR="00F4039D">
        <w:t xml:space="preserve"> </w:t>
      </w:r>
      <w:r w:rsidR="00695686">
        <w:t xml:space="preserve">were able to </w:t>
      </w:r>
      <w:proofErr w:type="spellStart"/>
      <w:r w:rsidR="00695686">
        <w:t>eclose</w:t>
      </w:r>
      <w:proofErr w:type="spellEnd"/>
      <w:r w:rsidR="00695686">
        <w:t xml:space="preserve"> (Figure 2C).</w:t>
      </w:r>
      <w:r w:rsidR="00F73276">
        <w:t xml:space="preserve"> </w:t>
      </w:r>
    </w:p>
    <w:p w14:paraId="5840558F" w14:textId="77777777" w:rsidR="00F444D6" w:rsidRDefault="00F444D6" w:rsidP="00963A23">
      <w:pPr>
        <w:spacing w:line="480" w:lineRule="auto"/>
        <w:jc w:val="both"/>
      </w:pPr>
    </w:p>
    <w:p w14:paraId="798E98C6" w14:textId="2D876FB5"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w:t>
      </w:r>
      <w:proofErr w:type="spellStart"/>
      <w:r w:rsidR="00335DDC">
        <w:t>shRNA</w:t>
      </w:r>
      <w:proofErr w:type="spellEnd"/>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346877">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"&lt;sup&gt;32&lt;/sup&gt;" }, "properties" : { "noteIndex" : 0 }, "schema" : "https://github.com/citation-style-language/schema/raw/master/csl-citation.json" }</w:instrText>
      </w:r>
      <w:r w:rsidR="00335DDC">
        <w:fldChar w:fldCharType="separate"/>
      </w:r>
      <w:r w:rsidR="00346877" w:rsidRPr="00346877">
        <w:rPr>
          <w:noProof/>
          <w:vertAlign w:val="superscript"/>
        </w:rPr>
        <w:t>32</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3A9EA9E1" w:rsidR="003C09B8" w:rsidRPr="000B3301" w:rsidRDefault="00A95905" w:rsidP="00963A23">
      <w:pPr>
        <w:spacing w:line="480" w:lineRule="auto"/>
        <w:jc w:val="both"/>
        <w:rPr>
          <w:rFonts w:ascii="Cambria" w:hAnsi="Cambria"/>
        </w:rPr>
      </w:pPr>
      <w:r>
        <w:t xml:space="preserve">To test </w:t>
      </w:r>
      <w:r w:rsidR="00674B7E">
        <w:t xml:space="preserve">for the stage under which these flies fail to </w:t>
      </w:r>
      <w:proofErr w:type="spellStart"/>
      <w:r w:rsidR="00674B7E">
        <w:t>eclose</w:t>
      </w:r>
      <w:proofErr w:type="spellEnd"/>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DF02CD">
        <w:t xml:space="preserve"> </w:t>
      </w:r>
      <w:r>
        <w:t xml:space="preserve">and repeated </w:t>
      </w:r>
      <w:r w:rsidR="00C30D25">
        <w:t>the studies at 25 °C</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w:t>
      </w:r>
      <w:proofErr w:type="spellStart"/>
      <w:r w:rsidR="00C30D25">
        <w:rPr>
          <w:rFonts w:ascii="Cambria" w:hAnsi="Cambria"/>
        </w:rPr>
        <w:t>shRNA</w:t>
      </w:r>
      <w:proofErr w:type="spellEnd"/>
      <w:r w:rsidR="00C30D25">
        <w:rPr>
          <w:rFonts w:ascii="Cambria" w:hAnsi="Cambria"/>
        </w:rPr>
        <w:t xml:space="preserve">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 xml:space="preserve">died prior to </w:t>
      </w:r>
      <w:proofErr w:type="spellStart"/>
      <w:r w:rsidR="00C30D25">
        <w:rPr>
          <w:rFonts w:ascii="Cambria" w:hAnsi="Cambria"/>
        </w:rPr>
        <w:t>eclosion</w:t>
      </w:r>
      <w:proofErr w:type="spellEnd"/>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346877">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"&lt;sup&gt;33,34&lt;/sup&gt;" }, "properties" : { "noteIndex" : 0 }, "schema" : "https://github.com/citation-style-language/schema/raw/master/csl-citation.json" }</w:instrText>
      </w:r>
      <w:r w:rsidR="003C09B8">
        <w:fldChar w:fldCharType="separate"/>
      </w:r>
      <w:r w:rsidR="00346877" w:rsidRPr="00346877">
        <w:rPr>
          <w:noProof/>
          <w:vertAlign w:val="superscript"/>
        </w:rPr>
        <w:t>33,34</w:t>
      </w:r>
      <w:r w:rsidR="003C09B8">
        <w:fldChar w:fldCharType="end"/>
      </w:r>
      <w:r w:rsidR="003C09B8">
        <w:t>.</w:t>
      </w:r>
      <w:r w:rsidR="00510FCF">
        <w:t xml:space="preserve">  One key difference here is that in those models, which use a late-expressed muscle </w:t>
      </w:r>
      <w:proofErr w:type="spellStart"/>
      <w:r w:rsidR="00510FCF" w:rsidRPr="00453B12">
        <w:rPr>
          <w:i/>
        </w:rPr>
        <w:t>Cre</w:t>
      </w:r>
      <w:proofErr w:type="spellEnd"/>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w:t>
      </w:r>
      <w:proofErr w:type="spellStart"/>
      <w:r>
        <w:t>Eclose</w:t>
      </w:r>
      <w:proofErr w:type="spellEnd"/>
      <w:r>
        <w:t xml:space="preserve"> from Pupae</w:t>
      </w:r>
    </w:p>
    <w:p w14:paraId="03E0C2EC" w14:textId="28D1515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 xml:space="preserve">empty </w:t>
      </w:r>
      <w:proofErr w:type="spellStart"/>
      <w:r w:rsidR="001B4D8C">
        <w:rPr>
          <w:rFonts w:ascii="Cambria" w:hAnsi="Cambria"/>
        </w:rPr>
        <w:t>pupal</w:t>
      </w:r>
      <w:proofErr w:type="spellEnd"/>
      <w:r w:rsidR="001B4D8C">
        <w:rPr>
          <w:rFonts w:ascii="Cambria" w:hAnsi="Cambria"/>
        </w:rPr>
        <w:t xml:space="preserve">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963A23">
      <w:pPr>
        <w:spacing w:line="480" w:lineRule="auto"/>
        <w:jc w:val="both"/>
        <w:rPr>
          <w:rFonts w:ascii="Cambria" w:hAnsi="Cambria"/>
        </w:rPr>
      </w:pPr>
    </w:p>
    <w:p w14:paraId="24BA4390" w14:textId="43AE0706" w:rsidR="003937DA" w:rsidRDefault="00471708" w:rsidP="00963A23">
      <w:pPr>
        <w:spacing w:line="480" w:lineRule="auto"/>
        <w:jc w:val="both"/>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the presence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w:t>
      </w:r>
      <w:proofErr w:type="spellStart"/>
      <w:r w:rsidR="0072165D">
        <w:rPr>
          <w:rFonts w:ascii="Cambria" w:hAnsi="Cambria"/>
        </w:rPr>
        <w:t>shRNA</w:t>
      </w:r>
      <w:proofErr w:type="spellEnd"/>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proofErr w:type="spellStart"/>
      <w:r w:rsidR="0069504F" w:rsidRPr="0005343F">
        <w:rPr>
          <w:rFonts w:ascii="Cambria" w:hAnsi="Cambria"/>
        </w:rPr>
        <w:t>shRNA</w:t>
      </w:r>
      <w:proofErr w:type="spellEnd"/>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 xml:space="preserve">Although the absolute number of dead pupae was variable among the </w:t>
      </w:r>
      <w:proofErr w:type="spellStart"/>
      <w:r w:rsidR="00C1512E">
        <w:rPr>
          <w:rFonts w:ascii="Cambria" w:hAnsi="Cambria"/>
        </w:rPr>
        <w:t>shRNA</w:t>
      </w:r>
      <w:proofErr w:type="spellEnd"/>
      <w:r w:rsidR="00C1512E">
        <w:rPr>
          <w:rFonts w:ascii="Cambria" w:hAnsi="Cambria"/>
        </w:rPr>
        <w:t>-</w:t>
      </w:r>
      <w:r w:rsidR="00C1512E" w:rsidRPr="0005343F">
        <w:rPr>
          <w:rFonts w:ascii="Cambria" w:hAnsi="Cambria"/>
          <w:i/>
        </w:rPr>
        <w:t>Raptor</w:t>
      </w:r>
      <w:r w:rsidR="00C1512E">
        <w:rPr>
          <w:rFonts w:ascii="Cambria" w:hAnsi="Cambria"/>
        </w:rPr>
        <w:t xml:space="preserve"> lines using c179-GAL4, in all cases the percentage of dead flies in </w:t>
      </w:r>
      <w:proofErr w:type="spellStart"/>
      <w:r w:rsidR="00C1512E">
        <w:rPr>
          <w:rFonts w:ascii="Cambria" w:hAnsi="Cambria"/>
        </w:rPr>
        <w:t>pupal</w:t>
      </w:r>
      <w:proofErr w:type="spellEnd"/>
      <w:r w:rsidR="00C1512E">
        <w:rPr>
          <w:rFonts w:ascii="Cambria" w:hAnsi="Cambria"/>
        </w:rPr>
        <w:t xml:space="preserve"> cases was significantly greater than controls (Figure 3G)</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w:t>
      </w:r>
      <w:proofErr w:type="spellStart"/>
      <w:r>
        <w:t>eclose</w:t>
      </w:r>
      <w:proofErr w:type="spellEnd"/>
      <w:r w:rsidR="003E2160">
        <w:t xml:space="preserve"> from the </w:t>
      </w:r>
      <w:proofErr w:type="spellStart"/>
      <w:r w:rsidR="003E2160">
        <w:t>pupal</w:t>
      </w:r>
      <w:proofErr w:type="spellEnd"/>
      <w:r w:rsidR="003E2160">
        <w:t xml:space="preserve"> case</w:t>
      </w:r>
    </w:p>
    <w:p w14:paraId="49E6038A" w14:textId="14D500D7"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w:t>
      </w:r>
      <w:proofErr w:type="spellStart"/>
      <w:r>
        <w:t>eclosure</w:t>
      </w:r>
      <w:proofErr w:type="spellEnd"/>
      <w:r>
        <w:t xml:space="preserve">, we </w:t>
      </w:r>
      <w:r w:rsidR="005E7D74">
        <w:t xml:space="preserve">first </w:t>
      </w:r>
      <w:r>
        <w:t xml:space="preserve">carefully examined fly </w:t>
      </w:r>
      <w:proofErr w:type="spellStart"/>
      <w:r>
        <w:t>mo</w:t>
      </w:r>
      <w:r w:rsidR="00337149">
        <w:t>read</w:t>
      </w:r>
      <w:r w:rsidR="00D01A75">
        <w:t>r</w:t>
      </w:r>
      <w:proofErr w:type="spellEnd"/>
      <w:r w:rsidR="00D01A75">
        <w:t xml:space="preserve"> </w:t>
      </w:r>
      <w:proofErr w:type="spellStart"/>
      <w:r w:rsidR="00D01A75">
        <w:t>g</w:t>
      </w:r>
      <w:r>
        <w:t>rphology</w:t>
      </w:r>
      <w:proofErr w:type="spellEnd"/>
      <w:r>
        <w:t xml:space="preserve"> within </w:t>
      </w:r>
      <w:proofErr w:type="spellStart"/>
      <w:r>
        <w:t>pupal</w:t>
      </w:r>
      <w:proofErr w:type="spellEnd"/>
      <w:r>
        <w:t xml:space="preserve"> cases.   As shown in Figure 4A</w:t>
      </w:r>
      <w:r w:rsidR="005E7D74">
        <w:t xml:space="preserve"> ten days after the cross</w:t>
      </w:r>
      <w:r w:rsidR="00705EA3">
        <w:t xml:space="preserve"> a fully formed fly is </w:t>
      </w:r>
      <w:r w:rsidR="005E7D74">
        <w:t xml:space="preserve">visible </w:t>
      </w:r>
      <w:r w:rsidR="00705EA3">
        <w:t xml:space="preserve">within the </w:t>
      </w:r>
      <w:proofErr w:type="spellStart"/>
      <w:r w:rsidR="00705EA3">
        <w:t>pupal</w:t>
      </w:r>
      <w:proofErr w:type="spellEnd"/>
      <w:r w:rsidR="00705EA3">
        <w:t xml:space="preserve">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 xml:space="preserve">flies have completely </w:t>
      </w:r>
      <w:proofErr w:type="spellStart"/>
      <w:r w:rsidR="00505693">
        <w:t>eclosed</w:t>
      </w:r>
      <w:proofErr w:type="spellEnd"/>
      <w:r w:rsidR="00505693">
        <w:t xml:space="preserve"> leaving only empty </w:t>
      </w:r>
      <w:proofErr w:type="spellStart"/>
      <w:r w:rsidR="00505693">
        <w:t>pupal</w:t>
      </w:r>
      <w:proofErr w:type="spellEnd"/>
      <w:r w:rsidR="00505693">
        <w:t xml:space="preserve">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 xml:space="preserve">still in the </w:t>
      </w:r>
      <w:proofErr w:type="spellStart"/>
      <w:r w:rsidR="005736E0">
        <w:t>pupal</w:t>
      </w:r>
      <w:proofErr w:type="spellEnd"/>
      <w:r w:rsidR="005736E0">
        <w:t xml:space="preserve"> case</w:t>
      </w:r>
      <w:r w:rsidR="00505693">
        <w:t>. By</w:t>
      </w:r>
      <w:r w:rsidR="00705EA3">
        <w:t xml:space="preserve"> day 20 the </w:t>
      </w:r>
      <w:r w:rsidR="00505693">
        <w:t>flies have</w:t>
      </w:r>
      <w:r w:rsidR="00705EA3">
        <w:t xml:space="preserve"> </w:t>
      </w:r>
      <w:r w:rsidR="00505693">
        <w:t>started to decompose and appear dark as in</w:t>
      </w:r>
      <w:r w:rsidR="00705EA3">
        <w:t xml:space="preserve"> Figure 3E.  </w:t>
      </w:r>
    </w:p>
    <w:p w14:paraId="0125C00F" w14:textId="77777777" w:rsidR="005736E0" w:rsidRDefault="005736E0" w:rsidP="00963A23">
      <w:pPr>
        <w:spacing w:line="480" w:lineRule="auto"/>
        <w:jc w:val="both"/>
      </w:pPr>
    </w:p>
    <w:p w14:paraId="3F51BC50" w14:textId="5DDF2FED"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w:t>
      </w:r>
      <w:proofErr w:type="spellStart"/>
      <w:r>
        <w:t>pupal</w:t>
      </w:r>
      <w:proofErr w:type="spellEnd"/>
      <w:r>
        <w:t xml:space="preserve"> case, we gently opened 5 </w:t>
      </w:r>
      <w:proofErr w:type="spellStart"/>
      <w:r>
        <w:t>pupal</w:t>
      </w:r>
      <w:proofErr w:type="spellEnd"/>
      <w:r>
        <w:t xml:space="preserve">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w:t>
      </w:r>
      <w:proofErr w:type="spellStart"/>
      <w:r>
        <w:t>eclosure</w:t>
      </w:r>
      <w:proofErr w:type="spellEnd"/>
      <w:r>
        <w:t xml:space="preserve">.  </w:t>
      </w:r>
      <w:proofErr w:type="gramStart"/>
      <w:r>
        <w:t xml:space="preserve">In 4 </w:t>
      </w:r>
      <w:r w:rsidR="004F5D84">
        <w:t xml:space="preserve">out </w:t>
      </w:r>
      <w:r>
        <w:t xml:space="preserve">of 5 cases the </w:t>
      </w:r>
      <w:r w:rsidR="004F5D84">
        <w:t xml:space="preserve">flies </w:t>
      </w:r>
      <w:proofErr w:type="spellStart"/>
      <w:r>
        <w:t>eclosed</w:t>
      </w:r>
      <w:proofErr w:type="spellEnd"/>
      <w:r>
        <w:t xml:space="preserve"> </w:t>
      </w:r>
      <w:r w:rsidR="004F5D84">
        <w:t>successfully with 3 of these animals surviving</w:t>
      </w:r>
      <w:r>
        <w:t xml:space="preserve"> &gt;3 weeks.</w:t>
      </w:r>
      <w:proofErr w:type="gramEnd"/>
      <w:r>
        <w:t xml:space="preserve">  To </w:t>
      </w:r>
      <w:r w:rsidR="002C0A54">
        <w:t xml:space="preserve">validate that these </w:t>
      </w:r>
      <w:proofErr w:type="spellStart"/>
      <w:r w:rsidR="002C0A54">
        <w:t>eclosure</w:t>
      </w:r>
      <w:proofErr w:type="spellEnd"/>
      <w:r w:rsidR="002C0A54">
        <w:t>-assisted</w:t>
      </w:r>
      <w:r>
        <w:t xml:space="preserve"> flies had muscle weaknesses we performed climbing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012B830E"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1A3F94" w:rsidRPr="008C6740">
        <w:rPr>
          <w:rFonts w:ascii="Cambria" w:hAnsi="Cambria"/>
          <w:i/>
        </w:rPr>
        <w:t>l79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w:t>
      </w:r>
      <w:proofErr w:type="spellStart"/>
      <w:r w:rsidR="001A3F94">
        <w:rPr>
          <w:rFonts w:ascii="Cambria" w:hAnsi="Cambria"/>
        </w:rPr>
        <w:t>eclosed</w:t>
      </w:r>
      <w:proofErr w:type="spellEnd"/>
      <w:r w:rsidR="001A3F94">
        <w:rPr>
          <w:rFonts w:ascii="Cambria" w:hAnsi="Cambria"/>
        </w:rPr>
        <w:t xml:space="preserve">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w:t>
      </w:r>
      <w:proofErr w:type="spellStart"/>
      <w:r w:rsidR="00F31273" w:rsidRPr="008C6740">
        <w:rPr>
          <w:rFonts w:ascii="Cambria" w:hAnsi="Cambria"/>
        </w:rPr>
        <w:t>ecl</w:t>
      </w:r>
      <w:r w:rsidR="001A0687" w:rsidRPr="008C6740">
        <w:rPr>
          <w:rFonts w:ascii="Cambria" w:hAnsi="Cambria"/>
        </w:rPr>
        <w:t>o</w:t>
      </w:r>
      <w:r w:rsidR="00F31273" w:rsidRPr="008C6740">
        <w:rPr>
          <w:rFonts w:ascii="Cambria" w:hAnsi="Cambria"/>
        </w:rPr>
        <w:t>sure</w:t>
      </w:r>
      <w:proofErr w:type="spellEnd"/>
      <w:r w:rsidR="00F31273" w:rsidRPr="008C6740">
        <w:rPr>
          <w:rFonts w:ascii="Cambria" w:hAnsi="Cambria"/>
        </w:rPr>
        <w:t xml:space="preserv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w:t>
      </w:r>
      <w:bookmarkStart w:id="0" w:name="_GoBack"/>
      <w:bookmarkEnd w:id="0"/>
      <w:r>
        <w:rPr>
          <w:rFonts w:ascii="Cambria" w:hAnsi="Cambria"/>
        </w:rPr>
        <w:t>th</w:t>
      </w:r>
      <w:r w:rsidR="00F31273" w:rsidRPr="008C6740">
        <w:rPr>
          <w:rFonts w:ascii="Cambria" w:hAnsi="Cambria"/>
        </w:rPr>
        <w:t xml:space="preserve">. The flies that lived past this critical period lived </w:t>
      </w:r>
      <w:r w:rsidR="00F6194F">
        <w:rPr>
          <w:rFonts w:ascii="Cambria" w:hAnsi="Cambria"/>
        </w:rPr>
        <w:t xml:space="preserve">on </w:t>
      </w:r>
      <w:r w:rsidR="00F31273" w:rsidRPr="008C6740">
        <w:rPr>
          <w:rFonts w:ascii="Cambria" w:hAnsi="Cambria"/>
        </w:rPr>
        <w:t>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4847D2">
        <w:rPr>
          <w:rFonts w:ascii="Cambria" w:hAnsi="Cambria"/>
        </w:rPr>
        <w:t xml:space="preserve"> (Figure 5A, C and E compared to Figure 5</w:t>
      </w:r>
      <w:r w:rsidR="00C7080C">
        <w:rPr>
          <w:rFonts w:ascii="Cambria" w:hAnsi="Cambria"/>
        </w:rPr>
        <w:t>B, D and F</w:t>
      </w:r>
      <w:r w:rsidR="00052987">
        <w:rPr>
          <w:rFonts w:ascii="Cambria" w:hAnsi="Cambria"/>
        </w:rPr>
        <w:t>)</w:t>
      </w:r>
      <w:r w:rsidR="00C7080C">
        <w:rPr>
          <w:rFonts w:ascii="Cambria" w:hAnsi="Cambria"/>
        </w:rPr>
        <w:t>.</w:t>
      </w:r>
    </w:p>
    <w:p w14:paraId="3BB93CE7" w14:textId="77777777" w:rsidR="00234C0A" w:rsidRPr="008C6740" w:rsidRDefault="00234C0A" w:rsidP="00963A23">
      <w:pPr>
        <w:spacing w:line="480" w:lineRule="auto"/>
        <w:jc w:val="both"/>
        <w:rPr>
          <w:rFonts w:ascii="Cambria" w:hAnsi="Cambria"/>
          <w:b/>
        </w:rPr>
      </w:pPr>
    </w:p>
    <w:p w14:paraId="295024A7" w14:textId="5E08F29C" w:rsidR="00F444D6" w:rsidRDefault="00F444D6" w:rsidP="00963A23">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1850269D" w14:textId="77777777" w:rsidR="002A13D8" w:rsidRPr="002A13D8" w:rsidRDefault="002A13D8" w:rsidP="00963A23">
      <w:pPr>
        <w:spacing w:line="480" w:lineRule="auto"/>
        <w:jc w:val="both"/>
      </w:pPr>
    </w:p>
    <w:p w14:paraId="4C624508" w14:textId="2269FEDB"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Interestingly,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w:t>
      </w:r>
      <w:proofErr w:type="spellStart"/>
      <w:r w:rsidR="004C7062">
        <w:rPr>
          <w:rFonts w:ascii="Cambria" w:hAnsi="Cambria"/>
        </w:rPr>
        <w:t>shRNA</w:t>
      </w:r>
      <w:proofErr w:type="spellEnd"/>
      <w:r w:rsidR="004C7062">
        <w:rPr>
          <w:rFonts w:ascii="Cambria" w:hAnsi="Cambria"/>
        </w:rPr>
        <w:t xml:space="preserve"> strain to cause lethality and its effects on muscle function, indicating a potential gene-dosage effect on both of these phenotypes.</w:t>
      </w:r>
    </w:p>
    <w:p w14:paraId="282DD02F" w14:textId="77777777" w:rsidR="00F444D6" w:rsidRPr="008C6740" w:rsidRDefault="00F444D6" w:rsidP="00963A23">
      <w:pPr>
        <w:spacing w:line="480" w:lineRule="auto"/>
        <w:jc w:val="both"/>
        <w:rPr>
          <w:rFonts w:ascii="Cambria" w:hAnsi="Cambria"/>
        </w:rPr>
      </w:pPr>
    </w:p>
    <w:p w14:paraId="744F529A" w14:textId="5D0E2E2A" w:rsidR="00486518" w:rsidRDefault="0040324E" w:rsidP="00963A23">
      <w:pPr>
        <w:pStyle w:val="Heading2"/>
        <w:spacing w:line="480" w:lineRule="auto"/>
        <w:jc w:val="both"/>
      </w:pPr>
      <w:r>
        <w:t>Summary</w:t>
      </w:r>
    </w:p>
    <w:p w14:paraId="271B4AB8" w14:textId="77777777" w:rsidR="0040324E" w:rsidRDefault="0040324E" w:rsidP="00963A23">
      <w:pPr>
        <w:spacing w:line="480" w:lineRule="auto"/>
        <w:jc w:val="both"/>
      </w:pPr>
    </w:p>
    <w:p w14:paraId="20CE129A" w14:textId="48E516F7" w:rsidR="00E251E9" w:rsidRPr="00CA3EED" w:rsidRDefault="00CA3EED" w:rsidP="00963A23">
      <w:pPr>
        <w:spacing w:line="480" w:lineRule="auto"/>
        <w:jc w:val="both"/>
      </w:pPr>
      <w:r>
        <w:t xml:space="preserve">In this work, we have described a role for TORC1 in the regulation of </w:t>
      </w:r>
      <w:proofErr w:type="spellStart"/>
      <w:r>
        <w:t>myogenesis</w:t>
      </w:r>
      <w:proofErr w:type="spellEnd"/>
      <w:r w:rsidR="00565EB2">
        <w:t xml:space="preserve"> both</w:t>
      </w:r>
      <w:r>
        <w:t xml:space="preserve"> </w:t>
      </w:r>
      <w:r>
        <w:rPr>
          <w:i/>
        </w:rPr>
        <w:t>in vitro</w:t>
      </w:r>
      <w:r>
        <w:t xml:space="preserve"> and </w:t>
      </w:r>
      <w:r w:rsidR="00565EB2" w:rsidRPr="0005343F">
        <w:rPr>
          <w:i/>
        </w:rPr>
        <w:t>in vivo</w:t>
      </w:r>
      <w:r w:rsidR="00565EB2">
        <w:t xml:space="preserve"> in</w:t>
      </w:r>
      <w:r>
        <w:t xml:space="preserve"> </w:t>
      </w:r>
      <w:r w:rsidR="00565EB2">
        <w:t>Drosophila</w:t>
      </w:r>
      <w:r>
        <w:t xml:space="preserve">, that inhibition of the dTORC1 complex results in lethality and </w:t>
      </w:r>
      <w:r w:rsidR="00565EB2">
        <w:t>muscle weakness</w:t>
      </w:r>
      <w:r>
        <w:t>.  Together these data support a</w:t>
      </w:r>
      <w:r w:rsidR="008F353C">
        <w:t>n</w:t>
      </w:r>
      <w:r>
        <w:t xml:space="preserve"> </w:t>
      </w:r>
      <w:r>
        <w:rPr>
          <w:i/>
        </w:rPr>
        <w:t>in vivo</w:t>
      </w:r>
      <w:r w:rsidR="00537B34">
        <w:t xml:space="preserve">, evolutionarily conserved </w:t>
      </w:r>
      <w:r>
        <w:t xml:space="preserve">role for the TORC1 complex in </w:t>
      </w:r>
      <w:r w:rsidR="00565EB2">
        <w:t>developmental</w:t>
      </w:r>
      <w:r>
        <w:t xml:space="preserve"> stages of muscle development.</w:t>
      </w:r>
    </w:p>
    <w:p w14:paraId="0DC3AC1A" w14:textId="77777777" w:rsidR="00D07587" w:rsidRDefault="00D07587" w:rsidP="00963A23">
      <w:pPr>
        <w:spacing w:line="480" w:lineRule="auto"/>
        <w:jc w:val="both"/>
      </w:pPr>
    </w:p>
    <w:p w14:paraId="7B7B4FBA" w14:textId="6DF55496" w:rsidR="00D07587" w:rsidRDefault="00486518" w:rsidP="00963A23">
      <w:pPr>
        <w:pStyle w:val="Heading1"/>
        <w:spacing w:line="480" w:lineRule="auto"/>
        <w:jc w:val="both"/>
      </w:pPr>
      <w:r w:rsidRPr="008C6740">
        <w:t>Acknowledgements</w:t>
      </w:r>
    </w:p>
    <w:p w14:paraId="44AE9625" w14:textId="36AE0563" w:rsidR="00D07587" w:rsidRPr="00D07587" w:rsidRDefault="00D07587" w:rsidP="00963A23">
      <w:pPr>
        <w:spacing w:line="480" w:lineRule="auto"/>
        <w:jc w:val="both"/>
      </w:pPr>
      <w:r>
        <w:t>The authors would like to thank the members of the Bridges and Reiter lab</w:t>
      </w:r>
      <w:r w:rsidR="00CF146B">
        <w:t>s</w:t>
      </w:r>
      <w:r>
        <w:t xml:space="preserve"> for insightful discussions</w:t>
      </w:r>
      <w:r w:rsidR="00FE7C8D">
        <w:t xml:space="preserve"> and C. Valdez for animal husbandry</w:t>
      </w:r>
      <w:r>
        <w:t xml:space="preserve">.  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4A66D8C4" w14:textId="099D2EDB" w:rsidR="00346877" w:rsidRPr="00346877" w:rsidRDefault="00D07587">
      <w:pPr>
        <w:pStyle w:val="NormalWeb"/>
        <w:ind w:left="640" w:hanging="640"/>
        <w:divId w:val="1944527935"/>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346877" w:rsidRPr="00346877">
        <w:rPr>
          <w:rFonts w:ascii="Cambria" w:hAnsi="Cambria"/>
          <w:noProof/>
          <w:sz w:val="24"/>
        </w:rPr>
        <w:t>1.</w:t>
      </w:r>
      <w:r w:rsidR="00346877" w:rsidRPr="00346877">
        <w:rPr>
          <w:rFonts w:ascii="Cambria" w:hAnsi="Cambria"/>
          <w:noProof/>
          <w:sz w:val="24"/>
        </w:rPr>
        <w:tab/>
        <w:t xml:space="preserve">Loewith, R. &amp; Hall, M. N. Target of rapamycin (TOR) in nutrient signaling and growth control. </w:t>
      </w:r>
      <w:r w:rsidR="00346877" w:rsidRPr="00346877">
        <w:rPr>
          <w:rFonts w:ascii="Cambria" w:hAnsi="Cambria"/>
          <w:i/>
          <w:iCs/>
          <w:noProof/>
          <w:sz w:val="24"/>
        </w:rPr>
        <w:t>Genetics</w:t>
      </w:r>
      <w:r w:rsidR="00346877" w:rsidRPr="00346877">
        <w:rPr>
          <w:rFonts w:ascii="Cambria" w:hAnsi="Cambria"/>
          <w:noProof/>
          <w:sz w:val="24"/>
        </w:rPr>
        <w:t xml:space="preserve"> </w:t>
      </w:r>
      <w:r w:rsidR="00346877" w:rsidRPr="00346877">
        <w:rPr>
          <w:rFonts w:ascii="Cambria" w:hAnsi="Cambria"/>
          <w:b/>
          <w:bCs/>
          <w:noProof/>
          <w:sz w:val="24"/>
        </w:rPr>
        <w:t>189,</w:t>
      </w:r>
      <w:r w:rsidR="00346877" w:rsidRPr="00346877">
        <w:rPr>
          <w:rFonts w:ascii="Cambria" w:hAnsi="Cambria"/>
          <w:noProof/>
          <w:sz w:val="24"/>
        </w:rPr>
        <w:t xml:space="preserve"> 1177–201 (2011).</w:t>
      </w:r>
    </w:p>
    <w:p w14:paraId="6696BCA7"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2.</w:t>
      </w:r>
      <w:r w:rsidRPr="00346877">
        <w:rPr>
          <w:rFonts w:ascii="Cambria" w:hAnsi="Cambria"/>
          <w:noProof/>
          <w:sz w:val="24"/>
        </w:rPr>
        <w:tab/>
        <w:t xml:space="preserve">Zoncu, R., Efeyan, A. &amp; Sabatini, D. M. mTOR: from growth signal integration to cancer, diabetes and ageing. </w:t>
      </w:r>
      <w:r w:rsidRPr="00346877">
        <w:rPr>
          <w:rFonts w:ascii="Cambria" w:hAnsi="Cambria"/>
          <w:i/>
          <w:iCs/>
          <w:noProof/>
          <w:sz w:val="24"/>
        </w:rPr>
        <w:t>Nat. Rev. Mol. Cell Biol.</w:t>
      </w:r>
      <w:r w:rsidRPr="00346877">
        <w:rPr>
          <w:rFonts w:ascii="Cambria" w:hAnsi="Cambria"/>
          <w:noProof/>
          <w:sz w:val="24"/>
        </w:rPr>
        <w:t xml:space="preserve"> </w:t>
      </w:r>
      <w:r w:rsidRPr="00346877">
        <w:rPr>
          <w:rFonts w:ascii="Cambria" w:hAnsi="Cambria"/>
          <w:b/>
          <w:bCs/>
          <w:noProof/>
          <w:sz w:val="24"/>
        </w:rPr>
        <w:t>12,</w:t>
      </w:r>
      <w:r w:rsidRPr="00346877">
        <w:rPr>
          <w:rFonts w:ascii="Cambria" w:hAnsi="Cambria"/>
          <w:noProof/>
          <w:sz w:val="24"/>
        </w:rPr>
        <w:t xml:space="preserve"> 21–35 (2010).</w:t>
      </w:r>
    </w:p>
    <w:p w14:paraId="3FD0509F"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3.</w:t>
      </w:r>
      <w:r w:rsidRPr="00346877">
        <w:rPr>
          <w:rFonts w:ascii="Cambria" w:hAnsi="Cambria"/>
          <w:noProof/>
          <w:sz w:val="24"/>
        </w:rPr>
        <w:tab/>
        <w:t xml:space="preserve">Howell, J. J., Ricoult, S. J. H., Ben-Sahra, I. &amp; Manning, B. D. A growing role for mTOR in promoting anabolic metabolism. </w:t>
      </w:r>
      <w:r w:rsidRPr="00346877">
        <w:rPr>
          <w:rFonts w:ascii="Cambria" w:hAnsi="Cambria"/>
          <w:i/>
          <w:iCs/>
          <w:noProof/>
          <w:sz w:val="24"/>
        </w:rPr>
        <w:t>Biochem. Soc. Trans.</w:t>
      </w:r>
      <w:r w:rsidRPr="00346877">
        <w:rPr>
          <w:rFonts w:ascii="Cambria" w:hAnsi="Cambria"/>
          <w:noProof/>
          <w:sz w:val="24"/>
        </w:rPr>
        <w:t xml:space="preserve"> </w:t>
      </w:r>
      <w:r w:rsidRPr="00346877">
        <w:rPr>
          <w:rFonts w:ascii="Cambria" w:hAnsi="Cambria"/>
          <w:b/>
          <w:bCs/>
          <w:noProof/>
          <w:sz w:val="24"/>
        </w:rPr>
        <w:t>41,</w:t>
      </w:r>
      <w:r w:rsidRPr="00346877">
        <w:rPr>
          <w:rFonts w:ascii="Cambria" w:hAnsi="Cambria"/>
          <w:noProof/>
          <w:sz w:val="24"/>
        </w:rPr>
        <w:t xml:space="preserve"> 906–12 (2013).</w:t>
      </w:r>
    </w:p>
    <w:p w14:paraId="35B1CA90"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4.</w:t>
      </w:r>
      <w:r w:rsidRPr="00346877">
        <w:rPr>
          <w:rFonts w:ascii="Cambria" w:hAnsi="Cambria"/>
          <w:noProof/>
          <w:sz w:val="24"/>
        </w:rPr>
        <w:tab/>
        <w:t xml:space="preserve">Cornu, M., Albert, V. &amp; Hall, M. N. mTOR in aging, metabolism, and cancer. </w:t>
      </w:r>
      <w:r w:rsidRPr="00346877">
        <w:rPr>
          <w:rFonts w:ascii="Cambria" w:hAnsi="Cambria"/>
          <w:i/>
          <w:iCs/>
          <w:noProof/>
          <w:sz w:val="24"/>
        </w:rPr>
        <w:t>Curr. Opin. Genet. Dev.</w:t>
      </w:r>
      <w:r w:rsidRPr="00346877">
        <w:rPr>
          <w:rFonts w:ascii="Cambria" w:hAnsi="Cambria"/>
          <w:noProof/>
          <w:sz w:val="24"/>
        </w:rPr>
        <w:t xml:space="preserve"> </w:t>
      </w:r>
      <w:r w:rsidRPr="00346877">
        <w:rPr>
          <w:rFonts w:ascii="Cambria" w:hAnsi="Cambria"/>
          <w:b/>
          <w:bCs/>
          <w:noProof/>
          <w:sz w:val="24"/>
        </w:rPr>
        <w:t>23,</w:t>
      </w:r>
      <w:r w:rsidRPr="00346877">
        <w:rPr>
          <w:rFonts w:ascii="Cambria" w:hAnsi="Cambria"/>
          <w:noProof/>
          <w:sz w:val="24"/>
        </w:rPr>
        <w:t xml:space="preserve"> 53–62 (2013).</w:t>
      </w:r>
    </w:p>
    <w:p w14:paraId="00B4D83F"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5.</w:t>
      </w:r>
      <w:r w:rsidRPr="00346877">
        <w:rPr>
          <w:rFonts w:ascii="Cambria" w:hAnsi="Cambria"/>
          <w:noProof/>
          <w:sz w:val="24"/>
        </w:rPr>
        <w:tab/>
        <w:t xml:space="preserve">Lamming, D. W., Ye, L., Sabatini, D. M. &amp; Baur, J. A. Rapalogs and mTOR inhibitors as anti-aging therapeutics. </w:t>
      </w:r>
      <w:r w:rsidRPr="00346877">
        <w:rPr>
          <w:rFonts w:ascii="Cambria" w:hAnsi="Cambria"/>
          <w:i/>
          <w:iCs/>
          <w:noProof/>
          <w:sz w:val="24"/>
        </w:rPr>
        <w:t>J. Clin. Invest.</w:t>
      </w:r>
      <w:r w:rsidRPr="00346877">
        <w:rPr>
          <w:rFonts w:ascii="Cambria" w:hAnsi="Cambria"/>
          <w:noProof/>
          <w:sz w:val="24"/>
        </w:rPr>
        <w:t xml:space="preserve"> </w:t>
      </w:r>
      <w:r w:rsidRPr="00346877">
        <w:rPr>
          <w:rFonts w:ascii="Cambria" w:hAnsi="Cambria"/>
          <w:b/>
          <w:bCs/>
          <w:noProof/>
          <w:sz w:val="24"/>
        </w:rPr>
        <w:t>123,</w:t>
      </w:r>
      <w:r w:rsidRPr="00346877">
        <w:rPr>
          <w:rFonts w:ascii="Cambria" w:hAnsi="Cambria"/>
          <w:noProof/>
          <w:sz w:val="24"/>
        </w:rPr>
        <w:t xml:space="preserve"> 980–9 (2013).</w:t>
      </w:r>
    </w:p>
    <w:p w14:paraId="34D8ABE0"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6.</w:t>
      </w:r>
      <w:r w:rsidRPr="00346877">
        <w:rPr>
          <w:rFonts w:ascii="Cambria" w:hAnsi="Cambria"/>
          <w:noProof/>
          <w:sz w:val="24"/>
        </w:rPr>
        <w:tab/>
        <w:t xml:space="preserve">Zeng, M. &amp; Zhou, J.-N. Roles of autophagy and mTOR signaling in neuronal differentiation of mouse neuroblastoma cells. </w:t>
      </w:r>
      <w:r w:rsidRPr="00346877">
        <w:rPr>
          <w:rFonts w:ascii="Cambria" w:hAnsi="Cambria"/>
          <w:i/>
          <w:iCs/>
          <w:noProof/>
          <w:sz w:val="24"/>
        </w:rPr>
        <w:t>Cell. Signal.</w:t>
      </w:r>
      <w:r w:rsidRPr="00346877">
        <w:rPr>
          <w:rFonts w:ascii="Cambria" w:hAnsi="Cambria"/>
          <w:noProof/>
          <w:sz w:val="24"/>
        </w:rPr>
        <w:t xml:space="preserve"> </w:t>
      </w:r>
      <w:r w:rsidRPr="00346877">
        <w:rPr>
          <w:rFonts w:ascii="Cambria" w:hAnsi="Cambria"/>
          <w:b/>
          <w:bCs/>
          <w:noProof/>
          <w:sz w:val="24"/>
        </w:rPr>
        <w:t>20,</w:t>
      </w:r>
      <w:r w:rsidRPr="00346877">
        <w:rPr>
          <w:rFonts w:ascii="Cambria" w:hAnsi="Cambria"/>
          <w:noProof/>
          <w:sz w:val="24"/>
        </w:rPr>
        <w:t xml:space="preserve"> 659–65 (2008).</w:t>
      </w:r>
    </w:p>
    <w:p w14:paraId="774672AF"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7.</w:t>
      </w:r>
      <w:r w:rsidRPr="00346877">
        <w:rPr>
          <w:rFonts w:ascii="Cambria" w:hAnsi="Cambria"/>
          <w:noProof/>
          <w:sz w:val="24"/>
        </w:rPr>
        <w:tab/>
        <w:t xml:space="preserve">Tyler, W. A. </w:t>
      </w:r>
      <w:r w:rsidRPr="00346877">
        <w:rPr>
          <w:rFonts w:ascii="Cambria" w:hAnsi="Cambria"/>
          <w:i/>
          <w:iCs/>
          <w:noProof/>
          <w:sz w:val="24"/>
        </w:rPr>
        <w:t>et al.</w:t>
      </w:r>
      <w:r w:rsidRPr="00346877">
        <w:rPr>
          <w:rFonts w:ascii="Cambria" w:hAnsi="Cambria"/>
          <w:noProof/>
          <w:sz w:val="24"/>
        </w:rPr>
        <w:t xml:space="preserve"> Activation of the mammalian target of rapamycin (mTOR) is essential for oligodendrocyte differentiation. </w:t>
      </w:r>
      <w:r w:rsidRPr="00346877">
        <w:rPr>
          <w:rFonts w:ascii="Cambria" w:hAnsi="Cambria"/>
          <w:i/>
          <w:iCs/>
          <w:noProof/>
          <w:sz w:val="24"/>
        </w:rPr>
        <w:t>J. Neurosci.</w:t>
      </w:r>
      <w:r w:rsidRPr="00346877">
        <w:rPr>
          <w:rFonts w:ascii="Cambria" w:hAnsi="Cambria"/>
          <w:noProof/>
          <w:sz w:val="24"/>
        </w:rPr>
        <w:t xml:space="preserve"> </w:t>
      </w:r>
      <w:r w:rsidRPr="00346877">
        <w:rPr>
          <w:rFonts w:ascii="Cambria" w:hAnsi="Cambria"/>
          <w:b/>
          <w:bCs/>
          <w:noProof/>
          <w:sz w:val="24"/>
        </w:rPr>
        <w:t>29,</w:t>
      </w:r>
      <w:r w:rsidRPr="00346877">
        <w:rPr>
          <w:rFonts w:ascii="Cambria" w:hAnsi="Cambria"/>
          <w:noProof/>
          <w:sz w:val="24"/>
        </w:rPr>
        <w:t xml:space="preserve"> 6367–78 (2009).</w:t>
      </w:r>
    </w:p>
    <w:p w14:paraId="64AAA5C3"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8.</w:t>
      </w:r>
      <w:r w:rsidRPr="00346877">
        <w:rPr>
          <w:rFonts w:ascii="Cambria" w:hAnsi="Cambria"/>
          <w:noProof/>
          <w:sz w:val="24"/>
        </w:rPr>
        <w:tab/>
        <w:t xml:space="preserve">Zhang, H. H. </w:t>
      </w:r>
      <w:r w:rsidRPr="00346877">
        <w:rPr>
          <w:rFonts w:ascii="Cambria" w:hAnsi="Cambria"/>
          <w:i/>
          <w:iCs/>
          <w:noProof/>
          <w:sz w:val="24"/>
        </w:rPr>
        <w:t>et al.</w:t>
      </w:r>
      <w:r w:rsidRPr="00346877">
        <w:rPr>
          <w:rFonts w:ascii="Cambria" w:hAnsi="Cambria"/>
          <w:noProof/>
          <w:sz w:val="24"/>
        </w:rPr>
        <w:t xml:space="preserve"> Insulin stimulates adipogenesis through the Akt-TSC2-mTORC1 pathway. </w:t>
      </w:r>
      <w:r w:rsidRPr="00346877">
        <w:rPr>
          <w:rFonts w:ascii="Cambria" w:hAnsi="Cambria"/>
          <w:i/>
          <w:iCs/>
          <w:noProof/>
          <w:sz w:val="24"/>
        </w:rPr>
        <w:t>PLoS One</w:t>
      </w:r>
      <w:r w:rsidRPr="00346877">
        <w:rPr>
          <w:rFonts w:ascii="Cambria" w:hAnsi="Cambria"/>
          <w:noProof/>
          <w:sz w:val="24"/>
        </w:rPr>
        <w:t xml:space="preserve"> </w:t>
      </w:r>
      <w:r w:rsidRPr="00346877">
        <w:rPr>
          <w:rFonts w:ascii="Cambria" w:hAnsi="Cambria"/>
          <w:b/>
          <w:bCs/>
          <w:noProof/>
          <w:sz w:val="24"/>
        </w:rPr>
        <w:t>4,</w:t>
      </w:r>
      <w:r w:rsidRPr="00346877">
        <w:rPr>
          <w:rFonts w:ascii="Cambria" w:hAnsi="Cambria"/>
          <w:noProof/>
          <w:sz w:val="24"/>
        </w:rPr>
        <w:t xml:space="preserve"> e6189 (2009).</w:t>
      </w:r>
    </w:p>
    <w:p w14:paraId="01A60794"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9.</w:t>
      </w:r>
      <w:r w:rsidRPr="00346877">
        <w:rPr>
          <w:rFonts w:ascii="Cambria" w:hAnsi="Cambria"/>
          <w:noProof/>
          <w:sz w:val="24"/>
        </w:rPr>
        <w:tab/>
        <w:t xml:space="preserve">Cuenda, a &amp; Cohen, P. Stress-activated protein kinase-2/p38 and a rapamycin-sensitive pathway are required for C2C12 myogenesis. </w:t>
      </w:r>
      <w:r w:rsidRPr="00346877">
        <w:rPr>
          <w:rFonts w:ascii="Cambria" w:hAnsi="Cambria"/>
          <w:i/>
          <w:iCs/>
          <w:noProof/>
          <w:sz w:val="24"/>
        </w:rPr>
        <w:t>J. Biol. Chem.</w:t>
      </w:r>
      <w:r w:rsidRPr="00346877">
        <w:rPr>
          <w:rFonts w:ascii="Cambria" w:hAnsi="Cambria"/>
          <w:noProof/>
          <w:sz w:val="24"/>
        </w:rPr>
        <w:t xml:space="preserve"> </w:t>
      </w:r>
      <w:r w:rsidRPr="00346877">
        <w:rPr>
          <w:rFonts w:ascii="Cambria" w:hAnsi="Cambria"/>
          <w:b/>
          <w:bCs/>
          <w:noProof/>
          <w:sz w:val="24"/>
        </w:rPr>
        <w:t>274,</w:t>
      </w:r>
      <w:r w:rsidRPr="00346877">
        <w:rPr>
          <w:rFonts w:ascii="Cambria" w:hAnsi="Cambria"/>
          <w:noProof/>
          <w:sz w:val="24"/>
        </w:rPr>
        <w:t xml:space="preserve"> 4341–6 (1999).</w:t>
      </w:r>
    </w:p>
    <w:p w14:paraId="597D7528"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10.</w:t>
      </w:r>
      <w:r w:rsidRPr="00346877">
        <w:rPr>
          <w:rFonts w:ascii="Cambria" w:hAnsi="Cambria"/>
          <w:noProof/>
          <w:sz w:val="24"/>
        </w:rPr>
        <w:tab/>
        <w:t xml:space="preserve">Shu, L., Zhang, X. &amp; Houghton, P. J. Myogenic differentiation is dependent on both the kinase function and the N-terminal sequence of mammalian target of rapamycin. </w:t>
      </w:r>
      <w:r w:rsidRPr="00346877">
        <w:rPr>
          <w:rFonts w:ascii="Cambria" w:hAnsi="Cambria"/>
          <w:i/>
          <w:iCs/>
          <w:noProof/>
          <w:sz w:val="24"/>
        </w:rPr>
        <w:t>J. Biol. Chem.</w:t>
      </w:r>
      <w:r w:rsidRPr="00346877">
        <w:rPr>
          <w:rFonts w:ascii="Cambria" w:hAnsi="Cambria"/>
          <w:noProof/>
          <w:sz w:val="24"/>
        </w:rPr>
        <w:t xml:space="preserve"> </w:t>
      </w:r>
      <w:r w:rsidRPr="00346877">
        <w:rPr>
          <w:rFonts w:ascii="Cambria" w:hAnsi="Cambria"/>
          <w:b/>
          <w:bCs/>
          <w:noProof/>
          <w:sz w:val="24"/>
        </w:rPr>
        <w:t>277,</w:t>
      </w:r>
      <w:r w:rsidRPr="00346877">
        <w:rPr>
          <w:rFonts w:ascii="Cambria" w:hAnsi="Cambria"/>
          <w:noProof/>
          <w:sz w:val="24"/>
        </w:rPr>
        <w:t xml:space="preserve"> 16726–32 (2002).</w:t>
      </w:r>
    </w:p>
    <w:p w14:paraId="3D0468CF"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11.</w:t>
      </w:r>
      <w:r w:rsidRPr="00346877">
        <w:rPr>
          <w:rFonts w:ascii="Cambria" w:hAnsi="Cambria"/>
          <w:noProof/>
          <w:sz w:val="24"/>
        </w:rPr>
        <w:tab/>
        <w:t xml:space="preserve">Erbay, E. &amp; Chen, J. The mammalian target of rapamycin regulates C2C12 myogenesis via a kinase-independent mechanism. </w:t>
      </w:r>
      <w:r w:rsidRPr="00346877">
        <w:rPr>
          <w:rFonts w:ascii="Cambria" w:hAnsi="Cambria"/>
          <w:i/>
          <w:iCs/>
          <w:noProof/>
          <w:sz w:val="24"/>
        </w:rPr>
        <w:t>J. Biol. Chem.</w:t>
      </w:r>
      <w:r w:rsidRPr="00346877">
        <w:rPr>
          <w:rFonts w:ascii="Cambria" w:hAnsi="Cambria"/>
          <w:noProof/>
          <w:sz w:val="24"/>
        </w:rPr>
        <w:t xml:space="preserve"> </w:t>
      </w:r>
      <w:r w:rsidRPr="00346877">
        <w:rPr>
          <w:rFonts w:ascii="Cambria" w:hAnsi="Cambria"/>
          <w:b/>
          <w:bCs/>
          <w:noProof/>
          <w:sz w:val="24"/>
        </w:rPr>
        <w:t>276,</w:t>
      </w:r>
      <w:r w:rsidRPr="00346877">
        <w:rPr>
          <w:rFonts w:ascii="Cambria" w:hAnsi="Cambria"/>
          <w:noProof/>
          <w:sz w:val="24"/>
        </w:rPr>
        <w:t xml:space="preserve"> 36079–82 (2001).</w:t>
      </w:r>
    </w:p>
    <w:p w14:paraId="6D359401"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12.</w:t>
      </w:r>
      <w:r w:rsidRPr="00346877">
        <w:rPr>
          <w:rFonts w:ascii="Cambria" w:hAnsi="Cambria"/>
          <w:noProof/>
          <w:sz w:val="24"/>
        </w:rPr>
        <w:tab/>
        <w:t xml:space="preserve">Hentges, K. E. </w:t>
      </w:r>
      <w:r w:rsidRPr="00346877">
        <w:rPr>
          <w:rFonts w:ascii="Cambria" w:hAnsi="Cambria"/>
          <w:i/>
          <w:iCs/>
          <w:noProof/>
          <w:sz w:val="24"/>
        </w:rPr>
        <w:t>et al.</w:t>
      </w:r>
      <w:r w:rsidRPr="00346877">
        <w:rPr>
          <w:rFonts w:ascii="Cambria" w:hAnsi="Cambria"/>
          <w:noProof/>
          <w:sz w:val="24"/>
        </w:rPr>
        <w:t xml:space="preserve"> FRAP/mTOR is required for proliferation and patterning during embryonic development in the mouse. </w:t>
      </w:r>
      <w:r w:rsidRPr="00346877">
        <w:rPr>
          <w:rFonts w:ascii="Cambria" w:hAnsi="Cambria"/>
          <w:i/>
          <w:iCs/>
          <w:noProof/>
          <w:sz w:val="24"/>
        </w:rPr>
        <w:t>Proc. Natl. Acad. Sci. U. S. A.</w:t>
      </w:r>
      <w:r w:rsidRPr="00346877">
        <w:rPr>
          <w:rFonts w:ascii="Cambria" w:hAnsi="Cambria"/>
          <w:noProof/>
          <w:sz w:val="24"/>
        </w:rPr>
        <w:t xml:space="preserve"> </w:t>
      </w:r>
      <w:r w:rsidRPr="00346877">
        <w:rPr>
          <w:rFonts w:ascii="Cambria" w:hAnsi="Cambria"/>
          <w:b/>
          <w:bCs/>
          <w:noProof/>
          <w:sz w:val="24"/>
        </w:rPr>
        <w:t>98,</w:t>
      </w:r>
      <w:r w:rsidRPr="00346877">
        <w:rPr>
          <w:rFonts w:ascii="Cambria" w:hAnsi="Cambria"/>
          <w:noProof/>
          <w:sz w:val="24"/>
        </w:rPr>
        <w:t xml:space="preserve"> 13796–801 (2001).</w:t>
      </w:r>
    </w:p>
    <w:p w14:paraId="3B7BDD27"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13.</w:t>
      </w:r>
      <w:r w:rsidRPr="00346877">
        <w:rPr>
          <w:rFonts w:ascii="Cambria" w:hAnsi="Cambria"/>
          <w:noProof/>
          <w:sz w:val="24"/>
        </w:rPr>
        <w:tab/>
        <w:t xml:space="preserve">Guertin, D. A. </w:t>
      </w:r>
      <w:r w:rsidRPr="00346877">
        <w:rPr>
          <w:rFonts w:ascii="Cambria" w:hAnsi="Cambria"/>
          <w:i/>
          <w:iCs/>
          <w:noProof/>
          <w:sz w:val="24"/>
        </w:rPr>
        <w:t>et al.</w:t>
      </w:r>
      <w:r w:rsidRPr="00346877">
        <w:rPr>
          <w:rFonts w:ascii="Cambria" w:hAnsi="Cambria"/>
          <w:noProof/>
          <w:sz w:val="24"/>
        </w:rPr>
        <w:t xml:space="preserve"> Ablation in mice of the mTORC components raptor, rictor, or mLST8 reveals that mTORC2 is required for signaling to Akt-FOXO and PKCalpha, but not S6K1. </w:t>
      </w:r>
      <w:r w:rsidRPr="00346877">
        <w:rPr>
          <w:rFonts w:ascii="Cambria" w:hAnsi="Cambria"/>
          <w:i/>
          <w:iCs/>
          <w:noProof/>
          <w:sz w:val="24"/>
        </w:rPr>
        <w:t>Dev. Cell</w:t>
      </w:r>
      <w:r w:rsidRPr="00346877">
        <w:rPr>
          <w:rFonts w:ascii="Cambria" w:hAnsi="Cambria"/>
          <w:noProof/>
          <w:sz w:val="24"/>
        </w:rPr>
        <w:t xml:space="preserve"> </w:t>
      </w:r>
      <w:r w:rsidRPr="00346877">
        <w:rPr>
          <w:rFonts w:ascii="Cambria" w:hAnsi="Cambria"/>
          <w:b/>
          <w:bCs/>
          <w:noProof/>
          <w:sz w:val="24"/>
        </w:rPr>
        <w:t>11,</w:t>
      </w:r>
      <w:r w:rsidRPr="00346877">
        <w:rPr>
          <w:rFonts w:ascii="Cambria" w:hAnsi="Cambria"/>
          <w:noProof/>
          <w:sz w:val="24"/>
        </w:rPr>
        <w:t xml:space="preserve"> 859–871 (2006).</w:t>
      </w:r>
    </w:p>
    <w:p w14:paraId="19E00580"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14.</w:t>
      </w:r>
      <w:r w:rsidRPr="00346877">
        <w:rPr>
          <w:rFonts w:ascii="Cambria" w:hAnsi="Cambria"/>
          <w:noProof/>
          <w:sz w:val="24"/>
        </w:rPr>
        <w:tab/>
        <w:t xml:space="preserve">Gangloff, Y. </w:t>
      </w:r>
      <w:r w:rsidRPr="00346877">
        <w:rPr>
          <w:rFonts w:ascii="Cambria" w:hAnsi="Cambria"/>
          <w:i/>
          <w:iCs/>
          <w:noProof/>
          <w:sz w:val="24"/>
        </w:rPr>
        <w:t>et al.</w:t>
      </w:r>
      <w:r w:rsidRPr="00346877">
        <w:rPr>
          <w:rFonts w:ascii="Cambria" w:hAnsi="Cambria"/>
          <w:noProof/>
          <w:sz w:val="24"/>
        </w:rPr>
        <w:t xml:space="preserve"> Disruption of the mouse mTOR gene leads to early postimplantation lethality and prohibits embryonic stem cell development. </w:t>
      </w:r>
      <w:r w:rsidRPr="00346877">
        <w:rPr>
          <w:rFonts w:ascii="Cambria" w:hAnsi="Cambria"/>
          <w:i/>
          <w:iCs/>
          <w:noProof/>
          <w:sz w:val="24"/>
        </w:rPr>
        <w:t>Mol. Cell. Biol.</w:t>
      </w:r>
      <w:r w:rsidRPr="00346877">
        <w:rPr>
          <w:rFonts w:ascii="Cambria" w:hAnsi="Cambria"/>
          <w:noProof/>
          <w:sz w:val="24"/>
        </w:rPr>
        <w:t xml:space="preserve"> </w:t>
      </w:r>
      <w:r w:rsidRPr="00346877">
        <w:rPr>
          <w:rFonts w:ascii="Cambria" w:hAnsi="Cambria"/>
          <w:b/>
          <w:bCs/>
          <w:noProof/>
          <w:sz w:val="24"/>
        </w:rPr>
        <w:t>24,</w:t>
      </w:r>
      <w:r w:rsidRPr="00346877">
        <w:rPr>
          <w:rFonts w:ascii="Cambria" w:hAnsi="Cambria"/>
          <w:noProof/>
          <w:sz w:val="24"/>
        </w:rPr>
        <w:t xml:space="preserve"> 9508–16 (2004).</w:t>
      </w:r>
    </w:p>
    <w:p w14:paraId="423FBB4B"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15.</w:t>
      </w:r>
      <w:r w:rsidRPr="00346877">
        <w:rPr>
          <w:rFonts w:ascii="Cambria" w:hAnsi="Cambria"/>
          <w:noProof/>
          <w:sz w:val="24"/>
        </w:rPr>
        <w:tab/>
        <w:t xml:space="preserve">Jia, K., Chen, D. &amp; Riddle, D. L. The TOR pathway interacts with the insulin signaling pathway to regulate C. elegans larval development, metabolism and life span. </w:t>
      </w:r>
      <w:r w:rsidRPr="00346877">
        <w:rPr>
          <w:rFonts w:ascii="Cambria" w:hAnsi="Cambria"/>
          <w:i/>
          <w:iCs/>
          <w:noProof/>
          <w:sz w:val="24"/>
        </w:rPr>
        <w:t>Development</w:t>
      </w:r>
      <w:r w:rsidRPr="00346877">
        <w:rPr>
          <w:rFonts w:ascii="Cambria" w:hAnsi="Cambria"/>
          <w:noProof/>
          <w:sz w:val="24"/>
        </w:rPr>
        <w:t xml:space="preserve"> </w:t>
      </w:r>
      <w:r w:rsidRPr="00346877">
        <w:rPr>
          <w:rFonts w:ascii="Cambria" w:hAnsi="Cambria"/>
          <w:b/>
          <w:bCs/>
          <w:noProof/>
          <w:sz w:val="24"/>
        </w:rPr>
        <w:t>131,</w:t>
      </w:r>
      <w:r w:rsidRPr="00346877">
        <w:rPr>
          <w:rFonts w:ascii="Cambria" w:hAnsi="Cambria"/>
          <w:noProof/>
          <w:sz w:val="24"/>
        </w:rPr>
        <w:t xml:space="preserve"> 3897–906 (2004).</w:t>
      </w:r>
    </w:p>
    <w:p w14:paraId="22010424"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16.</w:t>
      </w:r>
      <w:r w:rsidRPr="00346877">
        <w:rPr>
          <w:rFonts w:ascii="Cambria" w:hAnsi="Cambria"/>
          <w:noProof/>
          <w:sz w:val="24"/>
        </w:rPr>
        <w:tab/>
        <w:t xml:space="preserve">Bjedov, I. </w:t>
      </w:r>
      <w:r w:rsidRPr="00346877">
        <w:rPr>
          <w:rFonts w:ascii="Cambria" w:hAnsi="Cambria"/>
          <w:i/>
          <w:iCs/>
          <w:noProof/>
          <w:sz w:val="24"/>
        </w:rPr>
        <w:t>et al.</w:t>
      </w:r>
      <w:r w:rsidRPr="00346877">
        <w:rPr>
          <w:rFonts w:ascii="Cambria" w:hAnsi="Cambria"/>
          <w:noProof/>
          <w:sz w:val="24"/>
        </w:rPr>
        <w:t xml:space="preserve"> Mechanisms of life span extension by rapamycin in the fruit fly Drosophila melanogaster. </w:t>
      </w:r>
      <w:r w:rsidRPr="00346877">
        <w:rPr>
          <w:rFonts w:ascii="Cambria" w:hAnsi="Cambria"/>
          <w:i/>
          <w:iCs/>
          <w:noProof/>
          <w:sz w:val="24"/>
        </w:rPr>
        <w:t>Cell Metab.</w:t>
      </w:r>
      <w:r w:rsidRPr="00346877">
        <w:rPr>
          <w:rFonts w:ascii="Cambria" w:hAnsi="Cambria"/>
          <w:noProof/>
          <w:sz w:val="24"/>
        </w:rPr>
        <w:t xml:space="preserve"> </w:t>
      </w:r>
      <w:r w:rsidRPr="00346877">
        <w:rPr>
          <w:rFonts w:ascii="Cambria" w:hAnsi="Cambria"/>
          <w:b/>
          <w:bCs/>
          <w:noProof/>
          <w:sz w:val="24"/>
        </w:rPr>
        <w:t>11,</w:t>
      </w:r>
      <w:r w:rsidRPr="00346877">
        <w:rPr>
          <w:rFonts w:ascii="Cambria" w:hAnsi="Cambria"/>
          <w:noProof/>
          <w:sz w:val="24"/>
        </w:rPr>
        <w:t xml:space="preserve"> 35–46 (2010).</w:t>
      </w:r>
    </w:p>
    <w:p w14:paraId="1C088F07"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17.</w:t>
      </w:r>
      <w:r w:rsidRPr="00346877">
        <w:rPr>
          <w:rFonts w:ascii="Cambria" w:hAnsi="Cambria"/>
          <w:noProof/>
          <w:sz w:val="24"/>
        </w:rPr>
        <w:tab/>
        <w:t xml:space="preserve">Mauro, A. Satellite cell of skeletal muscle fibers. </w:t>
      </w:r>
      <w:r w:rsidRPr="00346877">
        <w:rPr>
          <w:rFonts w:ascii="Cambria" w:hAnsi="Cambria"/>
          <w:i/>
          <w:iCs/>
          <w:noProof/>
          <w:sz w:val="24"/>
        </w:rPr>
        <w:t>J. Biophys. Biochem. Cytol.</w:t>
      </w:r>
      <w:r w:rsidRPr="00346877">
        <w:rPr>
          <w:rFonts w:ascii="Cambria" w:hAnsi="Cambria"/>
          <w:noProof/>
          <w:sz w:val="24"/>
        </w:rPr>
        <w:t xml:space="preserve"> </w:t>
      </w:r>
      <w:r w:rsidRPr="00346877">
        <w:rPr>
          <w:rFonts w:ascii="Cambria" w:hAnsi="Cambria"/>
          <w:b/>
          <w:bCs/>
          <w:noProof/>
          <w:sz w:val="24"/>
        </w:rPr>
        <w:t>9,</w:t>
      </w:r>
      <w:r w:rsidRPr="00346877">
        <w:rPr>
          <w:rFonts w:ascii="Cambria" w:hAnsi="Cambria"/>
          <w:noProof/>
          <w:sz w:val="24"/>
        </w:rPr>
        <w:t xml:space="preserve"> 493–5 (1961).</w:t>
      </w:r>
    </w:p>
    <w:p w14:paraId="0F63D0FE"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18.</w:t>
      </w:r>
      <w:r w:rsidRPr="00346877">
        <w:rPr>
          <w:rFonts w:ascii="Cambria" w:hAnsi="Cambria"/>
          <w:noProof/>
          <w:sz w:val="24"/>
        </w:rPr>
        <w:tab/>
        <w:t xml:space="preserve">Collins, C. a </w:t>
      </w:r>
      <w:r w:rsidRPr="00346877">
        <w:rPr>
          <w:rFonts w:ascii="Cambria" w:hAnsi="Cambria"/>
          <w:i/>
          <w:iCs/>
          <w:noProof/>
          <w:sz w:val="24"/>
        </w:rPr>
        <w:t>et al.</w:t>
      </w:r>
      <w:r w:rsidRPr="00346877">
        <w:rPr>
          <w:rFonts w:ascii="Cambria" w:hAnsi="Cambria"/>
          <w:noProof/>
          <w:sz w:val="24"/>
        </w:rPr>
        <w:t xml:space="preserve"> Stem cell function, self-renewal, and behavioral heterogeneity of cells from the adult muscle satellite cell niche. </w:t>
      </w:r>
      <w:r w:rsidRPr="00346877">
        <w:rPr>
          <w:rFonts w:ascii="Cambria" w:hAnsi="Cambria"/>
          <w:i/>
          <w:iCs/>
          <w:noProof/>
          <w:sz w:val="24"/>
        </w:rPr>
        <w:t>Cell</w:t>
      </w:r>
      <w:r w:rsidRPr="00346877">
        <w:rPr>
          <w:rFonts w:ascii="Cambria" w:hAnsi="Cambria"/>
          <w:noProof/>
          <w:sz w:val="24"/>
        </w:rPr>
        <w:t xml:space="preserve"> </w:t>
      </w:r>
      <w:r w:rsidRPr="00346877">
        <w:rPr>
          <w:rFonts w:ascii="Cambria" w:hAnsi="Cambria"/>
          <w:b/>
          <w:bCs/>
          <w:noProof/>
          <w:sz w:val="24"/>
        </w:rPr>
        <w:t>122,</w:t>
      </w:r>
      <w:r w:rsidRPr="00346877">
        <w:rPr>
          <w:rFonts w:ascii="Cambria" w:hAnsi="Cambria"/>
          <w:noProof/>
          <w:sz w:val="24"/>
        </w:rPr>
        <w:t xml:space="preserve"> 289–301 (2005).</w:t>
      </w:r>
    </w:p>
    <w:p w14:paraId="035564C3"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19.</w:t>
      </w:r>
      <w:r w:rsidRPr="00346877">
        <w:rPr>
          <w:rFonts w:ascii="Cambria" w:hAnsi="Cambria"/>
          <w:noProof/>
          <w:sz w:val="24"/>
        </w:rPr>
        <w:tab/>
        <w:t xml:space="preserve">McCarthy, J. J. </w:t>
      </w:r>
      <w:r w:rsidRPr="00346877">
        <w:rPr>
          <w:rFonts w:ascii="Cambria" w:hAnsi="Cambria"/>
          <w:i/>
          <w:iCs/>
          <w:noProof/>
          <w:sz w:val="24"/>
        </w:rPr>
        <w:t>et al.</w:t>
      </w:r>
      <w:r w:rsidRPr="00346877">
        <w:rPr>
          <w:rFonts w:ascii="Cambria" w:hAnsi="Cambria"/>
          <w:noProof/>
          <w:sz w:val="24"/>
        </w:rPr>
        <w:t xml:space="preserve"> Effective fiber hypertrophy in satellite cell-depleted skeletal muscle. </w:t>
      </w:r>
      <w:r w:rsidRPr="00346877">
        <w:rPr>
          <w:rFonts w:ascii="Cambria" w:hAnsi="Cambria"/>
          <w:i/>
          <w:iCs/>
          <w:noProof/>
          <w:sz w:val="24"/>
        </w:rPr>
        <w:t>Development</w:t>
      </w:r>
      <w:r w:rsidRPr="00346877">
        <w:rPr>
          <w:rFonts w:ascii="Cambria" w:hAnsi="Cambria"/>
          <w:noProof/>
          <w:sz w:val="24"/>
        </w:rPr>
        <w:t xml:space="preserve"> </w:t>
      </w:r>
      <w:r w:rsidRPr="00346877">
        <w:rPr>
          <w:rFonts w:ascii="Cambria" w:hAnsi="Cambria"/>
          <w:b/>
          <w:bCs/>
          <w:noProof/>
          <w:sz w:val="24"/>
        </w:rPr>
        <w:t>138,</w:t>
      </w:r>
      <w:r w:rsidRPr="00346877">
        <w:rPr>
          <w:rFonts w:ascii="Cambria" w:hAnsi="Cambria"/>
          <w:noProof/>
          <w:sz w:val="24"/>
        </w:rPr>
        <w:t xml:space="preserve"> 3657–66 (2011).</w:t>
      </w:r>
    </w:p>
    <w:p w14:paraId="7E074110"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20.</w:t>
      </w:r>
      <w:r w:rsidRPr="00346877">
        <w:rPr>
          <w:rFonts w:ascii="Cambria" w:hAnsi="Cambria"/>
          <w:noProof/>
          <w:sz w:val="24"/>
        </w:rPr>
        <w:tab/>
        <w:t xml:space="preserve">Eng, D., Ma, H.-Y., Gross, M. K. &amp; Kioussi, C. Gene Networks during Skeletal Myogenesis. </w:t>
      </w:r>
      <w:r w:rsidRPr="00346877">
        <w:rPr>
          <w:rFonts w:ascii="Cambria" w:hAnsi="Cambria"/>
          <w:i/>
          <w:iCs/>
          <w:noProof/>
          <w:sz w:val="24"/>
        </w:rPr>
        <w:t>ISRN Dev. Biol.</w:t>
      </w:r>
      <w:r w:rsidRPr="00346877">
        <w:rPr>
          <w:rFonts w:ascii="Cambria" w:hAnsi="Cambria"/>
          <w:noProof/>
          <w:sz w:val="24"/>
        </w:rPr>
        <w:t xml:space="preserve"> </w:t>
      </w:r>
      <w:r w:rsidRPr="00346877">
        <w:rPr>
          <w:rFonts w:ascii="Cambria" w:hAnsi="Cambria"/>
          <w:b/>
          <w:bCs/>
          <w:noProof/>
          <w:sz w:val="24"/>
        </w:rPr>
        <w:t>2013,</w:t>
      </w:r>
      <w:r w:rsidRPr="00346877">
        <w:rPr>
          <w:rFonts w:ascii="Cambria" w:hAnsi="Cambria"/>
          <w:noProof/>
          <w:sz w:val="24"/>
        </w:rPr>
        <w:t xml:space="preserve"> 1–8 (2013).</w:t>
      </w:r>
    </w:p>
    <w:p w14:paraId="7757F3CE"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21.</w:t>
      </w:r>
      <w:r w:rsidRPr="00346877">
        <w:rPr>
          <w:rFonts w:ascii="Cambria" w:hAnsi="Cambria"/>
          <w:noProof/>
          <w:sz w:val="24"/>
        </w:rPr>
        <w:tab/>
        <w:t xml:space="preserve">Ge, Y. &amp; Chen, J. Mammalian target of rapamycin (mTOR) signaling network in skeletal myogenesis. </w:t>
      </w:r>
      <w:r w:rsidRPr="00346877">
        <w:rPr>
          <w:rFonts w:ascii="Cambria" w:hAnsi="Cambria"/>
          <w:i/>
          <w:iCs/>
          <w:noProof/>
          <w:sz w:val="24"/>
        </w:rPr>
        <w:t>J. Biol. Chem.</w:t>
      </w:r>
      <w:r w:rsidRPr="00346877">
        <w:rPr>
          <w:rFonts w:ascii="Cambria" w:hAnsi="Cambria"/>
          <w:noProof/>
          <w:sz w:val="24"/>
        </w:rPr>
        <w:t xml:space="preserve"> (2012). doi:10.1074/jbc.R112.406942</w:t>
      </w:r>
    </w:p>
    <w:p w14:paraId="04311376"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22.</w:t>
      </w:r>
      <w:r w:rsidRPr="00346877">
        <w:rPr>
          <w:rFonts w:ascii="Cambria" w:hAnsi="Cambria"/>
          <w:noProof/>
          <w:sz w:val="24"/>
        </w:rPr>
        <w:tab/>
        <w:t xml:space="preserve">Sun, Y. </w:t>
      </w:r>
      <w:r w:rsidRPr="00346877">
        <w:rPr>
          <w:rFonts w:ascii="Cambria" w:hAnsi="Cambria"/>
          <w:i/>
          <w:iCs/>
          <w:noProof/>
          <w:sz w:val="24"/>
        </w:rPr>
        <w:t>et al.</w:t>
      </w:r>
      <w:r w:rsidRPr="00346877">
        <w:rPr>
          <w:rFonts w:ascii="Cambria" w:hAnsi="Cambria"/>
          <w:noProof/>
          <w:sz w:val="24"/>
        </w:rPr>
        <w:t xml:space="preserve"> Mammalian target of rapamycin regulates miRNA-1 and follistatin in skeletal myogenesis. </w:t>
      </w:r>
      <w:r w:rsidRPr="00346877">
        <w:rPr>
          <w:rFonts w:ascii="Cambria" w:hAnsi="Cambria"/>
          <w:i/>
          <w:iCs/>
          <w:noProof/>
          <w:sz w:val="24"/>
        </w:rPr>
        <w:t>J. Cell Biol.</w:t>
      </w:r>
      <w:r w:rsidRPr="00346877">
        <w:rPr>
          <w:rFonts w:ascii="Cambria" w:hAnsi="Cambria"/>
          <w:noProof/>
          <w:sz w:val="24"/>
        </w:rPr>
        <w:t xml:space="preserve"> </w:t>
      </w:r>
      <w:r w:rsidRPr="00346877">
        <w:rPr>
          <w:rFonts w:ascii="Cambria" w:hAnsi="Cambria"/>
          <w:b/>
          <w:bCs/>
          <w:noProof/>
          <w:sz w:val="24"/>
        </w:rPr>
        <w:t>189,</w:t>
      </w:r>
      <w:r w:rsidRPr="00346877">
        <w:rPr>
          <w:rFonts w:ascii="Cambria" w:hAnsi="Cambria"/>
          <w:noProof/>
          <w:sz w:val="24"/>
        </w:rPr>
        <w:t xml:space="preserve"> 1157–69 (2010).</w:t>
      </w:r>
    </w:p>
    <w:p w14:paraId="69C43F73"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23.</w:t>
      </w:r>
      <w:r w:rsidRPr="00346877">
        <w:rPr>
          <w:rFonts w:ascii="Cambria" w:hAnsi="Cambria"/>
          <w:noProof/>
          <w:sz w:val="24"/>
        </w:rPr>
        <w:tab/>
        <w:t xml:space="preserve">Yaffe, D. &amp; Saxel, O. Serial passaging and differentiation of myogenic cells isolated from dystrophic mouse muscle. </w:t>
      </w:r>
      <w:r w:rsidRPr="00346877">
        <w:rPr>
          <w:rFonts w:ascii="Cambria" w:hAnsi="Cambria"/>
          <w:i/>
          <w:iCs/>
          <w:noProof/>
          <w:sz w:val="24"/>
        </w:rPr>
        <w:t>Nature</w:t>
      </w:r>
      <w:r w:rsidRPr="00346877">
        <w:rPr>
          <w:rFonts w:ascii="Cambria" w:hAnsi="Cambria"/>
          <w:noProof/>
          <w:sz w:val="24"/>
        </w:rPr>
        <w:t xml:space="preserve"> </w:t>
      </w:r>
      <w:r w:rsidRPr="00346877">
        <w:rPr>
          <w:rFonts w:ascii="Cambria" w:hAnsi="Cambria"/>
          <w:b/>
          <w:bCs/>
          <w:noProof/>
          <w:sz w:val="24"/>
        </w:rPr>
        <w:t>270,</w:t>
      </w:r>
      <w:r w:rsidRPr="00346877">
        <w:rPr>
          <w:rFonts w:ascii="Cambria" w:hAnsi="Cambria"/>
          <w:noProof/>
          <w:sz w:val="24"/>
        </w:rPr>
        <w:t xml:space="preserve"> 725–727 (1977).</w:t>
      </w:r>
    </w:p>
    <w:p w14:paraId="28C317B7"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24.</w:t>
      </w:r>
      <w:r w:rsidRPr="00346877">
        <w:rPr>
          <w:rFonts w:ascii="Cambria" w:hAnsi="Cambria"/>
          <w:noProof/>
          <w:sz w:val="24"/>
        </w:rPr>
        <w:tab/>
        <w:t xml:space="preserve">Schmittgen, T. D. &amp; Livak, K. J. Analyzing real-time PCR data by the comparative CT method. </w:t>
      </w:r>
      <w:r w:rsidRPr="00346877">
        <w:rPr>
          <w:rFonts w:ascii="Cambria" w:hAnsi="Cambria"/>
          <w:i/>
          <w:iCs/>
          <w:noProof/>
          <w:sz w:val="24"/>
        </w:rPr>
        <w:t>Nat. Protoc.</w:t>
      </w:r>
      <w:r w:rsidRPr="00346877">
        <w:rPr>
          <w:rFonts w:ascii="Cambria" w:hAnsi="Cambria"/>
          <w:noProof/>
          <w:sz w:val="24"/>
        </w:rPr>
        <w:t xml:space="preserve"> </w:t>
      </w:r>
      <w:r w:rsidRPr="00346877">
        <w:rPr>
          <w:rFonts w:ascii="Cambria" w:hAnsi="Cambria"/>
          <w:b/>
          <w:bCs/>
          <w:noProof/>
          <w:sz w:val="24"/>
        </w:rPr>
        <w:t>3,</w:t>
      </w:r>
      <w:r w:rsidRPr="00346877">
        <w:rPr>
          <w:rFonts w:ascii="Cambria" w:hAnsi="Cambria"/>
          <w:noProof/>
          <w:sz w:val="24"/>
        </w:rPr>
        <w:t xml:space="preserve"> 1101–1108 (2008).</w:t>
      </w:r>
    </w:p>
    <w:p w14:paraId="5F718166"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25.</w:t>
      </w:r>
      <w:r w:rsidRPr="00346877">
        <w:rPr>
          <w:rFonts w:ascii="Cambria" w:hAnsi="Cambria"/>
          <w:noProof/>
          <w:sz w:val="24"/>
        </w:rPr>
        <w:tab/>
        <w:t xml:space="preserve">Ni, J. </w:t>
      </w:r>
      <w:r w:rsidRPr="00346877">
        <w:rPr>
          <w:rFonts w:ascii="Cambria" w:hAnsi="Cambria"/>
          <w:i/>
          <w:iCs/>
          <w:noProof/>
          <w:sz w:val="24"/>
        </w:rPr>
        <w:t>et al.</w:t>
      </w:r>
      <w:r w:rsidRPr="00346877">
        <w:rPr>
          <w:rFonts w:ascii="Cambria" w:hAnsi="Cambria"/>
          <w:noProof/>
          <w:sz w:val="24"/>
        </w:rPr>
        <w:t xml:space="preserve"> A genome-scale shRNA resource for transgenic RNAi in Drosophila. </w:t>
      </w:r>
      <w:r w:rsidRPr="00346877">
        <w:rPr>
          <w:rFonts w:ascii="Cambria" w:hAnsi="Cambria"/>
          <w:i/>
          <w:iCs/>
          <w:noProof/>
          <w:sz w:val="24"/>
        </w:rPr>
        <w:t>Nat. Methods</w:t>
      </w:r>
      <w:r w:rsidRPr="00346877">
        <w:rPr>
          <w:rFonts w:ascii="Cambria" w:hAnsi="Cambria"/>
          <w:noProof/>
          <w:sz w:val="24"/>
        </w:rPr>
        <w:t xml:space="preserve"> </w:t>
      </w:r>
      <w:r w:rsidRPr="00346877">
        <w:rPr>
          <w:rFonts w:ascii="Cambria" w:hAnsi="Cambria"/>
          <w:b/>
          <w:bCs/>
          <w:noProof/>
          <w:sz w:val="24"/>
        </w:rPr>
        <w:t>8,</w:t>
      </w:r>
      <w:r w:rsidRPr="00346877">
        <w:rPr>
          <w:rFonts w:ascii="Cambria" w:hAnsi="Cambria"/>
          <w:noProof/>
          <w:sz w:val="24"/>
        </w:rPr>
        <w:t xml:space="preserve"> 405–7 (2011).</w:t>
      </w:r>
    </w:p>
    <w:p w14:paraId="207E0F8E"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26.</w:t>
      </w:r>
      <w:r w:rsidRPr="00346877">
        <w:rPr>
          <w:rFonts w:ascii="Cambria" w:hAnsi="Cambria"/>
          <w:noProof/>
          <w:sz w:val="24"/>
        </w:rPr>
        <w:tab/>
        <w:t>R Core Team. R: A Language and Environment for Statistical Computing. (2013).</w:t>
      </w:r>
    </w:p>
    <w:p w14:paraId="1F278AD6"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27.</w:t>
      </w:r>
      <w:r w:rsidRPr="00346877">
        <w:rPr>
          <w:rFonts w:ascii="Cambria" w:hAnsi="Cambria"/>
          <w:noProof/>
          <w:sz w:val="24"/>
        </w:rPr>
        <w:tab/>
        <w:t xml:space="preserve">Fox, J. &amp; Weisberg, S. </w:t>
      </w:r>
      <w:r w:rsidRPr="00346877">
        <w:rPr>
          <w:rFonts w:ascii="Cambria" w:hAnsi="Cambria"/>
          <w:i/>
          <w:iCs/>
          <w:noProof/>
          <w:sz w:val="24"/>
        </w:rPr>
        <w:t>An {R} Companion to Applied Regression</w:t>
      </w:r>
      <w:r w:rsidRPr="00346877">
        <w:rPr>
          <w:rFonts w:ascii="Cambria" w:hAnsi="Cambria"/>
          <w:noProof/>
          <w:sz w:val="24"/>
        </w:rPr>
        <w:t>. (Sage, 2011).</w:t>
      </w:r>
    </w:p>
    <w:p w14:paraId="4B05FBD3"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28.</w:t>
      </w:r>
      <w:r w:rsidRPr="00346877">
        <w:rPr>
          <w:rFonts w:ascii="Cambria" w:hAnsi="Cambria"/>
          <w:noProof/>
          <w:sz w:val="24"/>
        </w:rPr>
        <w:tab/>
        <w:t xml:space="preserve">Benjamini, Y. &amp; Hochberg, Y. Controlling the False Discovery Rate: A Practical and Powerful Approach to Multiple Testing. </w:t>
      </w:r>
      <w:r w:rsidRPr="00346877">
        <w:rPr>
          <w:rFonts w:ascii="Cambria" w:hAnsi="Cambria"/>
          <w:i/>
          <w:iCs/>
          <w:noProof/>
          <w:sz w:val="24"/>
        </w:rPr>
        <w:t>J. R. Stat. Soc. Ser. B</w:t>
      </w:r>
      <w:r w:rsidRPr="00346877">
        <w:rPr>
          <w:rFonts w:ascii="Cambria" w:hAnsi="Cambria"/>
          <w:noProof/>
          <w:sz w:val="24"/>
        </w:rPr>
        <w:t xml:space="preserve"> </w:t>
      </w:r>
      <w:r w:rsidRPr="00346877">
        <w:rPr>
          <w:rFonts w:ascii="Cambria" w:hAnsi="Cambria"/>
          <w:b/>
          <w:bCs/>
          <w:noProof/>
          <w:sz w:val="24"/>
        </w:rPr>
        <w:t>57,</w:t>
      </w:r>
      <w:r w:rsidRPr="00346877">
        <w:rPr>
          <w:rFonts w:ascii="Cambria" w:hAnsi="Cambria"/>
          <w:noProof/>
          <w:sz w:val="24"/>
        </w:rPr>
        <w:t xml:space="preserve"> 289–300 (1995).</w:t>
      </w:r>
    </w:p>
    <w:p w14:paraId="3F9A9D74"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29.</w:t>
      </w:r>
      <w:r w:rsidRPr="00346877">
        <w:rPr>
          <w:rFonts w:ascii="Cambria" w:hAnsi="Cambria"/>
          <w:noProof/>
          <w:sz w:val="24"/>
        </w:rPr>
        <w:tab/>
        <w:t xml:space="preserve">Berkes, C. a &amp; Tapscott, S. J. MyoD and the transcriptional control of myogenesis. </w:t>
      </w:r>
      <w:r w:rsidRPr="00346877">
        <w:rPr>
          <w:rFonts w:ascii="Cambria" w:hAnsi="Cambria"/>
          <w:i/>
          <w:iCs/>
          <w:noProof/>
          <w:sz w:val="24"/>
        </w:rPr>
        <w:t>Semin. Cell Dev. Biol.</w:t>
      </w:r>
      <w:r w:rsidRPr="00346877">
        <w:rPr>
          <w:rFonts w:ascii="Cambria" w:hAnsi="Cambria"/>
          <w:noProof/>
          <w:sz w:val="24"/>
        </w:rPr>
        <w:t xml:space="preserve"> </w:t>
      </w:r>
      <w:r w:rsidRPr="00346877">
        <w:rPr>
          <w:rFonts w:ascii="Cambria" w:hAnsi="Cambria"/>
          <w:b/>
          <w:bCs/>
          <w:noProof/>
          <w:sz w:val="24"/>
        </w:rPr>
        <w:t>16,</w:t>
      </w:r>
      <w:r w:rsidRPr="00346877">
        <w:rPr>
          <w:rFonts w:ascii="Cambria" w:hAnsi="Cambria"/>
          <w:noProof/>
          <w:sz w:val="24"/>
        </w:rPr>
        <w:t xml:space="preserve"> 585–95 (2005).</w:t>
      </w:r>
    </w:p>
    <w:p w14:paraId="29972FC7"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30.</w:t>
      </w:r>
      <w:r w:rsidRPr="00346877">
        <w:rPr>
          <w:rFonts w:ascii="Cambria" w:hAnsi="Cambria"/>
          <w:noProof/>
          <w:sz w:val="24"/>
        </w:rPr>
        <w:tab/>
        <w:t xml:space="preserve">Rogerson, P. J., Jamali, M. &amp; Skerjanc, I. S. The C-terminus of myogenin, but not MyoD, targets upregulation of MEF2C expression. </w:t>
      </w:r>
      <w:r w:rsidRPr="00346877">
        <w:rPr>
          <w:rFonts w:ascii="Cambria" w:hAnsi="Cambria"/>
          <w:i/>
          <w:iCs/>
          <w:noProof/>
          <w:sz w:val="24"/>
        </w:rPr>
        <w:t>FEBS Lett.</w:t>
      </w:r>
      <w:r w:rsidRPr="00346877">
        <w:rPr>
          <w:rFonts w:ascii="Cambria" w:hAnsi="Cambria"/>
          <w:noProof/>
          <w:sz w:val="24"/>
        </w:rPr>
        <w:t xml:space="preserve"> </w:t>
      </w:r>
      <w:r w:rsidRPr="00346877">
        <w:rPr>
          <w:rFonts w:ascii="Cambria" w:hAnsi="Cambria"/>
          <w:b/>
          <w:bCs/>
          <w:noProof/>
          <w:sz w:val="24"/>
        </w:rPr>
        <w:t>524,</w:t>
      </w:r>
      <w:r w:rsidRPr="00346877">
        <w:rPr>
          <w:rFonts w:ascii="Cambria" w:hAnsi="Cambria"/>
          <w:noProof/>
          <w:sz w:val="24"/>
        </w:rPr>
        <w:t xml:space="preserve"> 134–8 (2002).</w:t>
      </w:r>
    </w:p>
    <w:p w14:paraId="2810A775"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31.</w:t>
      </w:r>
      <w:r w:rsidRPr="00346877">
        <w:rPr>
          <w:rFonts w:ascii="Cambria" w:hAnsi="Cambria"/>
          <w:noProof/>
          <w:sz w:val="24"/>
        </w:rPr>
        <w:tab/>
        <w:t xml:space="preserve">Murakami, M. </w:t>
      </w:r>
      <w:r w:rsidRPr="00346877">
        <w:rPr>
          <w:rFonts w:ascii="Cambria" w:hAnsi="Cambria"/>
          <w:i/>
          <w:iCs/>
          <w:noProof/>
          <w:sz w:val="24"/>
        </w:rPr>
        <w:t>et al.</w:t>
      </w:r>
      <w:r w:rsidRPr="00346877">
        <w:rPr>
          <w:rFonts w:ascii="Cambria" w:hAnsi="Cambria"/>
          <w:noProof/>
          <w:sz w:val="24"/>
        </w:rPr>
        <w:t xml:space="preserve"> mTOR is essential for growth and proliferation in early mouse embryos and embryonic stem cells. </w:t>
      </w:r>
      <w:r w:rsidRPr="00346877">
        <w:rPr>
          <w:rFonts w:ascii="Cambria" w:hAnsi="Cambria"/>
          <w:i/>
          <w:iCs/>
          <w:noProof/>
          <w:sz w:val="24"/>
        </w:rPr>
        <w:t>Mol. Cell. Biol.</w:t>
      </w:r>
      <w:r w:rsidRPr="00346877">
        <w:rPr>
          <w:rFonts w:ascii="Cambria" w:hAnsi="Cambria"/>
          <w:noProof/>
          <w:sz w:val="24"/>
        </w:rPr>
        <w:t xml:space="preserve"> </w:t>
      </w:r>
      <w:r w:rsidRPr="00346877">
        <w:rPr>
          <w:rFonts w:ascii="Cambria" w:hAnsi="Cambria"/>
          <w:b/>
          <w:bCs/>
          <w:noProof/>
          <w:sz w:val="24"/>
        </w:rPr>
        <w:t>24,</w:t>
      </w:r>
      <w:r w:rsidRPr="00346877">
        <w:rPr>
          <w:rFonts w:ascii="Cambria" w:hAnsi="Cambria"/>
          <w:noProof/>
          <w:sz w:val="24"/>
        </w:rPr>
        <w:t xml:space="preserve"> 6710–8 (2004).</w:t>
      </w:r>
    </w:p>
    <w:p w14:paraId="21F4F5E4"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32.</w:t>
      </w:r>
      <w:r w:rsidRPr="00346877">
        <w:rPr>
          <w:rFonts w:ascii="Cambria" w:hAnsi="Cambria"/>
          <w:noProof/>
          <w:sz w:val="24"/>
        </w:rPr>
        <w:tab/>
        <w:t xml:space="preserve">Duffy, J. B. GAL4 system in Drosophila: a fly geneticist’s Swiss army knife. </w:t>
      </w:r>
      <w:r w:rsidRPr="00346877">
        <w:rPr>
          <w:rFonts w:ascii="Cambria" w:hAnsi="Cambria"/>
          <w:i/>
          <w:iCs/>
          <w:noProof/>
          <w:sz w:val="24"/>
        </w:rPr>
        <w:t>Genesis</w:t>
      </w:r>
      <w:r w:rsidRPr="00346877">
        <w:rPr>
          <w:rFonts w:ascii="Cambria" w:hAnsi="Cambria"/>
          <w:noProof/>
          <w:sz w:val="24"/>
        </w:rPr>
        <w:t xml:space="preserve"> </w:t>
      </w:r>
      <w:r w:rsidRPr="00346877">
        <w:rPr>
          <w:rFonts w:ascii="Cambria" w:hAnsi="Cambria"/>
          <w:b/>
          <w:bCs/>
          <w:noProof/>
          <w:sz w:val="24"/>
        </w:rPr>
        <w:t>34,</w:t>
      </w:r>
      <w:r w:rsidRPr="00346877">
        <w:rPr>
          <w:rFonts w:ascii="Cambria" w:hAnsi="Cambria"/>
          <w:noProof/>
          <w:sz w:val="24"/>
        </w:rPr>
        <w:t xml:space="preserve"> 1–15 (2002).</w:t>
      </w:r>
    </w:p>
    <w:p w14:paraId="4D8A031E"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33.</w:t>
      </w:r>
      <w:r w:rsidRPr="00346877">
        <w:rPr>
          <w:rFonts w:ascii="Cambria" w:hAnsi="Cambria"/>
          <w:noProof/>
          <w:sz w:val="24"/>
        </w:rPr>
        <w:tab/>
        <w:t xml:space="preserve">Bentzinger, C. F. </w:t>
      </w:r>
      <w:r w:rsidRPr="00346877">
        <w:rPr>
          <w:rFonts w:ascii="Cambria" w:hAnsi="Cambria"/>
          <w:i/>
          <w:iCs/>
          <w:noProof/>
          <w:sz w:val="24"/>
        </w:rPr>
        <w:t>et al.</w:t>
      </w:r>
      <w:r w:rsidRPr="00346877">
        <w:rPr>
          <w:rFonts w:ascii="Cambria" w:hAnsi="Cambria"/>
          <w:noProof/>
          <w:sz w:val="24"/>
        </w:rPr>
        <w:t xml:space="preserve"> Skeletal muscle-specific ablation of raptor, but not of rictor, causes metabolic changes and results in muscle dystrophy. </w:t>
      </w:r>
      <w:r w:rsidRPr="00346877">
        <w:rPr>
          <w:rFonts w:ascii="Cambria" w:hAnsi="Cambria"/>
          <w:i/>
          <w:iCs/>
          <w:noProof/>
          <w:sz w:val="24"/>
        </w:rPr>
        <w:t>Cell Metab.</w:t>
      </w:r>
      <w:r w:rsidRPr="00346877">
        <w:rPr>
          <w:rFonts w:ascii="Cambria" w:hAnsi="Cambria"/>
          <w:noProof/>
          <w:sz w:val="24"/>
        </w:rPr>
        <w:t xml:space="preserve"> </w:t>
      </w:r>
      <w:r w:rsidRPr="00346877">
        <w:rPr>
          <w:rFonts w:ascii="Cambria" w:hAnsi="Cambria"/>
          <w:b/>
          <w:bCs/>
          <w:noProof/>
          <w:sz w:val="24"/>
        </w:rPr>
        <w:t>8,</w:t>
      </w:r>
      <w:r w:rsidRPr="00346877">
        <w:rPr>
          <w:rFonts w:ascii="Cambria" w:hAnsi="Cambria"/>
          <w:noProof/>
          <w:sz w:val="24"/>
        </w:rPr>
        <w:t xml:space="preserve"> 411–24 (2008).</w:t>
      </w:r>
    </w:p>
    <w:p w14:paraId="42A68731" w14:textId="77777777" w:rsidR="00346877" w:rsidRPr="00346877" w:rsidRDefault="00346877">
      <w:pPr>
        <w:pStyle w:val="NormalWeb"/>
        <w:ind w:left="640" w:hanging="640"/>
        <w:divId w:val="1944527935"/>
        <w:rPr>
          <w:rFonts w:ascii="Cambria" w:hAnsi="Cambria"/>
          <w:noProof/>
          <w:sz w:val="24"/>
        </w:rPr>
      </w:pPr>
      <w:r w:rsidRPr="00346877">
        <w:rPr>
          <w:rFonts w:ascii="Cambria" w:hAnsi="Cambria"/>
          <w:noProof/>
          <w:sz w:val="24"/>
        </w:rPr>
        <w:t>34.</w:t>
      </w:r>
      <w:r w:rsidRPr="00346877">
        <w:rPr>
          <w:rFonts w:ascii="Cambria" w:hAnsi="Cambria"/>
          <w:noProof/>
          <w:sz w:val="24"/>
        </w:rPr>
        <w:tab/>
        <w:t xml:space="preserve">Bentzinger, C. F. </w:t>
      </w:r>
      <w:r w:rsidRPr="00346877">
        <w:rPr>
          <w:rFonts w:ascii="Cambria" w:hAnsi="Cambria"/>
          <w:i/>
          <w:iCs/>
          <w:noProof/>
          <w:sz w:val="24"/>
        </w:rPr>
        <w:t>et al.</w:t>
      </w:r>
      <w:r w:rsidRPr="00346877">
        <w:rPr>
          <w:rFonts w:ascii="Cambria" w:hAnsi="Cambria"/>
          <w:noProof/>
          <w:sz w:val="24"/>
        </w:rPr>
        <w:t xml:space="preserve"> Differential response of skeletal muscles to mTORC1 signaling during atrophy and hypertrophy. </w:t>
      </w:r>
      <w:r w:rsidRPr="00346877">
        <w:rPr>
          <w:rFonts w:ascii="Cambria" w:hAnsi="Cambria"/>
          <w:i/>
          <w:iCs/>
          <w:noProof/>
          <w:sz w:val="24"/>
        </w:rPr>
        <w:t>Skelet. Muscle</w:t>
      </w:r>
      <w:r w:rsidRPr="00346877">
        <w:rPr>
          <w:rFonts w:ascii="Cambria" w:hAnsi="Cambria"/>
          <w:noProof/>
          <w:sz w:val="24"/>
        </w:rPr>
        <w:t xml:space="preserve"> </w:t>
      </w:r>
      <w:r w:rsidRPr="00346877">
        <w:rPr>
          <w:rFonts w:ascii="Cambria" w:hAnsi="Cambria"/>
          <w:b/>
          <w:bCs/>
          <w:noProof/>
          <w:sz w:val="24"/>
        </w:rPr>
        <w:t>3,</w:t>
      </w:r>
      <w:r w:rsidRPr="00346877">
        <w:rPr>
          <w:rFonts w:ascii="Cambria" w:hAnsi="Cambria"/>
          <w:noProof/>
          <w:sz w:val="24"/>
        </w:rPr>
        <w:t xml:space="preserve"> 6 (2013). </w:t>
      </w:r>
    </w:p>
    <w:p w14:paraId="41FF71FC" w14:textId="3877A011" w:rsidR="00234C0A" w:rsidRPr="008C6740" w:rsidRDefault="00D07587" w:rsidP="00346877">
      <w:pPr>
        <w:pStyle w:val="NormalWeb"/>
        <w:spacing w:line="480" w:lineRule="auto"/>
        <w:ind w:left="640" w:hanging="640"/>
        <w:divId w:val="1021319859"/>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3671538B" w14:textId="77777777" w:rsidR="007C342C" w:rsidRPr="008C6740" w:rsidRDefault="007C342C" w:rsidP="00963A23">
      <w:pPr>
        <w:spacing w:line="480" w:lineRule="auto"/>
        <w:jc w:val="both"/>
        <w:rPr>
          <w:b/>
        </w:rPr>
      </w:pPr>
    </w:p>
    <w:p w14:paraId="6EA80938" w14:textId="77777777" w:rsidR="00922DE5" w:rsidRPr="008C6740" w:rsidRDefault="00922DE5" w:rsidP="00963A23">
      <w:pPr>
        <w:spacing w:line="480" w:lineRule="auto"/>
        <w:jc w:val="both"/>
        <w:rPr>
          <w:b/>
        </w:rPr>
      </w:pPr>
    </w:p>
    <w:p w14:paraId="3F76898D" w14:textId="77777777" w:rsidR="00922DE5" w:rsidRPr="008C6740" w:rsidRDefault="00922DE5" w:rsidP="00963A23">
      <w:pPr>
        <w:spacing w:line="480" w:lineRule="auto"/>
        <w:jc w:val="both"/>
        <w:rPr>
          <w:b/>
        </w:rPr>
      </w:pPr>
    </w:p>
    <w:p w14:paraId="4187C8C1" w14:textId="77777777" w:rsidR="00922DE5" w:rsidRPr="008C6740" w:rsidRDefault="00922DE5" w:rsidP="00963A23">
      <w:pPr>
        <w:spacing w:line="480" w:lineRule="auto"/>
        <w:jc w:val="both"/>
        <w:rPr>
          <w:b/>
        </w:rPr>
      </w:pPr>
    </w:p>
    <w:p w14:paraId="112D687C" w14:textId="77777777" w:rsidR="00922DE5" w:rsidRPr="008C6740" w:rsidRDefault="00922DE5" w:rsidP="00963A23">
      <w:pPr>
        <w:spacing w:line="480" w:lineRule="auto"/>
        <w:jc w:val="both"/>
        <w:rPr>
          <w:b/>
        </w:rPr>
      </w:pPr>
    </w:p>
    <w:p w14:paraId="160E24C2" w14:textId="77777777" w:rsidR="00922DE5" w:rsidRPr="008C6740" w:rsidRDefault="00922DE5" w:rsidP="00963A23">
      <w:pPr>
        <w:spacing w:line="480" w:lineRule="auto"/>
        <w:jc w:val="both"/>
        <w:rPr>
          <w:b/>
        </w:rPr>
      </w:pPr>
    </w:p>
    <w:p w14:paraId="37A4D36F" w14:textId="77777777" w:rsidR="00922DE5" w:rsidRPr="008C6740" w:rsidRDefault="00922DE5" w:rsidP="00963A23">
      <w:pPr>
        <w:spacing w:line="480" w:lineRule="auto"/>
        <w:jc w:val="both"/>
        <w:rPr>
          <w:b/>
        </w:rPr>
      </w:pPr>
    </w:p>
    <w:p w14:paraId="49502290" w14:textId="77777777" w:rsidR="00922DE5" w:rsidRPr="008C6740" w:rsidRDefault="00922DE5" w:rsidP="00963A23">
      <w:pPr>
        <w:spacing w:line="480" w:lineRule="auto"/>
        <w:jc w:val="both"/>
        <w:rPr>
          <w:b/>
        </w:rPr>
      </w:pPr>
    </w:p>
    <w:p w14:paraId="224AD4F7" w14:textId="77777777" w:rsidR="00922DE5" w:rsidRPr="008C6740" w:rsidRDefault="00922DE5" w:rsidP="00963A23">
      <w:pPr>
        <w:spacing w:line="480" w:lineRule="auto"/>
        <w:jc w:val="both"/>
        <w:rPr>
          <w:b/>
        </w:rPr>
      </w:pPr>
    </w:p>
    <w:p w14:paraId="2BD8DBBA" w14:textId="77777777" w:rsidR="00922DE5" w:rsidRPr="008C6740" w:rsidRDefault="00922DE5" w:rsidP="00963A23">
      <w:pPr>
        <w:spacing w:line="480" w:lineRule="auto"/>
        <w:jc w:val="both"/>
        <w:rPr>
          <w:b/>
        </w:rPr>
      </w:pPr>
    </w:p>
    <w:p w14:paraId="397239CD" w14:textId="77777777" w:rsidR="00922DE5" w:rsidRPr="008C6740" w:rsidRDefault="00922DE5" w:rsidP="00963A23">
      <w:pPr>
        <w:spacing w:line="480" w:lineRule="auto"/>
        <w:jc w:val="both"/>
        <w:rPr>
          <w:b/>
        </w:rPr>
      </w:pPr>
    </w:p>
    <w:p w14:paraId="01C76676" w14:textId="77777777" w:rsidR="00234C0A" w:rsidRPr="008C6740" w:rsidRDefault="00234C0A" w:rsidP="00963A23">
      <w:pPr>
        <w:spacing w:line="480" w:lineRule="auto"/>
        <w:jc w:val="both"/>
        <w:rPr>
          <w:b/>
        </w:rPr>
      </w:pPr>
    </w:p>
    <w:p w14:paraId="59B26627" w14:textId="77777777" w:rsidR="00234C0A" w:rsidRPr="008C6740" w:rsidRDefault="00234C0A" w:rsidP="00963A23">
      <w:pPr>
        <w:spacing w:line="480" w:lineRule="auto"/>
        <w:jc w:val="both"/>
        <w:rPr>
          <w:b/>
        </w:rPr>
      </w:pPr>
    </w:p>
    <w:p w14:paraId="3D0C507C" w14:textId="2A71AF0E" w:rsidR="00D07587" w:rsidRDefault="00D07587" w:rsidP="00963A23">
      <w:pPr>
        <w:spacing w:line="480" w:lineRule="auto"/>
        <w:jc w:val="both"/>
        <w:rPr>
          <w:rFonts w:asciiTheme="majorHAnsi" w:eastAsiaTheme="majorEastAsia" w:hAnsiTheme="majorHAnsi" w:cstheme="majorBidi"/>
          <w:b/>
          <w:bCs/>
          <w:color w:val="4F81BD" w:themeColor="accent1"/>
          <w:sz w:val="26"/>
          <w:szCs w:val="26"/>
        </w:rPr>
      </w:pPr>
    </w:p>
    <w:p w14:paraId="561B96F6" w14:textId="77777777" w:rsidR="00D07587" w:rsidRDefault="00D07587" w:rsidP="00963A23">
      <w:pPr>
        <w:pStyle w:val="Heading2"/>
        <w:spacing w:line="480" w:lineRule="auto"/>
        <w:jc w:val="both"/>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w:t>
      </w:r>
      <w:proofErr w:type="spellStart"/>
      <w:r w:rsidR="008B5CF0" w:rsidRPr="00E56C2A">
        <w:rPr>
          <w:rFonts w:cs="Times"/>
        </w:rPr>
        <w:t>qPCR</w:t>
      </w:r>
      <w:proofErr w:type="spellEnd"/>
      <w:r w:rsidR="008B5CF0" w:rsidRPr="00E56C2A">
        <w:rPr>
          <w:rFonts w:cs="Times"/>
        </w:rPr>
        <w:t xml:space="preserve">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47208F08" w:rsidR="00474711" w:rsidRPr="003E4F67" w:rsidRDefault="00E56C2A" w:rsidP="00963A23">
      <w:pPr>
        <w:spacing w:line="480" w:lineRule="auto"/>
        <w:jc w:val="both"/>
        <w:rPr>
          <w:noProof/>
        </w:rPr>
      </w:pPr>
      <w:r w:rsidRPr="00E56C2A">
        <w:rPr>
          <w:b/>
          <w:noProof/>
        </w:rPr>
        <w:t xml:space="preserve">Figure 1. Rapamycin blocks C2C12 differentiation. </w:t>
      </w:r>
      <w:r w:rsidRPr="00E56C2A">
        <w:rPr>
          <w:noProof/>
        </w:rPr>
        <w:t>A) The order of appearance of  myotube differentiation markers over the course of 15 days in differentiation media only</w:t>
      </w:r>
      <w:r w:rsidR="004B6617">
        <w:rPr>
          <w:noProof/>
        </w:rPr>
        <w:t>.  This is representative of three independent experiments.</w:t>
      </w:r>
      <w:r w:rsidRPr="00E56C2A">
        <w:rPr>
          <w:noProof/>
        </w:rPr>
        <w:t xml:space="preserve"> B) Differences in differentation marker transcripts when treate</w:t>
      </w:r>
      <w:r w:rsidR="008B5CF0">
        <w:rPr>
          <w:noProof/>
        </w:rPr>
        <w:t>d with DMSO (vehicle) or 500nM</w:t>
      </w:r>
      <w:r w:rsidRPr="00E56C2A">
        <w:rPr>
          <w:noProof/>
        </w:rPr>
        <w:t xml:space="preserve"> rapamycin for 9 days. Transcripts from both A) and B) were measured by </w:t>
      </w:r>
      <w:r w:rsidR="007D13AB">
        <w:rPr>
          <w:noProof/>
        </w:rPr>
        <w:t>q</w:t>
      </w:r>
      <w:r w:rsidRPr="00E56C2A">
        <w:rPr>
          <w:noProof/>
        </w:rPr>
        <w:t xml:space="preserve">RT-PCR and normalized to </w:t>
      </w:r>
      <w:r w:rsidRPr="00E56C2A">
        <w:rPr>
          <w:i/>
          <w:noProof/>
        </w:rPr>
        <w:t>Gapdh</w:t>
      </w:r>
      <w:r w:rsidRPr="00E56C2A">
        <w:rPr>
          <w:noProof/>
        </w:rPr>
        <w:t>.  C) Images of morphological changes in C2C12 myoblasts in response to 9 days of DMS</w:t>
      </w:r>
      <w:r w:rsidR="008B5CF0">
        <w:rPr>
          <w:noProof/>
        </w:rPr>
        <w:t>O or rapamycin treatment (500nM)</w:t>
      </w:r>
      <w:r w:rsidRPr="00E56C2A">
        <w:rPr>
          <w:noProof/>
        </w:rPr>
        <w:t>.</w:t>
      </w:r>
      <w:r w:rsidR="007D13AB">
        <w:rPr>
          <w:noProof/>
        </w:rPr>
        <w:t xml:space="preserve"> </w:t>
      </w:r>
    </w:p>
    <w:p w14:paraId="497BC1B3" w14:textId="77777777" w:rsidR="00474711" w:rsidRPr="003E4F67" w:rsidRDefault="00474711" w:rsidP="00963A23">
      <w:pPr>
        <w:spacing w:line="480" w:lineRule="auto"/>
        <w:jc w:val="both"/>
        <w:rPr>
          <w:noProof/>
        </w:rPr>
      </w:pPr>
    </w:p>
    <w:p w14:paraId="4A7E2386" w14:textId="4CFB3814"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C)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2441FFF6"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 xml:space="preserve">around </w:t>
      </w:r>
      <w:proofErr w:type="spellStart"/>
      <w:r w:rsidR="00FA26EC">
        <w:rPr>
          <w:rFonts w:cs="Times"/>
          <w:b/>
        </w:rPr>
        <w:t>pupal</w:t>
      </w:r>
      <w:proofErr w:type="spellEnd"/>
      <w:r w:rsidR="00FA26EC">
        <w:rPr>
          <w:rFonts w:cs="Times"/>
          <w:b/>
        </w:rPr>
        <w:t xml:space="preserve"> stage ~12-13</w:t>
      </w:r>
      <w:r w:rsidRPr="00912E8F">
        <w:rPr>
          <w:rFonts w:cs="Times"/>
          <w:b/>
        </w:rPr>
        <w:t xml:space="preserve">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Pr>
          <w:rFonts w:cs="Times"/>
          <w:i/>
        </w:rPr>
        <w:t xml:space="preserve">GAL4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43590C">
        <w:rPr>
          <w:rFonts w:cs="Times"/>
        </w:rPr>
        <w:t>)</w:t>
      </w:r>
      <w:r w:rsidR="00296E19">
        <w:rPr>
          <w:rFonts w:cs="Times"/>
        </w:rPr>
        <w:t xml:space="preserve"> </w:t>
      </w:r>
      <w:proofErr w:type="gramStart"/>
      <w:r w:rsidR="00296E19">
        <w:rPr>
          <w:rFonts w:cs="Times"/>
        </w:rPr>
        <w:t>and</w:t>
      </w:r>
      <w:proofErr w:type="gramEnd"/>
      <w:r w:rsidR="00296E19">
        <w:rPr>
          <w:rFonts w:cs="Times"/>
        </w:rPr>
        <w:t xml:space="preserve"> </w:t>
      </w:r>
      <w:r w:rsidR="00E21A55">
        <w:rPr>
          <w:rFonts w:cs="Times"/>
        </w:rPr>
        <w:t xml:space="preserve">B) </w:t>
      </w:r>
      <w:r w:rsidR="00296E19">
        <w:rPr>
          <w:rFonts w:cs="Times"/>
        </w:rPr>
        <w:t xml:space="preserve">show the total number of flies </w:t>
      </w:r>
      <w:proofErr w:type="spellStart"/>
      <w:r w:rsidR="00296E19">
        <w:rPr>
          <w:rFonts w:cs="Times"/>
        </w:rPr>
        <w:t>eclosed</w:t>
      </w:r>
      <w:proofErr w:type="spellEnd"/>
      <w:r w:rsidR="00296E19">
        <w:rPr>
          <w:rFonts w:cs="Times"/>
        </w:rPr>
        <w:t>; C</w:t>
      </w:r>
      <w:r w:rsidR="0043590C">
        <w:rPr>
          <w:rFonts w:cs="Times"/>
        </w:rPr>
        <w:t>)</w:t>
      </w:r>
      <w:r w:rsidR="00296E19">
        <w:rPr>
          <w:rFonts w:cs="Times"/>
        </w:rPr>
        <w:t xml:space="preserve"> and D) indicate the t</w:t>
      </w:r>
      <w:r w:rsidR="00E21A55">
        <w:rPr>
          <w:rFonts w:cs="Times"/>
        </w:rPr>
        <w:t>ota</w:t>
      </w:r>
      <w:r w:rsidR="00296E19">
        <w:rPr>
          <w:rFonts w:cs="Times"/>
        </w:rPr>
        <w:t>l number of pupae after 20 days, and  F</w:t>
      </w:r>
      <w:r w:rsidR="0043590C">
        <w:rPr>
          <w:rFonts w:cs="Times"/>
        </w:rPr>
        <w:t>)</w:t>
      </w:r>
      <w:r w:rsidR="00296E19">
        <w:rPr>
          <w:rFonts w:cs="Times"/>
        </w:rPr>
        <w:t xml:space="preserve"> and G)  show the p</w:t>
      </w:r>
      <w:r w:rsidR="00E21A55">
        <w:rPr>
          <w:rFonts w:cs="Times"/>
        </w:rPr>
        <w:t xml:space="preserve">ercentage of dead pupae.  </w:t>
      </w:r>
      <w:r w:rsidR="007D22A8">
        <w:rPr>
          <w:rFonts w:cs="Times"/>
        </w:rPr>
        <w:t>Panel E</w:t>
      </w:r>
      <w:r w:rsidR="0043590C">
        <w:rPr>
          <w:rFonts w:cs="Times"/>
        </w:rPr>
        <w:t>)</w:t>
      </w:r>
      <w:r w:rsidR="007D22A8">
        <w:rPr>
          <w:rFonts w:cs="Times"/>
        </w:rPr>
        <w:t xml:space="preserve"> shows a representative example of dead flies, still within their </w:t>
      </w:r>
      <w:proofErr w:type="spellStart"/>
      <w:r w:rsidR="007D22A8">
        <w:rPr>
          <w:rFonts w:cs="Times"/>
        </w:rPr>
        <w:t>pupal</w:t>
      </w:r>
      <w:proofErr w:type="spellEnd"/>
      <w:r w:rsidR="007D22A8">
        <w:rPr>
          <w:rFonts w:cs="Times"/>
        </w:rPr>
        <w:t xml:space="preserve"> cases</w:t>
      </w:r>
      <w:r w:rsidR="00852231">
        <w:rPr>
          <w:rFonts w:cs="Times"/>
        </w:rPr>
        <w:t xml:space="preserve"> for </w:t>
      </w:r>
      <w:r w:rsidR="00852231">
        <w:rPr>
          <w:rFonts w:cs="Times"/>
          <w:i/>
        </w:rPr>
        <w:t>Mef2-GAL4</w:t>
      </w:r>
      <w:r w:rsidR="00852231">
        <w:rPr>
          <w:rFonts w:cs="Times"/>
        </w:rPr>
        <w:t>&gt;</w:t>
      </w:r>
      <w:r w:rsidR="0043590C">
        <w:rPr>
          <w:rFonts w:cs="Times"/>
        </w:rPr>
        <w:t>UAS-</w:t>
      </w:r>
      <w:r w:rsidR="00852231" w:rsidRPr="00852231">
        <w:rPr>
          <w:rFonts w:cs="Times"/>
          <w:i/>
        </w:rPr>
        <w:t>Raptor</w:t>
      </w:r>
      <w:r w:rsidR="0043590C">
        <w:rPr>
          <w:rFonts w:cs="Times"/>
        </w:rPr>
        <w:t>-</w:t>
      </w:r>
      <w:proofErr w:type="spellStart"/>
      <w:r w:rsidR="00852231">
        <w:rPr>
          <w:rFonts w:cs="Times"/>
        </w:rPr>
        <w:t>shRNA</w:t>
      </w:r>
      <w:proofErr w:type="spellEnd"/>
      <w:r w:rsidR="00852231">
        <w:rPr>
          <w:rFonts w:cs="Times"/>
        </w:rPr>
        <w:t xml:space="preserve"> #1</w:t>
      </w:r>
      <w:r w:rsidR="007D22A8">
        <w:rPr>
          <w:rFonts w:cs="Times"/>
        </w:rPr>
        <w:t xml:space="preserve">.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E475B9">
        <w:rPr>
          <w:rFonts w:cs="Times"/>
        </w:rPr>
        <w:t>B, C and 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610CCDB5"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w:t>
      </w:r>
      <w:proofErr w:type="spellStart"/>
      <w:r>
        <w:rPr>
          <w:rFonts w:cs="Times"/>
          <w:b/>
        </w:rPr>
        <w:t>Eclose</w:t>
      </w:r>
      <w:proofErr w:type="spellEnd"/>
      <w:r>
        <w:rPr>
          <w:rFonts w:cs="Times"/>
          <w:b/>
        </w:rPr>
        <w:t xml:space="preserve"> from </w:t>
      </w:r>
      <w:proofErr w:type="spellStart"/>
      <w:r>
        <w:rPr>
          <w:rFonts w:cs="Times"/>
          <w:b/>
        </w:rPr>
        <w:t>Pupal</w:t>
      </w:r>
      <w:proofErr w:type="spellEnd"/>
      <w:r>
        <w:rPr>
          <w:rFonts w:cs="Times"/>
          <w:b/>
        </w:rPr>
        <w:t xml:space="preserve">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w:t>
      </w:r>
      <w:proofErr w:type="spellStart"/>
      <w:r w:rsidR="00303CDF">
        <w:rPr>
          <w:rFonts w:cs="Times"/>
        </w:rPr>
        <w:t>shRNA</w:t>
      </w:r>
      <w:proofErr w:type="spellEnd"/>
      <w:r w:rsidR="00303CDF">
        <w:rPr>
          <w:rFonts w:cs="Times"/>
        </w:rPr>
        <w:t xml:space="preserve"> or </w:t>
      </w:r>
      <w:r w:rsidR="00303CDF">
        <w:rPr>
          <w:rFonts w:cs="Times"/>
          <w:i/>
        </w:rPr>
        <w:t xml:space="preserve">Raptor </w:t>
      </w:r>
      <w:proofErr w:type="spellStart"/>
      <w:r w:rsidR="00303CDF">
        <w:rPr>
          <w:rFonts w:cs="Times"/>
        </w:rPr>
        <w:t>shRNA</w:t>
      </w:r>
      <w:proofErr w:type="spellEnd"/>
      <w:r w:rsidR="00303CDF">
        <w:rPr>
          <w:rFonts w:cs="Times"/>
        </w:rPr>
        <w:t xml:space="preserve"> #1 were examined </w:t>
      </w:r>
      <w:r w:rsidR="00912CF5">
        <w:rPr>
          <w:rFonts w:cs="Times"/>
        </w:rPr>
        <w:t xml:space="preserve">from </w:t>
      </w:r>
      <w:proofErr w:type="spellStart"/>
      <w:r w:rsidR="00912CF5">
        <w:rPr>
          <w:rFonts w:cs="Times"/>
        </w:rPr>
        <w:t>pupal</w:t>
      </w:r>
      <w:proofErr w:type="spellEnd"/>
      <w:r w:rsidR="00912CF5">
        <w:rPr>
          <w:rFonts w:cs="Times"/>
        </w:rPr>
        <w:t xml:space="preserve"> stage </w:t>
      </w:r>
      <w:r w:rsidR="003B40CA">
        <w:rPr>
          <w:rFonts w:cs="Times"/>
        </w:rPr>
        <w:t>10</w:t>
      </w:r>
      <w:r w:rsidR="00912CF5">
        <w:rPr>
          <w:rFonts w:cs="Times"/>
        </w:rPr>
        <w:t xml:space="preserve"> till after </w:t>
      </w:r>
      <w:proofErr w:type="spellStart"/>
      <w:r w:rsidR="00912CF5">
        <w:rPr>
          <w:rFonts w:cs="Times"/>
        </w:rPr>
        <w:t>eclosure</w:t>
      </w:r>
      <w:proofErr w:type="spellEnd"/>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proofErr w:type="spellStart"/>
      <w:r w:rsidR="00303CDF">
        <w:rPr>
          <w:rFonts w:cs="Times"/>
        </w:rPr>
        <w:t>eclosed</w:t>
      </w:r>
      <w:proofErr w:type="spellEnd"/>
      <w:r w:rsidR="00303CDF">
        <w:rPr>
          <w:rFonts w:cs="Times"/>
        </w:rPr>
        <w:t xml:space="preserve"> but </w:t>
      </w:r>
      <w:r w:rsidR="00303CDF">
        <w:rPr>
          <w:rFonts w:cs="Times"/>
          <w:i/>
        </w:rPr>
        <w:t>Raptor</w:t>
      </w:r>
      <w:r w:rsidR="00303CDF">
        <w:rPr>
          <w:rFonts w:cs="Times"/>
        </w:rPr>
        <w:t xml:space="preserve"> knockdown flies remained inside the </w:t>
      </w:r>
      <w:proofErr w:type="spellStart"/>
      <w:r w:rsidR="00303CDF">
        <w:rPr>
          <w:rFonts w:cs="Times"/>
        </w:rPr>
        <w:t>pupal</w:t>
      </w:r>
      <w:proofErr w:type="spellEnd"/>
      <w:r w:rsidR="00303CDF">
        <w:rPr>
          <w:rFonts w:cs="Times"/>
        </w:rPr>
        <w:t xml:space="preserve"> cases.  B) On day 10, </w:t>
      </w:r>
      <w:r w:rsidR="00912CF5">
        <w:rPr>
          <w:rFonts w:cs="Times"/>
        </w:rPr>
        <w:t xml:space="preserve">(approximately </w:t>
      </w:r>
      <w:proofErr w:type="spellStart"/>
      <w:r w:rsidR="00912CF5">
        <w:rPr>
          <w:rFonts w:cs="Times"/>
        </w:rPr>
        <w:t>pupal</w:t>
      </w:r>
      <w:proofErr w:type="spellEnd"/>
      <w:r w:rsidR="00912CF5">
        <w:rPr>
          <w:rFonts w:cs="Times"/>
        </w:rPr>
        <w:t xml:space="preserve"> stage 12) </w:t>
      </w:r>
      <w:proofErr w:type="spellStart"/>
      <w:r w:rsidR="00303CDF">
        <w:rPr>
          <w:rFonts w:cs="Times"/>
        </w:rPr>
        <w:t>pupal</w:t>
      </w:r>
      <w:proofErr w:type="spellEnd"/>
      <w:r w:rsidR="00303CDF">
        <w:rPr>
          <w:rFonts w:cs="Times"/>
        </w:rPr>
        <w:t xml:space="preserve"> cases were cut open </w:t>
      </w:r>
      <w:r w:rsidR="00912CF5">
        <w:rPr>
          <w:rFonts w:cs="Times"/>
        </w:rPr>
        <w:t xml:space="preserve">at the operculum </w:t>
      </w:r>
      <w:r w:rsidR="00303CDF">
        <w:rPr>
          <w:rFonts w:cs="Times"/>
        </w:rPr>
        <w:t xml:space="preserve">to assist </w:t>
      </w:r>
      <w:proofErr w:type="spellStart"/>
      <w:r w:rsidR="00303CDF">
        <w:rPr>
          <w:rFonts w:cs="Times"/>
        </w:rPr>
        <w:t>eclosure</w:t>
      </w:r>
      <w:proofErr w:type="spellEnd"/>
      <w:r w:rsidR="00303CDF">
        <w:rPr>
          <w:rFonts w:cs="Times"/>
        </w:rPr>
        <w:t>,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proofErr w:type="spellStart"/>
      <w:r w:rsidR="00303CDF">
        <w:rPr>
          <w:rFonts w:cs="Times"/>
        </w:rPr>
        <w:t>shRNA</w:t>
      </w:r>
      <w:proofErr w:type="spellEnd"/>
      <w:r w:rsidR="00303CDF">
        <w:rPr>
          <w:rFonts w:cs="Times"/>
        </w:rPr>
        <w:t xml:space="preserve"> flies that </w:t>
      </w:r>
      <w:proofErr w:type="spellStart"/>
      <w:r w:rsidR="00303CDF">
        <w:rPr>
          <w:rFonts w:cs="Times"/>
        </w:rPr>
        <w:t>eclosed</w:t>
      </w:r>
      <w:proofErr w:type="spellEnd"/>
      <w:r w:rsidR="00303CDF">
        <w:rPr>
          <w:rFonts w:cs="Times"/>
        </w:rPr>
        <w:t xml:space="preserve"> </w:t>
      </w:r>
      <w:r w:rsidR="00912CF5">
        <w:rPr>
          <w:rFonts w:cs="Times"/>
        </w:rPr>
        <w:t xml:space="preserve">with assistance </w:t>
      </w:r>
      <w:r w:rsidR="00303CDF">
        <w:rPr>
          <w:rFonts w:cs="Times"/>
        </w:rPr>
        <w:t>had impaired climbing.  Asterisk indicates p&lt;0.005 by Wilcoxon Rank Sum test.</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56326A">
        <w:rPr>
          <w:rFonts w:cs="Times"/>
          <w:i/>
        </w:rPr>
        <w:t>GAL4</w:t>
      </w:r>
      <w:r w:rsidR="00A8530A">
        <w:rPr>
          <w:rFonts w:cs="Times"/>
        </w:rPr>
        <w:t xml:space="preserve"> crossed to the control </w:t>
      </w:r>
      <w:proofErr w:type="spellStart"/>
      <w:r w:rsidR="00A8530A">
        <w:rPr>
          <w:rFonts w:cs="Times"/>
        </w:rPr>
        <w:t>shRNA</w:t>
      </w:r>
      <w:proofErr w:type="spellEnd"/>
      <w:r w:rsidR="00A8530A">
        <w:rPr>
          <w:rFonts w:cs="Times"/>
        </w:rPr>
        <w:t xml:space="preserve"> strain, as well as the balancer containing progeny of the </w:t>
      </w:r>
      <w:r w:rsidR="00A8530A" w:rsidRPr="003006ED">
        <w:rPr>
          <w:rFonts w:cs="Times"/>
          <w:i/>
        </w:rPr>
        <w:t>C179</w:t>
      </w:r>
      <w:r w:rsidR="00A8530A">
        <w:rPr>
          <w:rFonts w:cs="Times"/>
        </w:rPr>
        <w:t>-</w:t>
      </w:r>
      <w:r w:rsidR="00A8530A" w:rsidRPr="0056326A">
        <w:rPr>
          <w:rFonts w:cs="Times"/>
          <w:i/>
        </w:rPr>
        <w:t>GAL4</w:t>
      </w:r>
      <w:r w:rsidR="00A8530A">
        <w:rPr>
          <w:rFonts w:cs="Times"/>
        </w:rPr>
        <w:t xml:space="preserve"> homozygotes crossed to the heterozygous UAS-</w:t>
      </w:r>
      <w:r w:rsidR="00A8530A" w:rsidRPr="00A8530A">
        <w:rPr>
          <w:rFonts w:cs="Times"/>
          <w:i/>
        </w:rPr>
        <w:t>Raptor</w:t>
      </w:r>
      <w:r w:rsidR="00A8530A">
        <w:rPr>
          <w:rFonts w:cs="Times"/>
        </w:rPr>
        <w:t xml:space="preserve"> </w:t>
      </w:r>
      <w:proofErr w:type="spellStart"/>
      <w:r w:rsidR="00A8530A">
        <w:rPr>
          <w:rFonts w:cs="Times"/>
        </w:rPr>
        <w:t>shRNA</w:t>
      </w:r>
      <w:proofErr w:type="spellEnd"/>
      <w:r w:rsidR="00A8530A">
        <w:rPr>
          <w:rFonts w:cs="Times"/>
        </w:rPr>
        <w:t>/</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3433BE9B" w:rsidR="00BD3C4E" w:rsidRPr="00C920F1" w:rsidRDefault="00BD3C4E" w:rsidP="00963A23">
      <w:pPr>
        <w:spacing w:line="480" w:lineRule="auto"/>
        <w:jc w:val="both"/>
      </w:pPr>
      <w:r w:rsidRPr="00C920F1">
        <w:rPr>
          <w:b/>
        </w:rPr>
        <w:t xml:space="preserve">Figure </w:t>
      </w:r>
      <w:r w:rsidR="004847D2">
        <w:rPr>
          <w:b/>
        </w:rPr>
        <w:t>6</w:t>
      </w:r>
      <w:r w:rsidR="00C920F1" w:rsidRPr="00C920F1">
        <w:rPr>
          <w:b/>
        </w:rPr>
        <w:t xml:space="preserve">: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6025CAAD" w14:textId="2855B4D0" w:rsidR="006F1172" w:rsidRDefault="00CC59CA" w:rsidP="00963A23">
      <w:pPr>
        <w:pStyle w:val="Heading1"/>
        <w:spacing w:line="480" w:lineRule="auto"/>
        <w:jc w:val="both"/>
      </w:pPr>
      <w:r>
        <w:t>Supplementary Tables and Figures</w:t>
      </w:r>
    </w:p>
    <w:p w14:paraId="7B06662D" w14:textId="77777777" w:rsidR="00CC59CA" w:rsidRDefault="00CC59CA" w:rsidP="00963A23">
      <w:pPr>
        <w:spacing w:line="480" w:lineRule="auto"/>
        <w:jc w:val="both"/>
      </w:pPr>
    </w:p>
    <w:p w14:paraId="3F8ACBA7" w14:textId="78AAF0FF" w:rsidR="00CC59CA" w:rsidRDefault="00CC59CA" w:rsidP="00963A23">
      <w:pPr>
        <w:spacing w:line="480" w:lineRule="auto"/>
        <w:jc w:val="both"/>
      </w:pPr>
      <w:r>
        <w:rPr>
          <w:b/>
        </w:rPr>
        <w:t xml:space="preserve">Supplementary Figure 1:  Dose response of </w:t>
      </w:r>
      <w:proofErr w:type="spellStart"/>
      <w:r>
        <w:rPr>
          <w:b/>
        </w:rPr>
        <w:t>rapamycin</w:t>
      </w:r>
      <w:proofErr w:type="spellEnd"/>
      <w:r>
        <w:rPr>
          <w:b/>
        </w:rPr>
        <w:t xml:space="preserve"> on fly </w:t>
      </w:r>
      <w:proofErr w:type="spellStart"/>
      <w:r>
        <w:rPr>
          <w:b/>
        </w:rPr>
        <w:t>eclosure</w:t>
      </w:r>
      <w:proofErr w:type="spellEnd"/>
      <w:r>
        <w:rPr>
          <w:b/>
        </w:rPr>
        <w:t xml:space="preserve"> and larvae development.</w:t>
      </w:r>
      <w:r>
        <w:t xml:space="preserve">  Flies were mated in the presence of varying doses of </w:t>
      </w:r>
      <w:proofErr w:type="spellStart"/>
      <w:r>
        <w:t>rapamycin</w:t>
      </w:r>
      <w:proofErr w:type="spellEnd"/>
      <w:r>
        <w:t xml:space="preserve">.  </w:t>
      </w:r>
      <w:r w:rsidR="008104BA">
        <w:t xml:space="preserve">After 7 days, the </w:t>
      </w:r>
      <w:r w:rsidR="00351885">
        <w:t>mated adults</w:t>
      </w:r>
      <w:r w:rsidR="008104BA">
        <w:t xml:space="preserve"> were removed.  </w:t>
      </w:r>
      <w:r>
        <w:t>After 21 days, t</w:t>
      </w:r>
      <w:r w:rsidR="004A57A5">
        <w:t xml:space="preserve">he number of progeny and </w:t>
      </w:r>
      <w:proofErr w:type="spellStart"/>
      <w:r w:rsidR="00EE5936">
        <w:t>pupal</w:t>
      </w:r>
      <w:proofErr w:type="spellEnd"/>
      <w:r w:rsidR="00EE5936">
        <w:t xml:space="preserve"> </w:t>
      </w:r>
      <w:r>
        <w:t>cases were counted.</w:t>
      </w:r>
    </w:p>
    <w:p w14:paraId="6492A14E" w14:textId="77777777" w:rsidR="00912E8F" w:rsidRDefault="00912E8F" w:rsidP="00963A23">
      <w:pPr>
        <w:spacing w:line="480" w:lineRule="auto"/>
        <w:jc w:val="both"/>
      </w:pPr>
    </w:p>
    <w:p w14:paraId="74145A5B" w14:textId="3D9AE908" w:rsidR="00912E8F" w:rsidRPr="003E4F67" w:rsidRDefault="00912E8F" w:rsidP="00963A23">
      <w:pPr>
        <w:spacing w:line="480" w:lineRule="auto"/>
        <w:jc w:val="both"/>
        <w:rPr>
          <w:rFonts w:cs="Times"/>
        </w:rPr>
      </w:pPr>
      <w:r w:rsidRPr="00660F67">
        <w:rPr>
          <w:b/>
        </w:rPr>
        <w:t>Supplementary Figure 2:</w:t>
      </w:r>
      <w:r w:rsidRPr="003E4F67">
        <w:t xml:space="preserve"> </w:t>
      </w:r>
      <w:r w:rsidR="00660F67">
        <w:rPr>
          <w:b/>
        </w:rPr>
        <w:t xml:space="preserve">Effects of lowered </w:t>
      </w:r>
      <w:r w:rsidR="00EE5936">
        <w:rPr>
          <w:b/>
        </w:rPr>
        <w:t xml:space="preserve">GAL4 expression </w:t>
      </w:r>
      <w:r w:rsidR="00660F67">
        <w:rPr>
          <w:b/>
        </w:rPr>
        <w:t xml:space="preserve">on </w:t>
      </w:r>
      <w:proofErr w:type="spellStart"/>
      <w:r w:rsidR="00660F67">
        <w:rPr>
          <w:b/>
        </w:rPr>
        <w:t>eclosure</w:t>
      </w:r>
      <w:proofErr w:type="spellEnd"/>
      <w:r w:rsidR="00660F67">
        <w:rPr>
          <w:b/>
        </w:rPr>
        <w:t xml:space="preserve"> of </w:t>
      </w:r>
      <w:r w:rsidR="00660F67" w:rsidRPr="00660F67">
        <w:rPr>
          <w:b/>
          <w:i/>
        </w:rPr>
        <w:t>24B-</w:t>
      </w:r>
      <w:proofErr w:type="gramStart"/>
      <w:r w:rsidR="00660F67" w:rsidRPr="002E2075">
        <w:rPr>
          <w:b/>
        </w:rPr>
        <w:t>GAL4</w:t>
      </w:r>
      <w:r w:rsidR="00660F67">
        <w:rPr>
          <w:b/>
        </w:rPr>
        <w:t xml:space="preserve"> driven</w:t>
      </w:r>
      <w:proofErr w:type="gramEnd"/>
      <w:r w:rsidR="00660F67">
        <w:rPr>
          <w:b/>
        </w:rPr>
        <w:t xml:space="preserve"> </w:t>
      </w:r>
      <w:r w:rsidR="00660F67" w:rsidRPr="00660F67">
        <w:rPr>
          <w:b/>
          <w:i/>
        </w:rPr>
        <w:t>Raptor</w:t>
      </w:r>
      <w:r w:rsidR="00660F67">
        <w:rPr>
          <w:b/>
        </w:rPr>
        <w:t xml:space="preserve"> knockdowns.  </w:t>
      </w:r>
      <w:r w:rsidRPr="003E4F67">
        <w:t xml:space="preserve">The graph depicts the relative birth rates of the progeny produced when the </w:t>
      </w:r>
      <w:r w:rsidRPr="00660F67">
        <w:rPr>
          <w:i/>
        </w:rPr>
        <w:t>24B-</w:t>
      </w:r>
      <w:r w:rsidRPr="00085B05">
        <w:t>GAL4</w:t>
      </w:r>
      <w:r w:rsidR="00EE5936">
        <w:rPr>
          <w:i/>
        </w:rPr>
        <w:t>&gt;</w:t>
      </w:r>
      <w:r w:rsidR="00EE5936" w:rsidRPr="00085B05">
        <w:t>UAS</w:t>
      </w:r>
      <w:r w:rsidR="00EE5936">
        <w:rPr>
          <w:i/>
        </w:rPr>
        <w:t>-</w:t>
      </w:r>
      <w:r w:rsidR="00660F67" w:rsidRPr="00660F67">
        <w:rPr>
          <w:i/>
        </w:rPr>
        <w:t>Raptor</w:t>
      </w:r>
      <w:r w:rsidR="00EE5936">
        <w:t>-</w:t>
      </w:r>
      <w:proofErr w:type="spellStart"/>
      <w:r w:rsidR="00660F67">
        <w:t>sh</w:t>
      </w:r>
      <w:r w:rsidRPr="003E4F67">
        <w:t>RNA</w:t>
      </w:r>
      <w:proofErr w:type="spellEnd"/>
      <w:r w:rsidRPr="003E4F67">
        <w:t xml:space="preserve"> crosses were repeated at 18° C. The double balancer genotype is excluded from the graph. The dashed line represents the expected birth rates of the three genotypes. The colder environment was unable to rescue the lethality effect of </w:t>
      </w:r>
      <w:r w:rsidRPr="002E2075">
        <w:rPr>
          <w:i/>
        </w:rPr>
        <w:t>Raptor</w:t>
      </w:r>
      <w:r w:rsidRPr="003E4F67">
        <w:t xml:space="preserve"> knockdown in skeletal muscle. </w:t>
      </w:r>
      <w:r w:rsidRPr="003E4F67">
        <w:rPr>
          <w:rFonts w:cs="Times"/>
        </w:rPr>
        <w:t xml:space="preserve">  </w:t>
      </w: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14463"/>
    <w:rsid w:val="00020703"/>
    <w:rsid w:val="000219A8"/>
    <w:rsid w:val="00046A74"/>
    <w:rsid w:val="00052987"/>
    <w:rsid w:val="0005343F"/>
    <w:rsid w:val="00061E90"/>
    <w:rsid w:val="00081B89"/>
    <w:rsid w:val="00085B05"/>
    <w:rsid w:val="0008654D"/>
    <w:rsid w:val="00096F58"/>
    <w:rsid w:val="000B3301"/>
    <w:rsid w:val="000E45D7"/>
    <w:rsid w:val="000E6DEC"/>
    <w:rsid w:val="001012AA"/>
    <w:rsid w:val="001023DD"/>
    <w:rsid w:val="001120E6"/>
    <w:rsid w:val="001155A3"/>
    <w:rsid w:val="00116EA4"/>
    <w:rsid w:val="00140006"/>
    <w:rsid w:val="00140C24"/>
    <w:rsid w:val="001425E4"/>
    <w:rsid w:val="001437DE"/>
    <w:rsid w:val="00147489"/>
    <w:rsid w:val="001530A5"/>
    <w:rsid w:val="00162960"/>
    <w:rsid w:val="00166782"/>
    <w:rsid w:val="00174E48"/>
    <w:rsid w:val="00187BB9"/>
    <w:rsid w:val="00191E20"/>
    <w:rsid w:val="001A0687"/>
    <w:rsid w:val="001A3F94"/>
    <w:rsid w:val="001B4D8C"/>
    <w:rsid w:val="001B7635"/>
    <w:rsid w:val="001C1FEF"/>
    <w:rsid w:val="001C2994"/>
    <w:rsid w:val="001C5B0D"/>
    <w:rsid w:val="001C5E50"/>
    <w:rsid w:val="001F289E"/>
    <w:rsid w:val="00222D22"/>
    <w:rsid w:val="00234C0A"/>
    <w:rsid w:val="00241C16"/>
    <w:rsid w:val="00263B29"/>
    <w:rsid w:val="00267136"/>
    <w:rsid w:val="00272846"/>
    <w:rsid w:val="002754B1"/>
    <w:rsid w:val="0028099F"/>
    <w:rsid w:val="00296E19"/>
    <w:rsid w:val="00297FB0"/>
    <w:rsid w:val="002A13D8"/>
    <w:rsid w:val="002A5C22"/>
    <w:rsid w:val="002B1207"/>
    <w:rsid w:val="002C0A54"/>
    <w:rsid w:val="002D6048"/>
    <w:rsid w:val="002D6EEF"/>
    <w:rsid w:val="002E2075"/>
    <w:rsid w:val="002E57BF"/>
    <w:rsid w:val="002F0B96"/>
    <w:rsid w:val="003006ED"/>
    <w:rsid w:val="00303CDF"/>
    <w:rsid w:val="0033192B"/>
    <w:rsid w:val="00335C71"/>
    <w:rsid w:val="00335DDC"/>
    <w:rsid w:val="003368D0"/>
    <w:rsid w:val="00337149"/>
    <w:rsid w:val="00340AA3"/>
    <w:rsid w:val="00346877"/>
    <w:rsid w:val="00351885"/>
    <w:rsid w:val="00355F7A"/>
    <w:rsid w:val="00357F77"/>
    <w:rsid w:val="00364075"/>
    <w:rsid w:val="0038192E"/>
    <w:rsid w:val="003937DA"/>
    <w:rsid w:val="00396F4E"/>
    <w:rsid w:val="003979DD"/>
    <w:rsid w:val="003A5FFB"/>
    <w:rsid w:val="003B40CA"/>
    <w:rsid w:val="003C09B8"/>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3D82"/>
    <w:rsid w:val="00434223"/>
    <w:rsid w:val="0043590C"/>
    <w:rsid w:val="00436E62"/>
    <w:rsid w:val="00441811"/>
    <w:rsid w:val="00453B12"/>
    <w:rsid w:val="004576E5"/>
    <w:rsid w:val="00465702"/>
    <w:rsid w:val="00471708"/>
    <w:rsid w:val="00474711"/>
    <w:rsid w:val="004826A6"/>
    <w:rsid w:val="004847D2"/>
    <w:rsid w:val="0048645D"/>
    <w:rsid w:val="00486518"/>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61F32"/>
    <w:rsid w:val="0056326A"/>
    <w:rsid w:val="00565EB2"/>
    <w:rsid w:val="00571E6C"/>
    <w:rsid w:val="005736E0"/>
    <w:rsid w:val="00581BE2"/>
    <w:rsid w:val="0058328D"/>
    <w:rsid w:val="005B4AB2"/>
    <w:rsid w:val="005C3F76"/>
    <w:rsid w:val="005D5E1F"/>
    <w:rsid w:val="005E17FC"/>
    <w:rsid w:val="005E7D74"/>
    <w:rsid w:val="00605028"/>
    <w:rsid w:val="00615C91"/>
    <w:rsid w:val="00636E3E"/>
    <w:rsid w:val="00650720"/>
    <w:rsid w:val="006552AD"/>
    <w:rsid w:val="00660F67"/>
    <w:rsid w:val="00663EFD"/>
    <w:rsid w:val="00664141"/>
    <w:rsid w:val="00674B7E"/>
    <w:rsid w:val="006858C4"/>
    <w:rsid w:val="0069504F"/>
    <w:rsid w:val="00695686"/>
    <w:rsid w:val="00696777"/>
    <w:rsid w:val="006A20BD"/>
    <w:rsid w:val="006A3628"/>
    <w:rsid w:val="006A4D21"/>
    <w:rsid w:val="006A5842"/>
    <w:rsid w:val="006C082B"/>
    <w:rsid w:val="006F1172"/>
    <w:rsid w:val="006F193A"/>
    <w:rsid w:val="006F267C"/>
    <w:rsid w:val="006F4EC8"/>
    <w:rsid w:val="006F611A"/>
    <w:rsid w:val="00705EA3"/>
    <w:rsid w:val="00714D0A"/>
    <w:rsid w:val="0072165D"/>
    <w:rsid w:val="007237A6"/>
    <w:rsid w:val="007255E2"/>
    <w:rsid w:val="0072748C"/>
    <w:rsid w:val="00740552"/>
    <w:rsid w:val="0074200C"/>
    <w:rsid w:val="00751EFD"/>
    <w:rsid w:val="0075212D"/>
    <w:rsid w:val="007829BF"/>
    <w:rsid w:val="00784B8B"/>
    <w:rsid w:val="0078613C"/>
    <w:rsid w:val="007A2B2C"/>
    <w:rsid w:val="007A6016"/>
    <w:rsid w:val="007B38A0"/>
    <w:rsid w:val="007C342C"/>
    <w:rsid w:val="007D13AB"/>
    <w:rsid w:val="007D22A8"/>
    <w:rsid w:val="007D3910"/>
    <w:rsid w:val="007D6A72"/>
    <w:rsid w:val="007D7721"/>
    <w:rsid w:val="007E2C73"/>
    <w:rsid w:val="007E44ED"/>
    <w:rsid w:val="0080274A"/>
    <w:rsid w:val="008104BA"/>
    <w:rsid w:val="0084604E"/>
    <w:rsid w:val="00852231"/>
    <w:rsid w:val="00852708"/>
    <w:rsid w:val="008559E4"/>
    <w:rsid w:val="008600F9"/>
    <w:rsid w:val="0086020A"/>
    <w:rsid w:val="00886ACA"/>
    <w:rsid w:val="00895AB1"/>
    <w:rsid w:val="00895FB6"/>
    <w:rsid w:val="008B0C37"/>
    <w:rsid w:val="008B5CF0"/>
    <w:rsid w:val="008C6740"/>
    <w:rsid w:val="008D7AA8"/>
    <w:rsid w:val="008F353C"/>
    <w:rsid w:val="008F6195"/>
    <w:rsid w:val="00900345"/>
    <w:rsid w:val="0090102F"/>
    <w:rsid w:val="00901BD5"/>
    <w:rsid w:val="009111E3"/>
    <w:rsid w:val="00912CF5"/>
    <w:rsid w:val="00912E8F"/>
    <w:rsid w:val="00921C69"/>
    <w:rsid w:val="00922DE5"/>
    <w:rsid w:val="00930499"/>
    <w:rsid w:val="009364BA"/>
    <w:rsid w:val="009637F4"/>
    <w:rsid w:val="00963A23"/>
    <w:rsid w:val="00974669"/>
    <w:rsid w:val="00975E32"/>
    <w:rsid w:val="00985A98"/>
    <w:rsid w:val="009939D0"/>
    <w:rsid w:val="009964F9"/>
    <w:rsid w:val="009C36DF"/>
    <w:rsid w:val="009C6482"/>
    <w:rsid w:val="009E4939"/>
    <w:rsid w:val="009F2B03"/>
    <w:rsid w:val="009F649A"/>
    <w:rsid w:val="009F7B4A"/>
    <w:rsid w:val="00A35634"/>
    <w:rsid w:val="00A52511"/>
    <w:rsid w:val="00A57AAC"/>
    <w:rsid w:val="00A75F04"/>
    <w:rsid w:val="00A8530A"/>
    <w:rsid w:val="00A87B4B"/>
    <w:rsid w:val="00A95905"/>
    <w:rsid w:val="00A95BDD"/>
    <w:rsid w:val="00AA05A9"/>
    <w:rsid w:val="00AA5186"/>
    <w:rsid w:val="00AB5083"/>
    <w:rsid w:val="00AB5F98"/>
    <w:rsid w:val="00AC1347"/>
    <w:rsid w:val="00AC4DDA"/>
    <w:rsid w:val="00AC63C1"/>
    <w:rsid w:val="00AF6080"/>
    <w:rsid w:val="00B11CCB"/>
    <w:rsid w:val="00B12C37"/>
    <w:rsid w:val="00B16DF5"/>
    <w:rsid w:val="00B20189"/>
    <w:rsid w:val="00B26960"/>
    <w:rsid w:val="00B467DD"/>
    <w:rsid w:val="00B5747D"/>
    <w:rsid w:val="00B63328"/>
    <w:rsid w:val="00B645DB"/>
    <w:rsid w:val="00B64A0B"/>
    <w:rsid w:val="00B65631"/>
    <w:rsid w:val="00B65E85"/>
    <w:rsid w:val="00B675A2"/>
    <w:rsid w:val="00B70FD4"/>
    <w:rsid w:val="00B840BA"/>
    <w:rsid w:val="00B84625"/>
    <w:rsid w:val="00BC1C08"/>
    <w:rsid w:val="00BD3C4E"/>
    <w:rsid w:val="00BD6FBB"/>
    <w:rsid w:val="00BE0793"/>
    <w:rsid w:val="00BE2567"/>
    <w:rsid w:val="00BE37DD"/>
    <w:rsid w:val="00BF484F"/>
    <w:rsid w:val="00C06AF7"/>
    <w:rsid w:val="00C10A32"/>
    <w:rsid w:val="00C1512E"/>
    <w:rsid w:val="00C15FE1"/>
    <w:rsid w:val="00C2697E"/>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C2116"/>
    <w:rsid w:val="00CC4247"/>
    <w:rsid w:val="00CC59CA"/>
    <w:rsid w:val="00CD646A"/>
    <w:rsid w:val="00CE74AE"/>
    <w:rsid w:val="00CF146B"/>
    <w:rsid w:val="00CF329D"/>
    <w:rsid w:val="00D005B4"/>
    <w:rsid w:val="00D01A75"/>
    <w:rsid w:val="00D07587"/>
    <w:rsid w:val="00D10BC7"/>
    <w:rsid w:val="00D56A66"/>
    <w:rsid w:val="00D71024"/>
    <w:rsid w:val="00D8035D"/>
    <w:rsid w:val="00D86513"/>
    <w:rsid w:val="00DA59AE"/>
    <w:rsid w:val="00DB29A1"/>
    <w:rsid w:val="00DD09CF"/>
    <w:rsid w:val="00DD6A3B"/>
    <w:rsid w:val="00DE34B5"/>
    <w:rsid w:val="00DF02CD"/>
    <w:rsid w:val="00E1521E"/>
    <w:rsid w:val="00E20164"/>
    <w:rsid w:val="00E21A55"/>
    <w:rsid w:val="00E251E9"/>
    <w:rsid w:val="00E25FD7"/>
    <w:rsid w:val="00E274E1"/>
    <w:rsid w:val="00E3624C"/>
    <w:rsid w:val="00E475B9"/>
    <w:rsid w:val="00E56641"/>
    <w:rsid w:val="00E56C2A"/>
    <w:rsid w:val="00E60C97"/>
    <w:rsid w:val="00E73EEA"/>
    <w:rsid w:val="00E822AA"/>
    <w:rsid w:val="00E9011E"/>
    <w:rsid w:val="00E95629"/>
    <w:rsid w:val="00EB0682"/>
    <w:rsid w:val="00EB1511"/>
    <w:rsid w:val="00EB7DB6"/>
    <w:rsid w:val="00EE0AF8"/>
    <w:rsid w:val="00EE5936"/>
    <w:rsid w:val="00EE5C4B"/>
    <w:rsid w:val="00EE706E"/>
    <w:rsid w:val="00F0001B"/>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D5"/>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semiHidden/>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semiHidden/>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F954A-DC78-D740-AB65-3E75F1438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19296</Words>
  <Characters>109989</Characters>
  <Application>Microsoft Macintosh Word</Application>
  <DocSecurity>0</DocSecurity>
  <Lines>916</Lines>
  <Paragraphs>258</Paragraphs>
  <ScaleCrop>false</ScaleCrop>
  <Company>UTHSC</Company>
  <LinksUpToDate>false</LinksUpToDate>
  <CharactersWithSpaces>129027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4</cp:revision>
  <cp:lastPrinted>2014-10-23T19:33:00Z</cp:lastPrinted>
  <dcterms:created xsi:type="dcterms:W3CDTF">2014-10-23T19:27:00Z</dcterms:created>
  <dcterms:modified xsi:type="dcterms:W3CDTF">2014-10-23T21:51:00Z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http://www.zotero.org/styles/scientific-reports</vt:lpwstr>
  </property>
  <property fmtid="{D5CDD505-2E9C-101B-9397-08002B2CF9AE}" pid="20" name="Mendeley Recent Style Name 7_1">
    <vt:lpwstr>Scientific Reports</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