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7961529D"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B93B95">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B93B95">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B93B95">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B93B95">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B93B95">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4DA26AD"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B93B95">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B93B95" w:rsidRPr="00B93B95">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B93B95">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B93B95" w:rsidRPr="00B93B95">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B93B95" w:rsidRPr="00B93B95">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4D8E62E5"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B93B95">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B93B95" w:rsidRPr="00B93B95">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654AD9D4"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B93B95">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B93B95" w:rsidRPr="00B93B95">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2940689F"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B93B95">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B93B95" w:rsidRPr="00B93B95">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63AB9360"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B93B9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B93B95" w:rsidRPr="00B93B95">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B93B9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B93B95" w:rsidRPr="00B93B95">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B93B9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B93B95" w:rsidRPr="00B93B95">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B93B95">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"previouslyFormattedCitation" : "&lt;sup&gt;29&lt;/sup&gt;" }, "properties" : { "noteIndex" : 0 }, "schema" : "https://github.com/citation-style-language/schema/raw/master/csl-citation.json" }</w:instrText>
      </w:r>
      <w:r w:rsidR="00B93B95">
        <w:fldChar w:fldCharType="separate"/>
      </w:r>
      <w:r w:rsidR="00B93B95" w:rsidRPr="00B93B95">
        <w:rPr>
          <w:noProof/>
          <w:vertAlign w:val="superscript"/>
        </w:rPr>
        <w:t>29</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3DCC0C3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B93B95">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"&lt;sup&gt;30&lt;/sup&gt;" }, "properties" : { "noteIndex" : 0 }, "schema" : "https://github.com/citation-style-language/schema/raw/master/csl-citation.json" }</w:instrText>
      </w:r>
      <w:r>
        <w:fldChar w:fldCharType="separate"/>
      </w:r>
      <w:r w:rsidR="00B93B95" w:rsidRPr="00B93B95">
        <w:rPr>
          <w:noProof/>
          <w:vertAlign w:val="superscript"/>
        </w:rPr>
        <w:t>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rapamycin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myotubes (Figure 1C). </w:t>
      </w:r>
    </w:p>
    <w:p w14:paraId="32D68E85" w14:textId="77777777" w:rsidR="004D266E" w:rsidRDefault="004D266E" w:rsidP="00963A23">
      <w:pPr>
        <w:spacing w:line="480" w:lineRule="auto"/>
        <w:jc w:val="both"/>
      </w:pPr>
    </w:p>
    <w:p w14:paraId="6BF140A1" w14:textId="2067302D"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B93B95" w:rsidRPr="00B93B95">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B93B95">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"&lt;sup&gt;31&lt;/sup&gt;" }, "properties" : { "noteIndex" : 0 }, "schema" : "https://github.com/citation-style-language/schema/raw/master/csl-citation.json" }</w:instrText>
      </w:r>
      <w:r>
        <w:fldChar w:fldCharType="separate"/>
      </w:r>
      <w:r w:rsidR="00B93B95" w:rsidRPr="00B93B95">
        <w:rPr>
          <w:noProof/>
          <w:vertAlign w:val="superscript"/>
        </w:rPr>
        <w:t>31</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60DA497C"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B93B95" w:rsidRPr="00B93B95">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B93B95">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6FA9302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"&lt;sup&gt;13\u201315,32&lt;/sup&gt;" }, "properties" : { "noteIndex" : 0 }, "schema" : "https://github.com/citation-style-language/schema/raw/master/csl-citation.json" }</w:instrText>
      </w:r>
      <w:r w:rsidR="00E20164">
        <w:fldChar w:fldCharType="separate"/>
      </w:r>
      <w:r w:rsidR="00B93B95" w:rsidRPr="00B93B95">
        <w:rPr>
          <w:noProof/>
          <w:vertAlign w:val="superscript"/>
        </w:rPr>
        <w:t>13–15,32</w:t>
      </w:r>
      <w:r w:rsidR="00E20164">
        <w:fldChar w:fldCharType="end"/>
      </w:r>
      <w:r w:rsidR="00340AA3">
        <w:t>.</w:t>
      </w:r>
    </w:p>
    <w:p w14:paraId="3BD273BB" w14:textId="77777777" w:rsidR="00B20189" w:rsidRDefault="00B20189" w:rsidP="00963A23">
      <w:pPr>
        <w:spacing w:line="480" w:lineRule="auto"/>
        <w:jc w:val="both"/>
      </w:pPr>
    </w:p>
    <w:p w14:paraId="0690C456" w14:textId="09D1993D"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F0001B">
        <w:fldChar w:fldCharType="separate"/>
      </w:r>
      <w:r w:rsidR="00B93B95" w:rsidRPr="00B93B95">
        <w:rPr>
          <w:noProof/>
          <w:vertAlign w:val="superscript"/>
        </w:rPr>
        <w:t>33</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5DF5764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335DDC">
        <w:fldChar w:fldCharType="separate"/>
      </w:r>
      <w:r w:rsidR="00B93B95" w:rsidRPr="00B93B95">
        <w:rPr>
          <w:noProof/>
          <w:vertAlign w:val="superscript"/>
        </w:rPr>
        <w:t>33</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FF1FEFF"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93B95">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"&lt;sup&gt;34&lt;/sup&gt;" }, "properties" : { "noteIndex" : 0 }, "schema" : "https://github.com/citation-style-language/schema/raw/master/csl-citation.json" }</w:instrText>
      </w:r>
      <w:r w:rsidR="00A82B17">
        <w:fldChar w:fldCharType="separate"/>
      </w:r>
      <w:r w:rsidR="00B93B95" w:rsidRPr="00B93B95">
        <w:rPr>
          <w:noProof/>
          <w:vertAlign w:val="superscript"/>
        </w:rPr>
        <w:t>34</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93B95">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"&lt;sup&gt;35,36&lt;/sup&gt;" }, "properties" : { "noteIndex" : 0 }, "schema" : "https://github.com/citation-style-language/schema/raw/master/csl-citation.json" }</w:instrText>
      </w:r>
      <w:r w:rsidR="003C09B8">
        <w:fldChar w:fldCharType="separate"/>
      </w:r>
      <w:r w:rsidR="00B93B95" w:rsidRPr="00B93B95">
        <w:rPr>
          <w:noProof/>
          <w:vertAlign w:val="superscript"/>
        </w:rPr>
        <w:t>35,36</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45F59B8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93B95">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"&lt;sup&gt;37\u201340&lt;/sup&gt;" }, "properties" : { "noteIndex" : 0 }, "schema" : "https://github.com/citation-style-language/schema/raw/master/csl-citation.json" }</w:instrText>
      </w:r>
      <w:r w:rsidR="00765BEC">
        <w:rPr>
          <w:rFonts w:ascii="Cambria" w:hAnsi="Cambria"/>
        </w:rPr>
        <w:fldChar w:fldCharType="separate"/>
      </w:r>
      <w:r w:rsidR="00B93B95" w:rsidRPr="00B93B95">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93B95">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"&lt;sup&gt;41\u201343&lt;/sup&gt;" }, "properties" : { "noteIndex" : 0 }, "schema" : "https://github.com/citation-style-language/schema/raw/master/csl-citation.json" }</w:instrText>
      </w:r>
      <w:r w:rsidR="000E3F6C">
        <w:rPr>
          <w:rFonts w:ascii="Cambria" w:hAnsi="Cambria"/>
        </w:rPr>
        <w:fldChar w:fldCharType="separate"/>
      </w:r>
      <w:r w:rsidR="00B93B95" w:rsidRPr="00B93B95">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This study used stocks obtained from the Bloomington Stock Center (funded by NIH Grant P40OD018537).</w:t>
      </w:r>
      <w:bookmarkStart w:id="0" w:name="_GoBack"/>
      <w:bookmarkEnd w:id="0"/>
      <w:r w:rsidR="001A363B">
        <w:t xml:space="preserve">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E79F173" w14:textId="4650A3B5" w:rsidR="00B93B95" w:rsidRPr="00B93B95" w:rsidRDefault="00D07587">
      <w:pPr>
        <w:pStyle w:val="NormalWeb"/>
        <w:ind w:left="640" w:hanging="640"/>
        <w:divId w:val="2052727067"/>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B95" w:rsidRPr="00B93B95">
        <w:rPr>
          <w:rFonts w:ascii="Cambria" w:hAnsi="Cambria"/>
          <w:noProof/>
          <w:sz w:val="24"/>
        </w:rPr>
        <w:t>1.</w:t>
      </w:r>
      <w:r w:rsidR="00B93B95" w:rsidRPr="00B93B95">
        <w:rPr>
          <w:rFonts w:ascii="Cambria" w:hAnsi="Cambria"/>
          <w:noProof/>
          <w:sz w:val="24"/>
        </w:rPr>
        <w:tab/>
        <w:t xml:space="preserve">Loewith, R. &amp; Hall, M. N. Target of rapamycin (TOR) in nutrient signaling and growth control. </w:t>
      </w:r>
      <w:r w:rsidR="00B93B95" w:rsidRPr="00B93B95">
        <w:rPr>
          <w:rFonts w:ascii="Cambria" w:hAnsi="Cambria"/>
          <w:i/>
          <w:iCs/>
          <w:noProof/>
          <w:sz w:val="24"/>
        </w:rPr>
        <w:t>Genetics</w:t>
      </w:r>
      <w:r w:rsidR="00B93B95" w:rsidRPr="00B93B95">
        <w:rPr>
          <w:rFonts w:ascii="Cambria" w:hAnsi="Cambria"/>
          <w:noProof/>
          <w:sz w:val="24"/>
        </w:rPr>
        <w:t xml:space="preserve"> </w:t>
      </w:r>
      <w:r w:rsidR="00B93B95" w:rsidRPr="00B93B95">
        <w:rPr>
          <w:rFonts w:ascii="Cambria" w:hAnsi="Cambria"/>
          <w:b/>
          <w:bCs/>
          <w:noProof/>
          <w:sz w:val="24"/>
        </w:rPr>
        <w:t>189,</w:t>
      </w:r>
      <w:r w:rsidR="00B93B95" w:rsidRPr="00B93B95">
        <w:rPr>
          <w:rFonts w:ascii="Cambria" w:hAnsi="Cambria"/>
          <w:noProof/>
          <w:sz w:val="24"/>
        </w:rPr>
        <w:t xml:space="preserve"> 1177–201 (2011).</w:t>
      </w:r>
    </w:p>
    <w:p w14:paraId="47307C4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w:t>
      </w:r>
      <w:r w:rsidRPr="00B93B95">
        <w:rPr>
          <w:rFonts w:ascii="Cambria" w:hAnsi="Cambria"/>
          <w:noProof/>
          <w:sz w:val="24"/>
        </w:rPr>
        <w:tab/>
        <w:t xml:space="preserve">Zoncu, R., Efeyan, A. &amp; Sabatini, D. M. mTOR: from growth signal integration to cancer, diabetes and ageing. </w:t>
      </w:r>
      <w:r w:rsidRPr="00B93B95">
        <w:rPr>
          <w:rFonts w:ascii="Cambria" w:hAnsi="Cambria"/>
          <w:i/>
          <w:iCs/>
          <w:noProof/>
          <w:sz w:val="24"/>
        </w:rPr>
        <w:t>Nat. Rev. Mol. Cell Biol.</w:t>
      </w:r>
      <w:r w:rsidRPr="00B93B95">
        <w:rPr>
          <w:rFonts w:ascii="Cambria" w:hAnsi="Cambria"/>
          <w:noProof/>
          <w:sz w:val="24"/>
        </w:rPr>
        <w:t xml:space="preserve"> </w:t>
      </w:r>
      <w:r w:rsidRPr="00B93B95">
        <w:rPr>
          <w:rFonts w:ascii="Cambria" w:hAnsi="Cambria"/>
          <w:b/>
          <w:bCs/>
          <w:noProof/>
          <w:sz w:val="24"/>
        </w:rPr>
        <w:t>12,</w:t>
      </w:r>
      <w:r w:rsidRPr="00B93B95">
        <w:rPr>
          <w:rFonts w:ascii="Cambria" w:hAnsi="Cambria"/>
          <w:noProof/>
          <w:sz w:val="24"/>
        </w:rPr>
        <w:t xml:space="preserve"> 21–35 (2010).</w:t>
      </w:r>
    </w:p>
    <w:p w14:paraId="2A1B9B4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w:t>
      </w:r>
      <w:r w:rsidRPr="00B93B95">
        <w:rPr>
          <w:rFonts w:ascii="Cambria" w:hAnsi="Cambria"/>
          <w:noProof/>
          <w:sz w:val="24"/>
        </w:rPr>
        <w:tab/>
        <w:t xml:space="preserve">Howell, J. J., Ricoult, S. J. H., Ben-Sahra, I. &amp; Manning, B. D. A growing role for mTOR in promoting anabolic metabolism. </w:t>
      </w:r>
      <w:r w:rsidRPr="00B93B95">
        <w:rPr>
          <w:rFonts w:ascii="Cambria" w:hAnsi="Cambria"/>
          <w:i/>
          <w:iCs/>
          <w:noProof/>
          <w:sz w:val="24"/>
        </w:rPr>
        <w:t>Biochem. Soc. Trans.</w:t>
      </w:r>
      <w:r w:rsidRPr="00B93B95">
        <w:rPr>
          <w:rFonts w:ascii="Cambria" w:hAnsi="Cambria"/>
          <w:noProof/>
          <w:sz w:val="24"/>
        </w:rPr>
        <w:t xml:space="preserve"> </w:t>
      </w:r>
      <w:r w:rsidRPr="00B93B95">
        <w:rPr>
          <w:rFonts w:ascii="Cambria" w:hAnsi="Cambria"/>
          <w:b/>
          <w:bCs/>
          <w:noProof/>
          <w:sz w:val="24"/>
        </w:rPr>
        <w:t>41,</w:t>
      </w:r>
      <w:r w:rsidRPr="00B93B95">
        <w:rPr>
          <w:rFonts w:ascii="Cambria" w:hAnsi="Cambria"/>
          <w:noProof/>
          <w:sz w:val="24"/>
        </w:rPr>
        <w:t xml:space="preserve"> 906–12 (2013).</w:t>
      </w:r>
    </w:p>
    <w:p w14:paraId="002118E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w:t>
      </w:r>
      <w:r w:rsidRPr="00B93B95">
        <w:rPr>
          <w:rFonts w:ascii="Cambria" w:hAnsi="Cambria"/>
          <w:noProof/>
          <w:sz w:val="24"/>
        </w:rPr>
        <w:tab/>
        <w:t xml:space="preserve">Cornu, M., Albert, V. &amp; Hall, M. N. mTOR in aging, metabolism, and cancer. </w:t>
      </w:r>
      <w:r w:rsidRPr="00B93B95">
        <w:rPr>
          <w:rFonts w:ascii="Cambria" w:hAnsi="Cambria"/>
          <w:i/>
          <w:iCs/>
          <w:noProof/>
          <w:sz w:val="24"/>
        </w:rPr>
        <w:t>Curr. Opin. Genet. Dev.</w:t>
      </w:r>
      <w:r w:rsidRPr="00B93B95">
        <w:rPr>
          <w:rFonts w:ascii="Cambria" w:hAnsi="Cambria"/>
          <w:noProof/>
          <w:sz w:val="24"/>
        </w:rPr>
        <w:t xml:space="preserve"> </w:t>
      </w:r>
      <w:r w:rsidRPr="00B93B95">
        <w:rPr>
          <w:rFonts w:ascii="Cambria" w:hAnsi="Cambria"/>
          <w:b/>
          <w:bCs/>
          <w:noProof/>
          <w:sz w:val="24"/>
        </w:rPr>
        <w:t>23,</w:t>
      </w:r>
      <w:r w:rsidRPr="00B93B95">
        <w:rPr>
          <w:rFonts w:ascii="Cambria" w:hAnsi="Cambria"/>
          <w:noProof/>
          <w:sz w:val="24"/>
        </w:rPr>
        <w:t xml:space="preserve"> 53–62 (2013).</w:t>
      </w:r>
    </w:p>
    <w:p w14:paraId="10C570D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5.</w:t>
      </w:r>
      <w:r w:rsidRPr="00B93B95">
        <w:rPr>
          <w:rFonts w:ascii="Cambria" w:hAnsi="Cambria"/>
          <w:noProof/>
          <w:sz w:val="24"/>
        </w:rPr>
        <w:tab/>
        <w:t xml:space="preserve">Lamming, D. W., Ye, L., Sabatini, D. M. &amp; Baur, J. A. Rapalogs and mTOR inhibitors as anti-aging therapeutics. </w:t>
      </w:r>
      <w:r w:rsidRPr="00B93B95">
        <w:rPr>
          <w:rFonts w:ascii="Cambria" w:hAnsi="Cambria"/>
          <w:i/>
          <w:iCs/>
          <w:noProof/>
          <w:sz w:val="24"/>
        </w:rPr>
        <w:t>J. Clin. Invest.</w:t>
      </w:r>
      <w:r w:rsidRPr="00B93B95">
        <w:rPr>
          <w:rFonts w:ascii="Cambria" w:hAnsi="Cambria"/>
          <w:noProof/>
          <w:sz w:val="24"/>
        </w:rPr>
        <w:t xml:space="preserve"> </w:t>
      </w:r>
      <w:r w:rsidRPr="00B93B95">
        <w:rPr>
          <w:rFonts w:ascii="Cambria" w:hAnsi="Cambria"/>
          <w:b/>
          <w:bCs/>
          <w:noProof/>
          <w:sz w:val="24"/>
        </w:rPr>
        <w:t>123,</w:t>
      </w:r>
      <w:r w:rsidRPr="00B93B95">
        <w:rPr>
          <w:rFonts w:ascii="Cambria" w:hAnsi="Cambria"/>
          <w:noProof/>
          <w:sz w:val="24"/>
        </w:rPr>
        <w:t xml:space="preserve"> 980–9 (2013).</w:t>
      </w:r>
    </w:p>
    <w:p w14:paraId="0187E6C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6.</w:t>
      </w:r>
      <w:r w:rsidRPr="00B93B95">
        <w:rPr>
          <w:rFonts w:ascii="Cambria" w:hAnsi="Cambria"/>
          <w:noProof/>
          <w:sz w:val="24"/>
        </w:rPr>
        <w:tab/>
        <w:t xml:space="preserve">Zeng, M. &amp; Zhou, J.-N. Roles of autophagy and mTOR signaling in neuronal differentiation of mouse neuroblastoma cells. </w:t>
      </w:r>
      <w:r w:rsidRPr="00B93B95">
        <w:rPr>
          <w:rFonts w:ascii="Cambria" w:hAnsi="Cambria"/>
          <w:i/>
          <w:iCs/>
          <w:noProof/>
          <w:sz w:val="24"/>
        </w:rPr>
        <w:t>Cell. Signal.</w:t>
      </w:r>
      <w:r w:rsidRPr="00B93B95">
        <w:rPr>
          <w:rFonts w:ascii="Cambria" w:hAnsi="Cambria"/>
          <w:noProof/>
          <w:sz w:val="24"/>
        </w:rPr>
        <w:t xml:space="preserve"> </w:t>
      </w:r>
      <w:r w:rsidRPr="00B93B95">
        <w:rPr>
          <w:rFonts w:ascii="Cambria" w:hAnsi="Cambria"/>
          <w:b/>
          <w:bCs/>
          <w:noProof/>
          <w:sz w:val="24"/>
        </w:rPr>
        <w:t>20,</w:t>
      </w:r>
      <w:r w:rsidRPr="00B93B95">
        <w:rPr>
          <w:rFonts w:ascii="Cambria" w:hAnsi="Cambria"/>
          <w:noProof/>
          <w:sz w:val="24"/>
        </w:rPr>
        <w:t xml:space="preserve"> 659–65 (2008).</w:t>
      </w:r>
    </w:p>
    <w:p w14:paraId="55ACC78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7.</w:t>
      </w:r>
      <w:r w:rsidRPr="00B93B95">
        <w:rPr>
          <w:rFonts w:ascii="Cambria" w:hAnsi="Cambria"/>
          <w:noProof/>
          <w:sz w:val="24"/>
        </w:rPr>
        <w:tab/>
        <w:t xml:space="preserve">Tyler, W. A. </w:t>
      </w:r>
      <w:r w:rsidRPr="00B93B95">
        <w:rPr>
          <w:rFonts w:ascii="Cambria" w:hAnsi="Cambria"/>
          <w:i/>
          <w:iCs/>
          <w:noProof/>
          <w:sz w:val="24"/>
        </w:rPr>
        <w:t>et al.</w:t>
      </w:r>
      <w:r w:rsidRPr="00B93B95">
        <w:rPr>
          <w:rFonts w:ascii="Cambria" w:hAnsi="Cambria"/>
          <w:noProof/>
          <w:sz w:val="24"/>
        </w:rPr>
        <w:t xml:space="preserve"> Activation of the mammalian target of rapamycin (mTOR) is essential for oligodendrocyte differentiation. </w:t>
      </w:r>
      <w:r w:rsidRPr="00B93B95">
        <w:rPr>
          <w:rFonts w:ascii="Cambria" w:hAnsi="Cambria"/>
          <w:i/>
          <w:iCs/>
          <w:noProof/>
          <w:sz w:val="24"/>
        </w:rPr>
        <w:t>J. Neurosci.</w:t>
      </w:r>
      <w:r w:rsidRPr="00B93B95">
        <w:rPr>
          <w:rFonts w:ascii="Cambria" w:hAnsi="Cambria"/>
          <w:noProof/>
          <w:sz w:val="24"/>
        </w:rPr>
        <w:t xml:space="preserve"> </w:t>
      </w:r>
      <w:r w:rsidRPr="00B93B95">
        <w:rPr>
          <w:rFonts w:ascii="Cambria" w:hAnsi="Cambria"/>
          <w:b/>
          <w:bCs/>
          <w:noProof/>
          <w:sz w:val="24"/>
        </w:rPr>
        <w:t>29,</w:t>
      </w:r>
      <w:r w:rsidRPr="00B93B95">
        <w:rPr>
          <w:rFonts w:ascii="Cambria" w:hAnsi="Cambria"/>
          <w:noProof/>
          <w:sz w:val="24"/>
        </w:rPr>
        <w:t xml:space="preserve"> 6367–78 (2009).</w:t>
      </w:r>
    </w:p>
    <w:p w14:paraId="607029C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8.</w:t>
      </w:r>
      <w:r w:rsidRPr="00B93B95">
        <w:rPr>
          <w:rFonts w:ascii="Cambria" w:hAnsi="Cambria"/>
          <w:noProof/>
          <w:sz w:val="24"/>
        </w:rPr>
        <w:tab/>
        <w:t xml:space="preserve">Zhang, H. H. </w:t>
      </w:r>
      <w:r w:rsidRPr="00B93B95">
        <w:rPr>
          <w:rFonts w:ascii="Cambria" w:hAnsi="Cambria"/>
          <w:i/>
          <w:iCs/>
          <w:noProof/>
          <w:sz w:val="24"/>
        </w:rPr>
        <w:t>et al.</w:t>
      </w:r>
      <w:r w:rsidRPr="00B93B95">
        <w:rPr>
          <w:rFonts w:ascii="Cambria" w:hAnsi="Cambria"/>
          <w:noProof/>
          <w:sz w:val="24"/>
        </w:rPr>
        <w:t xml:space="preserve"> Insulin stimulates adipogenesis through the Akt-TSC2-mTORC1 pathway. </w:t>
      </w:r>
      <w:r w:rsidRPr="00B93B95">
        <w:rPr>
          <w:rFonts w:ascii="Cambria" w:hAnsi="Cambria"/>
          <w:i/>
          <w:iCs/>
          <w:noProof/>
          <w:sz w:val="24"/>
        </w:rPr>
        <w:t>PLoS One</w:t>
      </w:r>
      <w:r w:rsidRPr="00B93B95">
        <w:rPr>
          <w:rFonts w:ascii="Cambria" w:hAnsi="Cambria"/>
          <w:noProof/>
          <w:sz w:val="24"/>
        </w:rPr>
        <w:t xml:space="preserve"> </w:t>
      </w:r>
      <w:r w:rsidRPr="00B93B95">
        <w:rPr>
          <w:rFonts w:ascii="Cambria" w:hAnsi="Cambria"/>
          <w:b/>
          <w:bCs/>
          <w:noProof/>
          <w:sz w:val="24"/>
        </w:rPr>
        <w:t>4,</w:t>
      </w:r>
      <w:r w:rsidRPr="00B93B95">
        <w:rPr>
          <w:rFonts w:ascii="Cambria" w:hAnsi="Cambria"/>
          <w:noProof/>
          <w:sz w:val="24"/>
        </w:rPr>
        <w:t xml:space="preserve"> e6189 (2009).</w:t>
      </w:r>
    </w:p>
    <w:p w14:paraId="4A0049C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9.</w:t>
      </w:r>
      <w:r w:rsidRPr="00B93B95">
        <w:rPr>
          <w:rFonts w:ascii="Cambria" w:hAnsi="Cambria"/>
          <w:noProof/>
          <w:sz w:val="24"/>
        </w:rPr>
        <w:tab/>
        <w:t xml:space="preserve">Cuenda, a &amp; Cohen, P. Stress-activated protein kinase-2/p38 and a rapamycin-sensitive pathway are required for C2C12 myogenesis.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274,</w:t>
      </w:r>
      <w:r w:rsidRPr="00B93B95">
        <w:rPr>
          <w:rFonts w:ascii="Cambria" w:hAnsi="Cambria"/>
          <w:noProof/>
          <w:sz w:val="24"/>
        </w:rPr>
        <w:t xml:space="preserve"> 4341–6 (1999).</w:t>
      </w:r>
    </w:p>
    <w:p w14:paraId="081A585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10.</w:t>
      </w:r>
      <w:r w:rsidRPr="00B93B95">
        <w:rPr>
          <w:rFonts w:ascii="Cambria" w:hAnsi="Cambria"/>
          <w:noProof/>
          <w:sz w:val="24"/>
        </w:rPr>
        <w:tab/>
        <w:t xml:space="preserve">Shu, L., Zhang, X. &amp; Houghton, P. J. Myogenic differentiation is dependent on both the kinase function and the N-terminal sequence of mammalian target of rapamycin.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277,</w:t>
      </w:r>
      <w:r w:rsidRPr="00B93B95">
        <w:rPr>
          <w:rFonts w:ascii="Cambria" w:hAnsi="Cambria"/>
          <w:noProof/>
          <w:sz w:val="24"/>
        </w:rPr>
        <w:t xml:space="preserve"> 16726–32 (2002).</w:t>
      </w:r>
    </w:p>
    <w:p w14:paraId="75BCCD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11.</w:t>
      </w:r>
      <w:r w:rsidRPr="00B93B95">
        <w:rPr>
          <w:rFonts w:ascii="Cambria" w:hAnsi="Cambria"/>
          <w:noProof/>
          <w:sz w:val="24"/>
        </w:rPr>
        <w:tab/>
        <w:t xml:space="preserve">Erbay, E. &amp; Chen, J. The mammalian target of rapamycin regulates C2C12 myogenesis via a kinase-independent mechanism.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276,</w:t>
      </w:r>
      <w:r w:rsidRPr="00B93B95">
        <w:rPr>
          <w:rFonts w:ascii="Cambria" w:hAnsi="Cambria"/>
          <w:noProof/>
          <w:sz w:val="24"/>
        </w:rPr>
        <w:t xml:space="preserve"> 36079–82 (2001).</w:t>
      </w:r>
    </w:p>
    <w:p w14:paraId="671794E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12.</w:t>
      </w:r>
      <w:r w:rsidRPr="00B93B95">
        <w:rPr>
          <w:rFonts w:ascii="Cambria" w:hAnsi="Cambria"/>
          <w:noProof/>
          <w:sz w:val="24"/>
        </w:rPr>
        <w:tab/>
        <w:t xml:space="preserve">Hentges, K. E. </w:t>
      </w:r>
      <w:r w:rsidRPr="00B93B95">
        <w:rPr>
          <w:rFonts w:ascii="Cambria" w:hAnsi="Cambria"/>
          <w:i/>
          <w:iCs/>
          <w:noProof/>
          <w:sz w:val="24"/>
        </w:rPr>
        <w:t>et al.</w:t>
      </w:r>
      <w:r w:rsidRPr="00B93B95">
        <w:rPr>
          <w:rFonts w:ascii="Cambria" w:hAnsi="Cambria"/>
          <w:noProof/>
          <w:sz w:val="24"/>
        </w:rPr>
        <w:t xml:space="preserve"> FRAP/mTOR is required for proliferation and patterning during embryonic development in the mouse. </w:t>
      </w:r>
      <w:r w:rsidRPr="00B93B95">
        <w:rPr>
          <w:rFonts w:ascii="Cambria" w:hAnsi="Cambria"/>
          <w:i/>
          <w:iCs/>
          <w:noProof/>
          <w:sz w:val="24"/>
        </w:rPr>
        <w:t>Proc. Natl. Acad. Sci. U. S. A.</w:t>
      </w:r>
      <w:r w:rsidRPr="00B93B95">
        <w:rPr>
          <w:rFonts w:ascii="Cambria" w:hAnsi="Cambria"/>
          <w:noProof/>
          <w:sz w:val="24"/>
        </w:rPr>
        <w:t xml:space="preserve"> </w:t>
      </w:r>
      <w:r w:rsidRPr="00B93B95">
        <w:rPr>
          <w:rFonts w:ascii="Cambria" w:hAnsi="Cambria"/>
          <w:b/>
          <w:bCs/>
          <w:noProof/>
          <w:sz w:val="24"/>
        </w:rPr>
        <w:t>98,</w:t>
      </w:r>
      <w:r w:rsidRPr="00B93B95">
        <w:rPr>
          <w:rFonts w:ascii="Cambria" w:hAnsi="Cambria"/>
          <w:noProof/>
          <w:sz w:val="24"/>
        </w:rPr>
        <w:t xml:space="preserve"> 13796–801 (2001).</w:t>
      </w:r>
    </w:p>
    <w:p w14:paraId="0EB766A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13.</w:t>
      </w:r>
      <w:r w:rsidRPr="00B93B95">
        <w:rPr>
          <w:rFonts w:ascii="Cambria" w:hAnsi="Cambria"/>
          <w:noProof/>
          <w:sz w:val="24"/>
        </w:rPr>
        <w:tab/>
        <w:t xml:space="preserve">Guertin, D. A. </w:t>
      </w:r>
      <w:r w:rsidRPr="00B93B95">
        <w:rPr>
          <w:rFonts w:ascii="Cambria" w:hAnsi="Cambria"/>
          <w:i/>
          <w:iCs/>
          <w:noProof/>
          <w:sz w:val="24"/>
        </w:rPr>
        <w:t>et al.</w:t>
      </w:r>
      <w:r w:rsidRPr="00B93B95">
        <w:rPr>
          <w:rFonts w:ascii="Cambria" w:hAnsi="Cambria"/>
          <w:noProof/>
          <w:sz w:val="24"/>
        </w:rPr>
        <w:t xml:space="preserve"> Ablation in mice of the mTORC components raptor, rictor, or mLST8 reveals that mTORC2 is required for signaling to Akt-FOXO and PKCalpha, but not S6K1. </w:t>
      </w:r>
      <w:r w:rsidRPr="00B93B95">
        <w:rPr>
          <w:rFonts w:ascii="Cambria" w:hAnsi="Cambria"/>
          <w:i/>
          <w:iCs/>
          <w:noProof/>
          <w:sz w:val="24"/>
        </w:rPr>
        <w:t>Dev. Cell</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859–871 (2006).</w:t>
      </w:r>
    </w:p>
    <w:p w14:paraId="2CEA42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14.</w:t>
      </w:r>
      <w:r w:rsidRPr="00B93B95">
        <w:rPr>
          <w:rFonts w:ascii="Cambria" w:hAnsi="Cambria"/>
          <w:noProof/>
          <w:sz w:val="24"/>
        </w:rPr>
        <w:tab/>
        <w:t xml:space="preserve">Gangloff, Y. </w:t>
      </w:r>
      <w:r w:rsidRPr="00B93B95">
        <w:rPr>
          <w:rFonts w:ascii="Cambria" w:hAnsi="Cambria"/>
          <w:i/>
          <w:iCs/>
          <w:noProof/>
          <w:sz w:val="24"/>
        </w:rPr>
        <w:t>et al.</w:t>
      </w:r>
      <w:r w:rsidRPr="00B93B95">
        <w:rPr>
          <w:rFonts w:ascii="Cambria" w:hAnsi="Cambria"/>
          <w:noProof/>
          <w:sz w:val="24"/>
        </w:rPr>
        <w:t xml:space="preserve"> Disruption of the mouse mTOR gene leads to early postimplantation lethality and prohibits embryonic stem cell development.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9508–16 (2004).</w:t>
      </w:r>
    </w:p>
    <w:p w14:paraId="3217512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15.</w:t>
      </w:r>
      <w:r w:rsidRPr="00B93B95">
        <w:rPr>
          <w:rFonts w:ascii="Cambria" w:hAnsi="Cambria"/>
          <w:noProof/>
          <w:sz w:val="24"/>
        </w:rPr>
        <w:tab/>
        <w:t xml:space="preserve">Jia, K., Chen, D. &amp; Riddle, D. L. The TOR pathway interacts with the insulin signaling pathway to regulate C. elegans larval development, metabolism and life span.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131,</w:t>
      </w:r>
      <w:r w:rsidRPr="00B93B95">
        <w:rPr>
          <w:rFonts w:ascii="Cambria" w:hAnsi="Cambria"/>
          <w:noProof/>
          <w:sz w:val="24"/>
        </w:rPr>
        <w:t xml:space="preserve"> 3897–906 (2004).</w:t>
      </w:r>
    </w:p>
    <w:p w14:paraId="4390F5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16.</w:t>
      </w:r>
      <w:r w:rsidRPr="00B93B95">
        <w:rPr>
          <w:rFonts w:ascii="Cambria" w:hAnsi="Cambria"/>
          <w:noProof/>
          <w:sz w:val="24"/>
        </w:rPr>
        <w:tab/>
        <w:t xml:space="preserve">Bjedov, I. </w:t>
      </w:r>
      <w:r w:rsidRPr="00B93B95">
        <w:rPr>
          <w:rFonts w:ascii="Cambria" w:hAnsi="Cambria"/>
          <w:i/>
          <w:iCs/>
          <w:noProof/>
          <w:sz w:val="24"/>
        </w:rPr>
        <w:t>et al.</w:t>
      </w:r>
      <w:r w:rsidRPr="00B93B95">
        <w:rPr>
          <w:rFonts w:ascii="Cambria" w:hAnsi="Cambria"/>
          <w:noProof/>
          <w:sz w:val="24"/>
        </w:rPr>
        <w:t xml:space="preserve"> Mechanisms of life span extension by rapamycin in the fruit fly Drosophila melanogaster.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35–46 (2010).</w:t>
      </w:r>
    </w:p>
    <w:p w14:paraId="2B2F88A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17.</w:t>
      </w:r>
      <w:r w:rsidRPr="00B93B95">
        <w:rPr>
          <w:rFonts w:ascii="Cambria" w:hAnsi="Cambria"/>
          <w:noProof/>
          <w:sz w:val="24"/>
        </w:rPr>
        <w:tab/>
        <w:t xml:space="preserve">Mauro, A. Satellite cell of skeletal muscle fibers. </w:t>
      </w:r>
      <w:r w:rsidRPr="00B93B95">
        <w:rPr>
          <w:rFonts w:ascii="Cambria" w:hAnsi="Cambria"/>
          <w:i/>
          <w:iCs/>
          <w:noProof/>
          <w:sz w:val="24"/>
        </w:rPr>
        <w:t>J. Biophys. Biochem. Cytol.</w:t>
      </w:r>
      <w:r w:rsidRPr="00B93B95">
        <w:rPr>
          <w:rFonts w:ascii="Cambria" w:hAnsi="Cambria"/>
          <w:noProof/>
          <w:sz w:val="24"/>
        </w:rPr>
        <w:t xml:space="preserve"> </w:t>
      </w:r>
      <w:r w:rsidRPr="00B93B95">
        <w:rPr>
          <w:rFonts w:ascii="Cambria" w:hAnsi="Cambria"/>
          <w:b/>
          <w:bCs/>
          <w:noProof/>
          <w:sz w:val="24"/>
        </w:rPr>
        <w:t>9,</w:t>
      </w:r>
      <w:r w:rsidRPr="00B93B95">
        <w:rPr>
          <w:rFonts w:ascii="Cambria" w:hAnsi="Cambria"/>
          <w:noProof/>
          <w:sz w:val="24"/>
        </w:rPr>
        <w:t xml:space="preserve"> 493–5 (1961).</w:t>
      </w:r>
    </w:p>
    <w:p w14:paraId="599A75B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18.</w:t>
      </w:r>
      <w:r w:rsidRPr="00B93B95">
        <w:rPr>
          <w:rFonts w:ascii="Cambria" w:hAnsi="Cambria"/>
          <w:noProof/>
          <w:sz w:val="24"/>
        </w:rPr>
        <w:tab/>
        <w:t xml:space="preserve">Collins, C. a </w:t>
      </w:r>
      <w:r w:rsidRPr="00B93B95">
        <w:rPr>
          <w:rFonts w:ascii="Cambria" w:hAnsi="Cambria"/>
          <w:i/>
          <w:iCs/>
          <w:noProof/>
          <w:sz w:val="24"/>
        </w:rPr>
        <w:t>et al.</w:t>
      </w:r>
      <w:r w:rsidRPr="00B93B95">
        <w:rPr>
          <w:rFonts w:ascii="Cambria" w:hAnsi="Cambria"/>
          <w:noProof/>
          <w:sz w:val="24"/>
        </w:rPr>
        <w:t xml:space="preserve"> Stem cell function, self-renewal, and behavioral heterogeneity of cells from the adult muscle satellite cell niche.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122,</w:t>
      </w:r>
      <w:r w:rsidRPr="00B93B95">
        <w:rPr>
          <w:rFonts w:ascii="Cambria" w:hAnsi="Cambria"/>
          <w:noProof/>
          <w:sz w:val="24"/>
        </w:rPr>
        <w:t xml:space="preserve"> 289–301 (2005).</w:t>
      </w:r>
    </w:p>
    <w:p w14:paraId="15A1C6E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19.</w:t>
      </w:r>
      <w:r w:rsidRPr="00B93B95">
        <w:rPr>
          <w:rFonts w:ascii="Cambria" w:hAnsi="Cambria"/>
          <w:noProof/>
          <w:sz w:val="24"/>
        </w:rPr>
        <w:tab/>
        <w:t xml:space="preserve">McCarthy, J. J. </w:t>
      </w:r>
      <w:r w:rsidRPr="00B93B95">
        <w:rPr>
          <w:rFonts w:ascii="Cambria" w:hAnsi="Cambria"/>
          <w:i/>
          <w:iCs/>
          <w:noProof/>
          <w:sz w:val="24"/>
        </w:rPr>
        <w:t>et al.</w:t>
      </w:r>
      <w:r w:rsidRPr="00B93B95">
        <w:rPr>
          <w:rFonts w:ascii="Cambria" w:hAnsi="Cambria"/>
          <w:noProof/>
          <w:sz w:val="24"/>
        </w:rPr>
        <w:t xml:space="preserve"> Effective fiber hypertrophy in satellite cell-depleted skeletal muscle.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138,</w:t>
      </w:r>
      <w:r w:rsidRPr="00B93B95">
        <w:rPr>
          <w:rFonts w:ascii="Cambria" w:hAnsi="Cambria"/>
          <w:noProof/>
          <w:sz w:val="24"/>
        </w:rPr>
        <w:t xml:space="preserve"> 3657–66 (2011).</w:t>
      </w:r>
    </w:p>
    <w:p w14:paraId="7A58E10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20.</w:t>
      </w:r>
      <w:r w:rsidRPr="00B93B95">
        <w:rPr>
          <w:rFonts w:ascii="Cambria" w:hAnsi="Cambria"/>
          <w:noProof/>
          <w:sz w:val="24"/>
        </w:rPr>
        <w:tab/>
        <w:t xml:space="preserve">Eng, D., Ma, H.-Y., Gross, M. K. &amp; Kioussi, C. Gene Networks during Skeletal Myogenesis. </w:t>
      </w:r>
      <w:r w:rsidRPr="00B93B95">
        <w:rPr>
          <w:rFonts w:ascii="Cambria" w:hAnsi="Cambria"/>
          <w:i/>
          <w:iCs/>
          <w:noProof/>
          <w:sz w:val="24"/>
        </w:rPr>
        <w:t>ISRN Dev. Biol.</w:t>
      </w:r>
      <w:r w:rsidRPr="00B93B95">
        <w:rPr>
          <w:rFonts w:ascii="Cambria" w:hAnsi="Cambria"/>
          <w:noProof/>
          <w:sz w:val="24"/>
        </w:rPr>
        <w:t xml:space="preserve"> </w:t>
      </w:r>
      <w:r w:rsidRPr="00B93B95">
        <w:rPr>
          <w:rFonts w:ascii="Cambria" w:hAnsi="Cambria"/>
          <w:b/>
          <w:bCs/>
          <w:noProof/>
          <w:sz w:val="24"/>
        </w:rPr>
        <w:t>2013,</w:t>
      </w:r>
      <w:r w:rsidRPr="00B93B95">
        <w:rPr>
          <w:rFonts w:ascii="Cambria" w:hAnsi="Cambria"/>
          <w:noProof/>
          <w:sz w:val="24"/>
        </w:rPr>
        <w:t xml:space="preserve"> 1–8 (2013).</w:t>
      </w:r>
    </w:p>
    <w:p w14:paraId="3EBD20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21.</w:t>
      </w:r>
      <w:r w:rsidRPr="00B93B95">
        <w:rPr>
          <w:rFonts w:ascii="Cambria" w:hAnsi="Cambria"/>
          <w:noProof/>
          <w:sz w:val="24"/>
        </w:rPr>
        <w:tab/>
        <w:t xml:space="preserve">Ge, Y. &amp; Chen, J. Mammalian target of rapamycin (mTOR) signaling network in skeletal myogenesis. </w:t>
      </w:r>
      <w:r w:rsidRPr="00B93B95">
        <w:rPr>
          <w:rFonts w:ascii="Cambria" w:hAnsi="Cambria"/>
          <w:i/>
          <w:iCs/>
          <w:noProof/>
          <w:sz w:val="24"/>
        </w:rPr>
        <w:t>J. Biol. Chem.</w:t>
      </w:r>
      <w:r w:rsidRPr="00B93B95">
        <w:rPr>
          <w:rFonts w:ascii="Cambria" w:hAnsi="Cambria"/>
          <w:noProof/>
          <w:sz w:val="24"/>
        </w:rPr>
        <w:t xml:space="preserve"> (2012). doi:10.1074/jbc.R112.406942</w:t>
      </w:r>
    </w:p>
    <w:p w14:paraId="78911A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22.</w:t>
      </w:r>
      <w:r w:rsidRPr="00B93B95">
        <w:rPr>
          <w:rFonts w:ascii="Cambria" w:hAnsi="Cambria"/>
          <w:noProof/>
          <w:sz w:val="24"/>
        </w:rPr>
        <w:tab/>
        <w:t xml:space="preserve">Sun, Y. </w:t>
      </w:r>
      <w:r w:rsidRPr="00B93B95">
        <w:rPr>
          <w:rFonts w:ascii="Cambria" w:hAnsi="Cambria"/>
          <w:i/>
          <w:iCs/>
          <w:noProof/>
          <w:sz w:val="24"/>
        </w:rPr>
        <w:t>et al.</w:t>
      </w:r>
      <w:r w:rsidRPr="00B93B95">
        <w:rPr>
          <w:rFonts w:ascii="Cambria" w:hAnsi="Cambria"/>
          <w:noProof/>
          <w:sz w:val="24"/>
        </w:rPr>
        <w:t xml:space="preserve"> Mammalian target of rapamycin regulates miRNA-1 and follistatin in skeletal myogenesis. </w:t>
      </w:r>
      <w:r w:rsidRPr="00B93B95">
        <w:rPr>
          <w:rFonts w:ascii="Cambria" w:hAnsi="Cambria"/>
          <w:i/>
          <w:iCs/>
          <w:noProof/>
          <w:sz w:val="24"/>
        </w:rPr>
        <w:t>J. Cell Biol.</w:t>
      </w:r>
      <w:r w:rsidRPr="00B93B95">
        <w:rPr>
          <w:rFonts w:ascii="Cambria" w:hAnsi="Cambria"/>
          <w:noProof/>
          <w:sz w:val="24"/>
        </w:rPr>
        <w:t xml:space="preserve"> </w:t>
      </w:r>
      <w:r w:rsidRPr="00B93B95">
        <w:rPr>
          <w:rFonts w:ascii="Cambria" w:hAnsi="Cambria"/>
          <w:b/>
          <w:bCs/>
          <w:noProof/>
          <w:sz w:val="24"/>
        </w:rPr>
        <w:t>189,</w:t>
      </w:r>
      <w:r w:rsidRPr="00B93B95">
        <w:rPr>
          <w:rFonts w:ascii="Cambria" w:hAnsi="Cambria"/>
          <w:noProof/>
          <w:sz w:val="24"/>
        </w:rPr>
        <w:t xml:space="preserve"> 1157–69 (2010).</w:t>
      </w:r>
    </w:p>
    <w:p w14:paraId="71AF05C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23.</w:t>
      </w:r>
      <w:r w:rsidRPr="00B93B95">
        <w:rPr>
          <w:rFonts w:ascii="Cambria" w:hAnsi="Cambria"/>
          <w:noProof/>
          <w:sz w:val="24"/>
        </w:rPr>
        <w:tab/>
        <w:t xml:space="preserve">Yaffe, D. &amp; Saxel, O. Serial passaging and differentiation of myogenic cells isolated from dystrophic mouse muscle. </w:t>
      </w:r>
      <w:r w:rsidRPr="00B93B95">
        <w:rPr>
          <w:rFonts w:ascii="Cambria" w:hAnsi="Cambria"/>
          <w:i/>
          <w:iCs/>
          <w:noProof/>
          <w:sz w:val="24"/>
        </w:rPr>
        <w:t>Nature</w:t>
      </w:r>
      <w:r w:rsidRPr="00B93B95">
        <w:rPr>
          <w:rFonts w:ascii="Cambria" w:hAnsi="Cambria"/>
          <w:noProof/>
          <w:sz w:val="24"/>
        </w:rPr>
        <w:t xml:space="preserve"> </w:t>
      </w:r>
      <w:r w:rsidRPr="00B93B95">
        <w:rPr>
          <w:rFonts w:ascii="Cambria" w:hAnsi="Cambria"/>
          <w:b/>
          <w:bCs/>
          <w:noProof/>
          <w:sz w:val="24"/>
        </w:rPr>
        <w:t>270,</w:t>
      </w:r>
      <w:r w:rsidRPr="00B93B95">
        <w:rPr>
          <w:rFonts w:ascii="Cambria" w:hAnsi="Cambria"/>
          <w:noProof/>
          <w:sz w:val="24"/>
        </w:rPr>
        <w:t xml:space="preserve"> 725–727 (1977).</w:t>
      </w:r>
    </w:p>
    <w:p w14:paraId="627EC41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24.</w:t>
      </w:r>
      <w:r w:rsidRPr="00B93B95">
        <w:rPr>
          <w:rFonts w:ascii="Cambria" w:hAnsi="Cambria"/>
          <w:noProof/>
          <w:sz w:val="24"/>
        </w:rPr>
        <w:tab/>
        <w:t xml:space="preserve">Schmittgen, T. D. &amp; Livak, K. J. Analyzing real-time PCR data by the comparative CT method. </w:t>
      </w:r>
      <w:r w:rsidRPr="00B93B95">
        <w:rPr>
          <w:rFonts w:ascii="Cambria" w:hAnsi="Cambria"/>
          <w:i/>
          <w:iCs/>
          <w:noProof/>
          <w:sz w:val="24"/>
        </w:rPr>
        <w:t>Nat. Protoc.</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1101–1108 (2008).</w:t>
      </w:r>
    </w:p>
    <w:p w14:paraId="34369E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25.</w:t>
      </w:r>
      <w:r w:rsidRPr="00B93B95">
        <w:rPr>
          <w:rFonts w:ascii="Cambria" w:hAnsi="Cambria"/>
          <w:noProof/>
          <w:sz w:val="24"/>
        </w:rPr>
        <w:tab/>
        <w:t xml:space="preserve">Ni, J. </w:t>
      </w:r>
      <w:r w:rsidRPr="00B93B95">
        <w:rPr>
          <w:rFonts w:ascii="Cambria" w:hAnsi="Cambria"/>
          <w:i/>
          <w:iCs/>
          <w:noProof/>
          <w:sz w:val="24"/>
        </w:rPr>
        <w:t>et al.</w:t>
      </w:r>
      <w:r w:rsidRPr="00B93B95">
        <w:rPr>
          <w:rFonts w:ascii="Cambria" w:hAnsi="Cambria"/>
          <w:noProof/>
          <w:sz w:val="24"/>
        </w:rPr>
        <w:t xml:space="preserve"> A genome-scale shRNA resource for transgenic RNAi in Drosophila. </w:t>
      </w:r>
      <w:r w:rsidRPr="00B93B95">
        <w:rPr>
          <w:rFonts w:ascii="Cambria" w:hAnsi="Cambria"/>
          <w:i/>
          <w:iCs/>
          <w:noProof/>
          <w:sz w:val="24"/>
        </w:rPr>
        <w:t>Nat. Methods</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405–7 (2011).</w:t>
      </w:r>
    </w:p>
    <w:p w14:paraId="2E73E14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26.</w:t>
      </w:r>
      <w:r w:rsidRPr="00B93B95">
        <w:rPr>
          <w:rFonts w:ascii="Cambria" w:hAnsi="Cambria"/>
          <w:noProof/>
          <w:sz w:val="24"/>
        </w:rPr>
        <w:tab/>
        <w:t>R Core Team. R: A Language and Environment for Statistical Computing. (2013).</w:t>
      </w:r>
    </w:p>
    <w:p w14:paraId="2E96DC0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27.</w:t>
      </w:r>
      <w:r w:rsidRPr="00B93B95">
        <w:rPr>
          <w:rFonts w:ascii="Cambria" w:hAnsi="Cambria"/>
          <w:noProof/>
          <w:sz w:val="24"/>
        </w:rPr>
        <w:tab/>
        <w:t xml:space="preserve">Fox, J. &amp; Weisberg, S. </w:t>
      </w:r>
      <w:r w:rsidRPr="00B93B95">
        <w:rPr>
          <w:rFonts w:ascii="Cambria" w:hAnsi="Cambria"/>
          <w:i/>
          <w:iCs/>
          <w:noProof/>
          <w:sz w:val="24"/>
        </w:rPr>
        <w:t>An {R} Companion to Applied Regression</w:t>
      </w:r>
      <w:r w:rsidRPr="00B93B95">
        <w:rPr>
          <w:rFonts w:ascii="Cambria" w:hAnsi="Cambria"/>
          <w:noProof/>
          <w:sz w:val="24"/>
        </w:rPr>
        <w:t>. (Sage, 2011).</w:t>
      </w:r>
    </w:p>
    <w:p w14:paraId="6C83D3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28.</w:t>
      </w:r>
      <w:r w:rsidRPr="00B93B95">
        <w:rPr>
          <w:rFonts w:ascii="Cambria" w:hAnsi="Cambria"/>
          <w:noProof/>
          <w:sz w:val="24"/>
        </w:rPr>
        <w:tab/>
        <w:t xml:space="preserve">Benjamini, Y. &amp; Hochberg, Y. Controlling the False Discovery Rate: A Practical and Powerful Approach to Multiple Testing. </w:t>
      </w:r>
      <w:r w:rsidRPr="00B93B95">
        <w:rPr>
          <w:rFonts w:ascii="Cambria" w:hAnsi="Cambria"/>
          <w:i/>
          <w:iCs/>
          <w:noProof/>
          <w:sz w:val="24"/>
        </w:rPr>
        <w:t>J. R. Stat. Soc. Ser. B</w:t>
      </w:r>
      <w:r w:rsidRPr="00B93B95">
        <w:rPr>
          <w:rFonts w:ascii="Cambria" w:hAnsi="Cambria"/>
          <w:noProof/>
          <w:sz w:val="24"/>
        </w:rPr>
        <w:t xml:space="preserve"> </w:t>
      </w:r>
      <w:r w:rsidRPr="00B93B95">
        <w:rPr>
          <w:rFonts w:ascii="Cambria" w:hAnsi="Cambria"/>
          <w:b/>
          <w:bCs/>
          <w:noProof/>
          <w:sz w:val="24"/>
        </w:rPr>
        <w:t>57,</w:t>
      </w:r>
      <w:r w:rsidRPr="00B93B95">
        <w:rPr>
          <w:rFonts w:ascii="Cambria" w:hAnsi="Cambria"/>
          <w:noProof/>
          <w:sz w:val="24"/>
        </w:rPr>
        <w:t xml:space="preserve"> 289–300 (1995).</w:t>
      </w:r>
    </w:p>
    <w:p w14:paraId="1867288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29.</w:t>
      </w:r>
      <w:r w:rsidRPr="00B93B95">
        <w:rPr>
          <w:rFonts w:ascii="Cambria" w:hAnsi="Cambria"/>
          <w:noProof/>
          <w:sz w:val="24"/>
        </w:rPr>
        <w:tab/>
        <w:t>Hatfield, I., Harvey, I., Reiter, L. T. &amp; Bridges, D. Dataset for Drosophila Muscle Function Studies. (2014). at &lt;http://bridgeslab.github.io/DrosophilaMuscleFunction/&gt;</w:t>
      </w:r>
    </w:p>
    <w:p w14:paraId="488BC59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30.</w:t>
      </w:r>
      <w:r w:rsidRPr="00B93B95">
        <w:rPr>
          <w:rFonts w:ascii="Cambria" w:hAnsi="Cambria"/>
          <w:noProof/>
          <w:sz w:val="24"/>
        </w:rPr>
        <w:tab/>
        <w:t xml:space="preserve">Berkes, C. a &amp; Tapscott, S. J. MyoD and the transcriptional control of myogenesis. </w:t>
      </w:r>
      <w:r w:rsidRPr="00B93B95">
        <w:rPr>
          <w:rFonts w:ascii="Cambria" w:hAnsi="Cambria"/>
          <w:i/>
          <w:iCs/>
          <w:noProof/>
          <w:sz w:val="24"/>
        </w:rPr>
        <w:t>Semin. Cell Dev. Biol.</w:t>
      </w:r>
      <w:r w:rsidRPr="00B93B95">
        <w:rPr>
          <w:rFonts w:ascii="Cambria" w:hAnsi="Cambria"/>
          <w:noProof/>
          <w:sz w:val="24"/>
        </w:rPr>
        <w:t xml:space="preserve"> </w:t>
      </w:r>
      <w:r w:rsidRPr="00B93B95">
        <w:rPr>
          <w:rFonts w:ascii="Cambria" w:hAnsi="Cambria"/>
          <w:b/>
          <w:bCs/>
          <w:noProof/>
          <w:sz w:val="24"/>
        </w:rPr>
        <w:t>16,</w:t>
      </w:r>
      <w:r w:rsidRPr="00B93B95">
        <w:rPr>
          <w:rFonts w:ascii="Cambria" w:hAnsi="Cambria"/>
          <w:noProof/>
          <w:sz w:val="24"/>
        </w:rPr>
        <w:t xml:space="preserve"> 585–95 (2005).</w:t>
      </w:r>
    </w:p>
    <w:p w14:paraId="35285BA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31.</w:t>
      </w:r>
      <w:r w:rsidRPr="00B93B95">
        <w:rPr>
          <w:rFonts w:ascii="Cambria" w:hAnsi="Cambria"/>
          <w:noProof/>
          <w:sz w:val="24"/>
        </w:rPr>
        <w:tab/>
        <w:t xml:space="preserve">Rogerson, P. J., Jamali, M. &amp; Skerjanc, I. S. The C-terminus of myogenin, but not MyoD, targets upregulation of MEF2C expression. </w:t>
      </w:r>
      <w:r w:rsidRPr="00B93B95">
        <w:rPr>
          <w:rFonts w:ascii="Cambria" w:hAnsi="Cambria"/>
          <w:i/>
          <w:iCs/>
          <w:noProof/>
          <w:sz w:val="24"/>
        </w:rPr>
        <w:t>FEBS Lett.</w:t>
      </w:r>
      <w:r w:rsidRPr="00B93B95">
        <w:rPr>
          <w:rFonts w:ascii="Cambria" w:hAnsi="Cambria"/>
          <w:noProof/>
          <w:sz w:val="24"/>
        </w:rPr>
        <w:t xml:space="preserve"> </w:t>
      </w:r>
      <w:r w:rsidRPr="00B93B95">
        <w:rPr>
          <w:rFonts w:ascii="Cambria" w:hAnsi="Cambria"/>
          <w:b/>
          <w:bCs/>
          <w:noProof/>
          <w:sz w:val="24"/>
        </w:rPr>
        <w:t>524,</w:t>
      </w:r>
      <w:r w:rsidRPr="00B93B95">
        <w:rPr>
          <w:rFonts w:ascii="Cambria" w:hAnsi="Cambria"/>
          <w:noProof/>
          <w:sz w:val="24"/>
        </w:rPr>
        <w:t xml:space="preserve"> 134–8 (2002).</w:t>
      </w:r>
    </w:p>
    <w:p w14:paraId="6850935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32.</w:t>
      </w:r>
      <w:r w:rsidRPr="00B93B95">
        <w:rPr>
          <w:rFonts w:ascii="Cambria" w:hAnsi="Cambria"/>
          <w:noProof/>
          <w:sz w:val="24"/>
        </w:rPr>
        <w:tab/>
        <w:t xml:space="preserve">Murakami, M. </w:t>
      </w:r>
      <w:r w:rsidRPr="00B93B95">
        <w:rPr>
          <w:rFonts w:ascii="Cambria" w:hAnsi="Cambria"/>
          <w:i/>
          <w:iCs/>
          <w:noProof/>
          <w:sz w:val="24"/>
        </w:rPr>
        <w:t>et al.</w:t>
      </w:r>
      <w:r w:rsidRPr="00B93B95">
        <w:rPr>
          <w:rFonts w:ascii="Cambria" w:hAnsi="Cambria"/>
          <w:noProof/>
          <w:sz w:val="24"/>
        </w:rPr>
        <w:t xml:space="preserve"> mTOR is essential for growth and proliferation in early mouse embryos and embryonic stem cells.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6710–8 (2004).</w:t>
      </w:r>
    </w:p>
    <w:p w14:paraId="76317EF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33.</w:t>
      </w:r>
      <w:r w:rsidRPr="00B93B95">
        <w:rPr>
          <w:rFonts w:ascii="Cambria" w:hAnsi="Cambria"/>
          <w:noProof/>
          <w:sz w:val="24"/>
        </w:rPr>
        <w:tab/>
        <w:t xml:space="preserve">Duffy, J. B. GAL4 system in Drosophila: a fly geneticist’s Swiss army knife. </w:t>
      </w:r>
      <w:r w:rsidRPr="00B93B95">
        <w:rPr>
          <w:rFonts w:ascii="Cambria" w:hAnsi="Cambria"/>
          <w:i/>
          <w:iCs/>
          <w:noProof/>
          <w:sz w:val="24"/>
        </w:rPr>
        <w:t>Genesis</w:t>
      </w:r>
      <w:r w:rsidRPr="00B93B95">
        <w:rPr>
          <w:rFonts w:ascii="Cambria" w:hAnsi="Cambria"/>
          <w:noProof/>
          <w:sz w:val="24"/>
        </w:rPr>
        <w:t xml:space="preserve"> </w:t>
      </w:r>
      <w:r w:rsidRPr="00B93B95">
        <w:rPr>
          <w:rFonts w:ascii="Cambria" w:hAnsi="Cambria"/>
          <w:b/>
          <w:bCs/>
          <w:noProof/>
          <w:sz w:val="24"/>
        </w:rPr>
        <w:t>34,</w:t>
      </w:r>
      <w:r w:rsidRPr="00B93B95">
        <w:rPr>
          <w:rFonts w:ascii="Cambria" w:hAnsi="Cambria"/>
          <w:noProof/>
          <w:sz w:val="24"/>
        </w:rPr>
        <w:t xml:space="preserve"> 1–15 (2002).</w:t>
      </w:r>
    </w:p>
    <w:p w14:paraId="63E0CE6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34.</w:t>
      </w:r>
      <w:r w:rsidRPr="00B93B95">
        <w:rPr>
          <w:rFonts w:ascii="Cambria" w:hAnsi="Cambria"/>
          <w:noProof/>
          <w:sz w:val="24"/>
        </w:rPr>
        <w:tab/>
        <w:t xml:space="preserve">Mantrova, E. Y., Schulz, R. a. &amp; Hsu, T. Oogenic function of the myogenic factor D-MEF2: Negative regulation of the Decapentaplegic receptor gene thick veins. </w:t>
      </w:r>
      <w:r w:rsidRPr="00B93B95">
        <w:rPr>
          <w:rFonts w:ascii="Cambria" w:hAnsi="Cambria"/>
          <w:i/>
          <w:iCs/>
          <w:noProof/>
          <w:sz w:val="24"/>
        </w:rPr>
        <w:t>Proc. Natl. Acad. Sci.</w:t>
      </w:r>
      <w:r w:rsidRPr="00B93B95">
        <w:rPr>
          <w:rFonts w:ascii="Cambria" w:hAnsi="Cambria"/>
          <w:noProof/>
          <w:sz w:val="24"/>
        </w:rPr>
        <w:t xml:space="preserve"> </w:t>
      </w:r>
      <w:r w:rsidRPr="00B93B95">
        <w:rPr>
          <w:rFonts w:ascii="Cambria" w:hAnsi="Cambria"/>
          <w:b/>
          <w:bCs/>
          <w:noProof/>
          <w:sz w:val="24"/>
        </w:rPr>
        <w:t>96,</w:t>
      </w:r>
      <w:r w:rsidRPr="00B93B95">
        <w:rPr>
          <w:rFonts w:ascii="Cambria" w:hAnsi="Cambria"/>
          <w:noProof/>
          <w:sz w:val="24"/>
        </w:rPr>
        <w:t xml:space="preserve"> 11889–11894 (1999).</w:t>
      </w:r>
    </w:p>
    <w:p w14:paraId="425C1FD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35.</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Skeletal muscle-specific ablation of raptor, but not of rictor, causes metabolic changes and results in muscle dystrophy.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411–24 (2008).</w:t>
      </w:r>
    </w:p>
    <w:p w14:paraId="633D3DD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36.</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Differential response of skeletal muscles to mTORC1 signaling during atrophy and hypertrophy. </w:t>
      </w:r>
      <w:r w:rsidRPr="00B93B95">
        <w:rPr>
          <w:rFonts w:ascii="Cambria" w:hAnsi="Cambria"/>
          <w:i/>
          <w:iCs/>
          <w:noProof/>
          <w:sz w:val="24"/>
        </w:rPr>
        <w:t>Skelet. Muscle</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6 (2013).</w:t>
      </w:r>
    </w:p>
    <w:p w14:paraId="3F7A1B5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37.</w:t>
      </w:r>
      <w:r w:rsidRPr="00B93B95">
        <w:rPr>
          <w:rFonts w:ascii="Cambria" w:hAnsi="Cambria"/>
          <w:noProof/>
          <w:sz w:val="24"/>
        </w:rPr>
        <w:tab/>
        <w:t xml:space="preserve">Leffelaar, D. &amp; Grigliatti, T. A. A Mutation in Drosophila That Appears to Accelerate Aging. </w:t>
      </w:r>
      <w:r w:rsidRPr="00B93B95">
        <w:rPr>
          <w:rFonts w:ascii="Cambria" w:hAnsi="Cambria"/>
          <w:b/>
          <w:bCs/>
          <w:noProof/>
          <w:sz w:val="24"/>
        </w:rPr>
        <w:t>210,</w:t>
      </w:r>
      <w:r w:rsidRPr="00B93B95">
        <w:rPr>
          <w:rFonts w:ascii="Cambria" w:hAnsi="Cambria"/>
          <w:noProof/>
          <w:sz w:val="24"/>
        </w:rPr>
        <w:t xml:space="preserve"> 199–210 (1984).</w:t>
      </w:r>
    </w:p>
    <w:p w14:paraId="4A771E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38.</w:t>
      </w:r>
      <w:r w:rsidRPr="00B93B95">
        <w:rPr>
          <w:rFonts w:ascii="Cambria" w:hAnsi="Cambria"/>
          <w:noProof/>
          <w:sz w:val="24"/>
        </w:rPr>
        <w:tab/>
        <w:t xml:space="preserve">Demontis, F., Patel, V. K., Swindell, W. R. &amp; Perrimon, N. Intertissue Control of the Nucleolus via a Myokine-Dependent Longevity Pathway. </w:t>
      </w:r>
      <w:r w:rsidRPr="00B93B95">
        <w:rPr>
          <w:rFonts w:ascii="Cambria" w:hAnsi="Cambria"/>
          <w:i/>
          <w:iCs/>
          <w:noProof/>
          <w:sz w:val="24"/>
        </w:rPr>
        <w:t>Cell Rep.</w:t>
      </w:r>
      <w:r w:rsidRPr="00B93B95">
        <w:rPr>
          <w:rFonts w:ascii="Cambria" w:hAnsi="Cambria"/>
          <w:noProof/>
          <w:sz w:val="24"/>
        </w:rPr>
        <w:t xml:space="preserve"> 1–14 (2014). doi:10.1016/j.celrep.2014.05.001</w:t>
      </w:r>
    </w:p>
    <w:p w14:paraId="56CCF10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39.</w:t>
      </w:r>
      <w:r w:rsidRPr="00B93B95">
        <w:rPr>
          <w:rFonts w:ascii="Cambria" w:hAnsi="Cambria"/>
          <w:noProof/>
          <w:sz w:val="24"/>
        </w:rPr>
        <w:tab/>
        <w:t xml:space="preserve">Demontis, F. &amp; Perrimon, N. FOXO/4E-BP signaling in Drosophila muscles regulates organism-wide proteostasis during aging.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143,</w:t>
      </w:r>
      <w:r w:rsidRPr="00B93B95">
        <w:rPr>
          <w:rFonts w:ascii="Cambria" w:hAnsi="Cambria"/>
          <w:noProof/>
          <w:sz w:val="24"/>
        </w:rPr>
        <w:t xml:space="preserve"> 813–25 (2010).</w:t>
      </w:r>
    </w:p>
    <w:p w14:paraId="0F473CC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40.</w:t>
      </w:r>
      <w:r w:rsidRPr="00B93B95">
        <w:rPr>
          <w:rFonts w:ascii="Cambria" w:hAnsi="Cambria"/>
          <w:noProof/>
          <w:sz w:val="24"/>
        </w:rPr>
        <w:tab/>
        <w:t xml:space="preserve">Muffat, J. </w:t>
      </w:r>
      <w:r w:rsidRPr="00B93B95">
        <w:rPr>
          <w:rFonts w:ascii="Cambria" w:hAnsi="Cambria"/>
          <w:i/>
          <w:iCs/>
          <w:noProof/>
          <w:sz w:val="24"/>
        </w:rPr>
        <w:t>et al.</w:t>
      </w:r>
      <w:r w:rsidRPr="00B93B95">
        <w:rPr>
          <w:rFonts w:ascii="Cambria" w:hAnsi="Cambria"/>
          <w:noProof/>
          <w:sz w:val="24"/>
        </w:rPr>
        <w:t xml:space="preserve"> Hypersensitivity to oxygen and shortened lifespan in a Drosophila mitochondrial complex II mutant. (2006).</w:t>
      </w:r>
    </w:p>
    <w:p w14:paraId="3AF2C68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41.</w:t>
      </w:r>
      <w:r w:rsidRPr="00B93B95">
        <w:rPr>
          <w:rFonts w:ascii="Cambria" w:hAnsi="Cambria"/>
          <w:noProof/>
          <w:sz w:val="24"/>
        </w:rPr>
        <w:tab/>
        <w:t xml:space="preserve">LAUKKANEN, P., HEIKKINEN, E. &amp; KAUPPINEN, M. Muscle Strength and Mobility as Predictors of Survival in 75–84 - Year - old People. </w:t>
      </w:r>
      <w:r w:rsidRPr="00B93B95">
        <w:rPr>
          <w:rFonts w:ascii="Cambria" w:hAnsi="Cambria"/>
          <w:i/>
          <w:iCs/>
          <w:noProof/>
          <w:sz w:val="24"/>
        </w:rPr>
        <w:t>Age Ageing</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468–473 (1995).</w:t>
      </w:r>
    </w:p>
    <w:p w14:paraId="0EB7F48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42.</w:t>
      </w:r>
      <w:r w:rsidRPr="00B93B95">
        <w:rPr>
          <w:rFonts w:ascii="Cambria" w:hAnsi="Cambria"/>
          <w:noProof/>
          <w:sz w:val="24"/>
        </w:rPr>
        <w:tab/>
        <w:t xml:space="preserve">Ruiz, J. R. </w:t>
      </w:r>
      <w:r w:rsidRPr="00B93B95">
        <w:rPr>
          <w:rFonts w:ascii="Cambria" w:hAnsi="Cambria"/>
          <w:i/>
          <w:iCs/>
          <w:noProof/>
          <w:sz w:val="24"/>
        </w:rPr>
        <w:t>et al.</w:t>
      </w:r>
      <w:r w:rsidRPr="00B93B95">
        <w:rPr>
          <w:rFonts w:ascii="Cambria" w:hAnsi="Cambria"/>
          <w:noProof/>
          <w:sz w:val="24"/>
        </w:rPr>
        <w:t xml:space="preserve"> Association between muscular strength and mortality in men: prospective cohort study.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337,</w:t>
      </w:r>
      <w:r w:rsidRPr="00B93B95">
        <w:rPr>
          <w:rFonts w:ascii="Cambria" w:hAnsi="Cambria"/>
          <w:noProof/>
          <w:sz w:val="24"/>
        </w:rPr>
        <w:t xml:space="preserve"> a439 (2008).</w:t>
      </w:r>
    </w:p>
    <w:p w14:paraId="422CA8B3" w14:textId="77777777" w:rsidR="00B93B95" w:rsidRDefault="00B93B95">
      <w:pPr>
        <w:pStyle w:val="NormalWeb"/>
        <w:ind w:left="640" w:hanging="640"/>
        <w:divId w:val="2052727067"/>
        <w:rPr>
          <w:rFonts w:ascii="Cambria" w:hAnsi="Cambria"/>
          <w:noProof/>
          <w:sz w:val="24"/>
        </w:rPr>
      </w:pPr>
      <w:r w:rsidRPr="00B93B95">
        <w:rPr>
          <w:rFonts w:ascii="Cambria" w:hAnsi="Cambria"/>
          <w:noProof/>
          <w:sz w:val="24"/>
        </w:rPr>
        <w:t>43.</w:t>
      </w:r>
      <w:r w:rsidRPr="00B93B95">
        <w:rPr>
          <w:rFonts w:ascii="Cambria" w:hAnsi="Cambria"/>
          <w:noProof/>
          <w:sz w:val="24"/>
        </w:rPr>
        <w:tab/>
        <w:t xml:space="preserve">Cooper, R., Kuh, D. &amp; Hardy, R. Objectively measured physical capability levels and mortality: systematic review and meta-analysis.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341,</w:t>
      </w:r>
      <w:r w:rsidRPr="00B93B95">
        <w:rPr>
          <w:rFonts w:ascii="Cambria" w:hAnsi="Cambria"/>
          <w:noProof/>
          <w:sz w:val="24"/>
        </w:rPr>
        <w:t xml:space="preserve"> c4467 (2010). </w:t>
      </w:r>
    </w:p>
    <w:p w14:paraId="596FED48" w14:textId="77777777" w:rsidR="001A6DDD" w:rsidRDefault="001A6DDD">
      <w:pPr>
        <w:pStyle w:val="NormalWeb"/>
        <w:ind w:left="640" w:hanging="640"/>
        <w:divId w:val="2052727067"/>
        <w:rPr>
          <w:rFonts w:ascii="Cambria" w:hAnsi="Cambria"/>
          <w:noProof/>
          <w:sz w:val="24"/>
        </w:rPr>
      </w:pPr>
    </w:p>
    <w:p w14:paraId="2450C33D" w14:textId="77777777" w:rsidR="001A6DDD" w:rsidRDefault="001A6DDD" w:rsidP="001A6DDD">
      <w:pPr>
        <w:pStyle w:val="Heading1"/>
        <w:divId w:val="2052727067"/>
      </w:pPr>
      <w:r>
        <w:t>Author Contributions</w:t>
      </w:r>
    </w:p>
    <w:p w14:paraId="495ECDA8" w14:textId="77777777" w:rsidR="001A6DDD" w:rsidRPr="00966E4D" w:rsidRDefault="001A6DDD" w:rsidP="001A6DDD">
      <w:pPr>
        <w:divId w:val="2052727067"/>
      </w:pPr>
    </w:p>
    <w:p w14:paraId="55047F58" w14:textId="77777777" w:rsidR="001A6DDD" w:rsidRPr="00AC46B0" w:rsidRDefault="001A6DDD" w:rsidP="001A6DDD">
      <w:pPr>
        <w:spacing w:line="480" w:lineRule="auto"/>
        <w:divId w:val="2052727067"/>
      </w:pPr>
      <w:r>
        <w:t>Dave Bridges (DB), Innocence Harvey and Lawrence T. Reiter (LTR) prepared the manuscript.  Innocence Harvey performed the experiments in Figure 1 and analyzed the data. Isabelle Hatfield performed the experiments in Figures 2, 3, 5 and 6 while DB analyzed the data.  LTR performed and analyzed the experiment in Figure 4A, DB performed and analyzed the experiment in Figure 4B.  DB prepared the figures.  DB and Innocence Harvey designed the experiments and interpreted the results in Figure 1.  DB, LTR and Isabelle Hatfield designed and interpreted the results in Figures 2-6. All authors reviewed the manuscript.</w:t>
      </w:r>
    </w:p>
    <w:p w14:paraId="35EEC6E3" w14:textId="77777777" w:rsidR="001A6DDD" w:rsidRPr="00B93B95" w:rsidRDefault="001A6DDD">
      <w:pPr>
        <w:pStyle w:val="NormalWeb"/>
        <w:ind w:left="640" w:hanging="640"/>
        <w:divId w:val="2052727067"/>
        <w:rPr>
          <w:rFonts w:ascii="Cambria" w:hAnsi="Cambria"/>
          <w:noProof/>
          <w:sz w:val="24"/>
        </w:rPr>
      </w:pPr>
    </w:p>
    <w:p w14:paraId="41FF71FC" w14:textId="1BA84D49" w:rsidR="00234C0A" w:rsidRPr="008C6740" w:rsidRDefault="00D07587" w:rsidP="00B93B95">
      <w:pPr>
        <w:pStyle w:val="NormalWeb"/>
        <w:ind w:left="640" w:hanging="640"/>
        <w:divId w:val="984043805"/>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2B6"/>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6960"/>
    <w:rsid w:val="00B3331D"/>
    <w:rsid w:val="00B467DD"/>
    <w:rsid w:val="00B5747D"/>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64034-BF2F-5F48-9C3E-5B6D5D70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22037</Words>
  <Characters>125613</Characters>
  <Application>Microsoft Macintosh Word</Application>
  <DocSecurity>0</DocSecurity>
  <Lines>1046</Lines>
  <Paragraphs>294</Paragraphs>
  <ScaleCrop>false</ScaleCrop>
  <Company>UTHSC</Company>
  <LinksUpToDate>false</LinksUpToDate>
  <CharactersWithSpaces>147356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22</cp:revision>
  <cp:lastPrinted>2014-10-23T19:33:00Z</cp:lastPrinted>
  <dcterms:created xsi:type="dcterms:W3CDTF">2014-10-23T19:27:00Z</dcterms:created>
  <dcterms:modified xsi:type="dcterms:W3CDTF">2014-11-15T18:42:00Z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