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5B9A3B8"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472D992"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bookmarkStart w:id="0" w:name="_GoBack"/>
      <w:bookmarkEnd w:id="0"/>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D78E717"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15AD86DC"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345D744C"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w:t>
      </w:r>
      <w:r w:rsidR="00B24E32">
        <w:rPr>
          <w:noProof/>
        </w:rPr>
        <w:t>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E05CC-AED4-6A46-BEE1-11CB58A2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22117</Words>
  <Characters>126070</Characters>
  <Application>Microsoft Macintosh Word</Application>
  <DocSecurity>0</DocSecurity>
  <Lines>1050</Lines>
  <Paragraphs>295</Paragraphs>
  <ScaleCrop>false</ScaleCrop>
  <Company>UTHSC</Company>
  <LinksUpToDate>false</LinksUpToDate>
  <CharactersWithSpaces>147892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33</cp:revision>
  <cp:lastPrinted>2014-10-23T19:33:00Z</cp:lastPrinted>
  <dcterms:created xsi:type="dcterms:W3CDTF">2014-10-23T19:27:00Z</dcterms:created>
  <dcterms:modified xsi:type="dcterms:W3CDTF">2014-11-23T16:50:00Z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