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proofErr w:type="gramStart"/>
      <w:r>
        <w:t xml:space="preserve">The role of </w:t>
      </w:r>
      <w:r w:rsidR="002E2075">
        <w:t>TORC1 in muscle development in Drosophila</w:t>
      </w:r>
      <w:r w:rsidR="00404E72">
        <w:t>.</w:t>
      </w:r>
      <w:proofErr w:type="gramEnd"/>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A617435"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208057F9" w:rsidR="00DD6A3B" w:rsidRPr="00515535" w:rsidRDefault="00515535" w:rsidP="002E2075">
      <w:pPr>
        <w:spacing w:line="480" w:lineRule="auto"/>
        <w:jc w:val="both"/>
      </w:pPr>
      <w:proofErr w:type="spellStart"/>
      <w:r>
        <w:t>Myogenesis</w:t>
      </w:r>
      <w:proofErr w:type="spellEnd"/>
      <w:r>
        <w:t xml:space="preserve">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404E72">
        <w:t>decreases</w:t>
      </w:r>
      <w:r>
        <w:t xml:space="preserve"> when C2C12 cells are treated with </w:t>
      </w:r>
      <w:proofErr w:type="spellStart"/>
      <w:r>
        <w:t>rapamycin</w:t>
      </w:r>
      <w:proofErr w:type="spellEnd"/>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 xml:space="preserve">too weak to emerge from their </w:t>
      </w:r>
      <w:proofErr w:type="spellStart"/>
      <w:r w:rsidR="009E4939">
        <w:t>pupal</w:t>
      </w:r>
      <w:proofErr w:type="spellEnd"/>
      <w:r w:rsidR="009E4939">
        <w:t xml:space="preserve"> cases during </w:t>
      </w:r>
      <w:proofErr w:type="spellStart"/>
      <w:r w:rsidR="009E4939">
        <w:t>eclosion</w:t>
      </w:r>
      <w:proofErr w:type="spellEnd"/>
      <w:r>
        <w:t xml:space="preserve">.  Furthermore, we </w:t>
      </w:r>
      <w:r w:rsidR="00F9363C">
        <w:t xml:space="preserve">found </w:t>
      </w:r>
      <w:r>
        <w:t>that there is a critical</w:t>
      </w:r>
      <w:r w:rsidR="00F9363C">
        <w:t xml:space="preserve"> period</w:t>
      </w:r>
      <w:r>
        <w:t xml:space="preserve"> post-</w:t>
      </w:r>
      <w:proofErr w:type="spellStart"/>
      <w:r>
        <w:t>eclosure</w:t>
      </w:r>
      <w:proofErr w:type="spellEnd"/>
      <w:r>
        <w:t xml:space="preserv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 xml:space="preserve">in </w:t>
      </w:r>
      <w:r w:rsidR="00537C7B">
        <w:t xml:space="preserve">late </w:t>
      </w:r>
      <w:r w:rsidR="006F267C">
        <w:t>muscle development</w:t>
      </w:r>
      <w:r w:rsidR="00537C7B">
        <w:t>, integrity or</w:t>
      </w:r>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015BF5D4" w:rsidR="006A4D21" w:rsidRDefault="00C665D7" w:rsidP="002E2075">
      <w:pPr>
        <w:spacing w:line="480" w:lineRule="auto"/>
        <w:jc w:val="both"/>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6921CD">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6921CD">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6921C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w:t>
      </w:r>
      <w:r w:rsidR="00796539">
        <w:t>lethality</w:t>
      </w:r>
      <w:r w:rsidR="004B5387">
        <w:t xml:space="preserve"> in mice</w:t>
      </w:r>
      <w:r w:rsidR="004B5387">
        <w:fldChar w:fldCharType="begin" w:fldLock="1"/>
      </w:r>
      <w:r w:rsidR="006921CD">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736F1891" w:rsidR="006A4D21" w:rsidRPr="00335C71" w:rsidRDefault="006A4D21" w:rsidP="002E2075">
      <w:pPr>
        <w:spacing w:line="480" w:lineRule="auto"/>
        <w:jc w:val="both"/>
      </w:pPr>
      <w:proofErr w:type="spellStart"/>
      <w:r>
        <w:t>Myogenesis</w:t>
      </w:r>
      <w:proofErr w:type="spellEnd"/>
      <w:r w:rsidR="005D5E1F">
        <w:t xml:space="preserve"> occurs </w:t>
      </w:r>
      <w:r w:rsidR="00B5747D">
        <w:t>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w:t>
      </w:r>
      <w:r w:rsidR="00335C71">
        <w:fldChar w:fldCharType="begin" w:fldLock="1"/>
      </w:r>
      <w:r w:rsidR="00A313FA">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"\n        From Duplicate 1 ( \n        \n          Mammalian target of rapamycin (mTOR) signaling network in skeletal myogenesis.\n        \n         - Ge, Yejing; Chen, Jie )\n\n        \n        \n\n        From Duplicate 1 ( \n        \n        \n          Mammalian target of rapamycin (mTOR) signaling network in skeletal myogenesis.\n        \n        \n         - Ge, Yejing; Chen, Jie )\n\n        \n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 xml:space="preserve">Tissue Culture and </w:t>
      </w:r>
      <w:proofErr w:type="spellStart"/>
      <w:r>
        <w:t>Myotube</w:t>
      </w:r>
      <w:proofErr w:type="spellEnd"/>
      <w:r>
        <w:t xml:space="preserv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6921CD">
        <w:t xml:space="preserve">, one </w:t>
      </w:r>
      <w:proofErr w:type="gramStart"/>
      <w:r w:rsidR="006921CD">
        <w:t>days</w:t>
      </w:r>
      <w:proofErr w:type="gramEnd"/>
      <w:r w:rsidR="006921CD">
        <w:t xml:space="preserve"> after the latest </w:t>
      </w:r>
      <w:proofErr w:type="spellStart"/>
      <w:r w:rsidR="006921CD">
        <w:t>rapamycin</w:t>
      </w:r>
      <w:proofErr w:type="spellEnd"/>
      <w:r w:rsidR="006921CD">
        <w:t xml:space="preserve"> administration</w:t>
      </w:r>
      <w:r w:rsidRPr="00852708">
        <w: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Default="00E56C2A" w:rsidP="002E2075">
      <w:pPr>
        <w:spacing w:line="480" w:lineRule="auto"/>
        <w:jc w:val="both"/>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E56C2A">
        <w:rPr>
          <w:i/>
        </w:rPr>
        <w:t>Power</w:t>
      </w:r>
      <w:r w:rsidRPr="00E56C2A">
        <w:t xml:space="preserve"> 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t>
      </w:r>
      <w:r w:rsidR="00441811">
        <w:t xml:space="preserve">did </w:t>
      </w:r>
      <w:r w:rsidR="00895AB1">
        <w:t xml:space="preserve">not change across </w:t>
      </w:r>
      <w:proofErr w:type="spellStart"/>
      <w:r w:rsidR="00895AB1">
        <w:t>rapamycin</w:t>
      </w:r>
      <w:proofErr w:type="spellEnd"/>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780214F5" w14:textId="07CB9F03" w:rsidR="002759D1" w:rsidRDefault="002759D1" w:rsidP="002759D1">
      <w:pPr>
        <w:pStyle w:val="Heading2"/>
      </w:pPr>
      <w:r>
        <w:t>Protein Analysis</w:t>
      </w:r>
    </w:p>
    <w:p w14:paraId="5C83BDBE" w14:textId="7455AAC3" w:rsidR="009F743D" w:rsidRPr="009F743D" w:rsidRDefault="009F743D" w:rsidP="009F743D">
      <w:pPr>
        <w:spacing w:line="480" w:lineRule="auto"/>
        <w:jc w:val="both"/>
      </w:pPr>
      <w:r>
        <w:t xml:space="preserve">Cells were treated as indicated in the figure legend and then were lysed in RIPA buffer (50 </w:t>
      </w:r>
      <w:proofErr w:type="spellStart"/>
      <w:r>
        <w:t>mM</w:t>
      </w:r>
      <w:proofErr w:type="spellEnd"/>
      <w:r>
        <w:t xml:space="preserve"> </w:t>
      </w:r>
      <w:proofErr w:type="spellStart"/>
      <w:r>
        <w:t>Tris</w:t>
      </w:r>
      <w:proofErr w:type="spellEnd"/>
      <w:r>
        <w:t xml:space="preserve">, pH 7.4, 0.25% sodium </w:t>
      </w:r>
      <w:proofErr w:type="spellStart"/>
      <w:r>
        <w:t>deoxycholate</w:t>
      </w:r>
      <w:proofErr w:type="spellEnd"/>
      <w:r>
        <w:t xml:space="preserve">, 1% NP40, 150 </w:t>
      </w:r>
      <w:proofErr w:type="spellStart"/>
      <w:r>
        <w:t>mM</w:t>
      </w:r>
      <w:proofErr w:type="spellEnd"/>
      <w:r>
        <w:t xml:space="preserve"> sodium chloride, 1 </w:t>
      </w:r>
      <w:proofErr w:type="spellStart"/>
      <w:r>
        <w:t>mM</w:t>
      </w:r>
      <w:proofErr w:type="spellEnd"/>
      <w:r>
        <w:t xml:space="preserve"> EDTA, 100 </w:t>
      </w:r>
      <w:proofErr w:type="spellStart"/>
      <w:r>
        <w:t>uM</w:t>
      </w:r>
      <w:proofErr w:type="spellEnd"/>
      <w:r>
        <w:t xml:space="preserve"> sodium </w:t>
      </w:r>
      <w:proofErr w:type="spellStart"/>
      <w:r>
        <w:t>orthovanadate</w:t>
      </w:r>
      <w:proofErr w:type="spellEnd"/>
      <w:r>
        <w:t xml:space="preserve">, 5 </w:t>
      </w:r>
      <w:proofErr w:type="spellStart"/>
      <w:r>
        <w:t>mM</w:t>
      </w:r>
      <w:proofErr w:type="spellEnd"/>
      <w:r>
        <w:t xml:space="preserve"> sodium fluoride and 10 </w:t>
      </w:r>
      <w:proofErr w:type="spellStart"/>
      <w:r>
        <w:t>mM</w:t>
      </w:r>
      <w:proofErr w:type="spellEnd"/>
      <w:r>
        <w:t xml:space="preserve"> sodium pyrophosphate) for 15 minutes on ice, then centrifuged for 15 minutes at 13 000 RPM at 4C.  Clarified lysates were loaded on SDS-PAGE gels, transferred and blotted using antibodies raised </w:t>
      </w:r>
      <w:proofErr w:type="gramStart"/>
      <w:r>
        <w:t xml:space="preserve">against  </w:t>
      </w:r>
      <w:proofErr w:type="spellStart"/>
      <w:r>
        <w:t>MyoD</w:t>
      </w:r>
      <w:proofErr w:type="spellEnd"/>
      <w:proofErr w:type="gramEnd"/>
      <w:r>
        <w:t xml:space="preserve"> (Pierce, cat # </w:t>
      </w:r>
      <w:r w:rsidRPr="009F743D">
        <w:t>MA1-41017</w:t>
      </w:r>
      <w:r>
        <w:t xml:space="preserve">), pS6 (Serine 235/236, Cell Signaling cat # 2211), S6 (Cell Signaling cat # 2317), </w:t>
      </w:r>
      <w:proofErr w:type="spellStart"/>
      <w:r>
        <w:t>pAkt</w:t>
      </w:r>
      <w:proofErr w:type="spellEnd"/>
      <w:r>
        <w:t xml:space="preserve"> (Serine 473, Cell Signaling cat # </w:t>
      </w:r>
      <w:r w:rsidR="008A7FA9">
        <w:t xml:space="preserve">3787), </w:t>
      </w:r>
      <w:proofErr w:type="spellStart"/>
      <w:r w:rsidR="008A7FA9">
        <w:t>Akt</w:t>
      </w:r>
      <w:proofErr w:type="spellEnd"/>
      <w:r w:rsidR="008A7FA9">
        <w:t xml:space="preserve"> (Cell Signaling cat #2920).  </w:t>
      </w:r>
      <w:proofErr w:type="gramStart"/>
      <w:r w:rsidR="008A7FA9">
        <w:t>Antibody complexes were detected by anti-mouse</w:t>
      </w:r>
      <w:proofErr w:type="gramEnd"/>
      <w:r w:rsidR="008A7FA9">
        <w:t xml:space="preserve"> and anti-rabbit fluorescent conjugated antibodies and visualized using an Odyssey image scanner and blots were quantified using the Odyssey software version 2.1 (LiCOR)</w:t>
      </w:r>
      <w:bookmarkStart w:id="0" w:name="_GoBack"/>
      <w:bookmarkEnd w:id="0"/>
      <w:r w:rsidR="008A7FA9">
        <w:t>.</w:t>
      </w:r>
    </w:p>
    <w:p w14:paraId="45130F0B" w14:textId="77777777" w:rsidR="009F743D" w:rsidRPr="009F743D" w:rsidRDefault="009F743D" w:rsidP="009F743D">
      <w:pPr>
        <w:spacing w:line="480" w:lineRule="auto"/>
        <w:jc w:val="both"/>
      </w:pPr>
    </w:p>
    <w:p w14:paraId="02EAE123" w14:textId="12C64B8F" w:rsidR="002759D1" w:rsidRPr="00061E90" w:rsidRDefault="002759D1" w:rsidP="002E2075">
      <w:pPr>
        <w:spacing w:line="480" w:lineRule="auto"/>
        <w:jc w:val="both"/>
      </w:pP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4DF7F75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601BB">
        <w:t>Hand</w:t>
      </w:r>
      <w:r w:rsidR="00B601BB">
        <w:t xml:space="preserve">-GAL4, </w:t>
      </w:r>
      <w:r w:rsidRPr="00B601BB">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w:t>
      </w:r>
      <w:proofErr w:type="spellStart"/>
      <w:r>
        <w:t>shRNA</w:t>
      </w:r>
      <w:proofErr w:type="spellEnd"/>
      <w:r>
        <w:t xml:space="preserve"> </w:t>
      </w:r>
      <w:proofErr w:type="spellStart"/>
      <w:r>
        <w:t>TRiP</w:t>
      </w:r>
      <w:proofErr w:type="spellEnd"/>
      <w:r>
        <w:t xml:space="preserve">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 xml:space="preserve">Manual Assistance of </w:t>
      </w:r>
      <w:proofErr w:type="spellStart"/>
      <w:r>
        <w:t>Eclosure</w:t>
      </w:r>
      <w:proofErr w:type="spellEnd"/>
    </w:p>
    <w:p w14:paraId="4FFE9568" w14:textId="69751E0E" w:rsidR="001155A3" w:rsidRPr="001155A3" w:rsidRDefault="00E3624C" w:rsidP="00963A23">
      <w:pPr>
        <w:spacing w:line="480" w:lineRule="auto"/>
      </w:pPr>
      <w:r>
        <w:t xml:space="preserve">In order to </w:t>
      </w:r>
      <w:r w:rsidR="00E60C97">
        <w:t xml:space="preserve">determine if flies were dying because they were too weak to </w:t>
      </w:r>
      <w:proofErr w:type="spellStart"/>
      <w:r w:rsidR="00E60C97">
        <w:t>eclose</w:t>
      </w:r>
      <w:proofErr w:type="spellEnd"/>
      <w:r w:rsidR="00E60C97">
        <w:t xml:space="preserve"> from their </w:t>
      </w:r>
      <w:proofErr w:type="spellStart"/>
      <w:r w:rsidR="00E60C97">
        <w:t>pupal</w:t>
      </w:r>
      <w:proofErr w:type="spellEnd"/>
      <w:r w:rsidR="00E60C97">
        <w:t xml:space="preserve"> cases or dead in their </w:t>
      </w:r>
      <w:proofErr w:type="spellStart"/>
      <w:r w:rsidR="00E60C97">
        <w:t>pupal</w:t>
      </w:r>
      <w:proofErr w:type="spellEnd"/>
      <w:r w:rsidR="00E60C97">
        <w:t xml:space="preserve"> cases for other reasons we manually removed the anterior </w:t>
      </w:r>
      <w:proofErr w:type="spellStart"/>
      <w:r w:rsidR="00E60C97">
        <w:t>puparial</w:t>
      </w:r>
      <w:proofErr w:type="spellEnd"/>
      <w:r w:rsidR="00E60C97">
        <w:t xml:space="preserve"> operculum </w:t>
      </w:r>
      <w:r w:rsidR="00495F9F">
        <w:t xml:space="preserve">under a dissecting microscope using fine forceps </w:t>
      </w:r>
      <w:r w:rsidR="00E60C97">
        <w:t xml:space="preserve">from stage ~12-13 pupae that were fully formed, but had not yet </w:t>
      </w:r>
      <w:proofErr w:type="spellStart"/>
      <w:r w:rsidR="00E60C97">
        <w:t>eclosed</w:t>
      </w:r>
      <w:proofErr w:type="spellEnd"/>
      <w:r w:rsidR="00E60C97">
        <w:t xml:space="preserve">.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w:t>
      </w:r>
      <w:proofErr w:type="spellStart"/>
      <w:r w:rsidR="0041214D">
        <w:t>pupal</w:t>
      </w:r>
      <w:proofErr w:type="spellEnd"/>
      <w:r w:rsidR="0041214D">
        <w:t xml:space="preserve">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41214D" w:rsidRPr="00B601BB">
        <w:rPr>
          <w:i/>
        </w:rPr>
        <w:t>mef2</w:t>
      </w:r>
      <w:r w:rsidR="0041214D" w:rsidRPr="004319B7">
        <w:t>-GAL4&gt;UAS-</w:t>
      </w:r>
      <w:r w:rsidR="0041214D" w:rsidRPr="00B601BB">
        <w:rPr>
          <w:i/>
        </w:rPr>
        <w:t>Raptor</w:t>
      </w:r>
      <w:r w:rsidR="0041214D" w:rsidRPr="004319B7">
        <w:t>-</w:t>
      </w:r>
      <w:proofErr w:type="spellStart"/>
      <w:r w:rsidR="0041214D" w:rsidRPr="004319B7">
        <w:t>shRNA</w:t>
      </w:r>
      <w:proofErr w:type="spellEnd"/>
      <w:r w:rsidR="0041214D">
        <w:t xml:space="preserve"> adults </w:t>
      </w:r>
      <w:r w:rsidR="00E1521E">
        <w:t>that</w:t>
      </w:r>
      <w:r w:rsidR="0041214D">
        <w:t xml:space="preserve"> were too weak to </w:t>
      </w:r>
      <w:r w:rsidR="00E1521E">
        <w:t xml:space="preserve">begin to </w:t>
      </w:r>
      <w:proofErr w:type="spellStart"/>
      <w:r w:rsidR="0041214D">
        <w:t>eclose</w:t>
      </w:r>
      <w:proofErr w:type="spellEnd"/>
      <w:r w:rsidR="0041214D">
        <w:t xml:space="preserv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04611A9D"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313F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t>
      </w:r>
      <w:proofErr w:type="spellStart"/>
      <w:r w:rsidR="00F3104E">
        <w:t>Wilk</w:t>
      </w:r>
      <w:proofErr w:type="spellEnd"/>
      <w:r w:rsidR="00F3104E">
        <w:t xml:space="preserve"> test</w:t>
      </w:r>
      <w:r w:rsidR="001155A3">
        <w:t>s</w:t>
      </w:r>
      <w:r w:rsidR="00F3104E">
        <w:t xml:space="preserve"> and equal variance was tested using </w:t>
      </w:r>
      <w:proofErr w:type="spellStart"/>
      <w:r w:rsidR="00F3104E">
        <w:t>Levene’s</w:t>
      </w:r>
      <w:proofErr w:type="spellEnd"/>
      <w:r w:rsidR="00F3104E">
        <w:t xml:space="preserve">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w:t>
      </w:r>
      <w:proofErr w:type="spellStart"/>
      <w:r w:rsidR="004A69CC">
        <w:t>Kruskal</w:t>
      </w:r>
      <w:proofErr w:type="spellEnd"/>
      <w:r w:rsidR="004A69CC">
        <w:t xml:space="preserve">-Wallis test was performed.  If either of those omnibus tests reached significance, then Student’s </w:t>
      </w:r>
      <w:r w:rsidR="00E9011E" w:rsidRPr="001155A3">
        <w:rPr>
          <w:i/>
        </w:rPr>
        <w:t>t</w:t>
      </w:r>
      <w:r w:rsidR="004A69CC">
        <w:t>-</w:t>
      </w:r>
      <w:r w:rsidR="00E9011E">
        <w:t xml:space="preserve">tests </w:t>
      </w:r>
      <w:r w:rsidR="004A69CC">
        <w:t xml:space="preserve">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w:t>
      </w:r>
      <w:proofErr w:type="spellStart"/>
      <w:r w:rsidR="0055797D">
        <w:t>barplots</w:t>
      </w:r>
      <w:proofErr w:type="spellEnd"/>
      <w:r w:rsidR="0055797D">
        <w:t xml:space="preserve">,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A313FA">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proofErr w:type="spellStart"/>
      <w:r>
        <w:t>Rapamycin</w:t>
      </w:r>
      <w:proofErr w:type="spellEnd"/>
      <w:r>
        <w:t xml:space="preserve"> Inhibits Differentiation of Muscle Cells in Culture</w:t>
      </w:r>
    </w:p>
    <w:p w14:paraId="4CEA9500" w14:textId="78FBA576" w:rsidR="00E56C2A" w:rsidRPr="00E56C2A" w:rsidRDefault="00581BE2" w:rsidP="00963A23">
      <w:pPr>
        <w:spacing w:line="480" w:lineRule="auto"/>
        <w:jc w:val="both"/>
      </w:pPr>
      <w:r>
        <w:t>To determine the order in which myogenic markers are induced</w:t>
      </w:r>
      <w:r w:rsidR="00FB74D5">
        <w:t xml:space="preserve"> during </w:t>
      </w:r>
      <w:proofErr w:type="spellStart"/>
      <w:r w:rsidR="00FB74D5">
        <w:t>myogenesis</w:t>
      </w:r>
      <w:proofErr w:type="spellEnd"/>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proofErr w:type="spellStart"/>
      <w:r w:rsidR="00C8511F" w:rsidRPr="00E56C2A">
        <w:t>q</w:t>
      </w:r>
      <w:r w:rsidR="00E56C2A" w:rsidRPr="00E56C2A">
        <w:t>RT</w:t>
      </w:r>
      <w:proofErr w:type="spellEnd"/>
      <w:r w:rsidR="00E56C2A" w:rsidRPr="00E56C2A">
        <w:t xml:space="preserve">-PCR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A313FA">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r w:rsidR="006921CD" w:rsidRPr="006921CD">
        <w:rPr>
          <w:noProof/>
          <w:vertAlign w:val="superscript"/>
        </w:rPr>
        <w:t>29</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79F31CE8" w14:textId="0BB73F66" w:rsidR="004D266E" w:rsidRDefault="00E56C2A" w:rsidP="00963A23">
      <w:pPr>
        <w:spacing w:line="480" w:lineRule="auto"/>
        <w:jc w:val="both"/>
      </w:pPr>
      <w:r w:rsidRPr="00E56C2A">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w:t>
      </w:r>
      <w:proofErr w:type="spellStart"/>
      <w:r w:rsidRPr="00E56C2A">
        <w:t>rapamycin</w:t>
      </w:r>
      <w:proofErr w:type="spellEnd"/>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1B)</w:t>
      </w:r>
      <w:r w:rsidR="00566E54">
        <w:t>,</w:t>
      </w:r>
      <w:r w:rsidRPr="00E56C2A">
        <w:t xml:space="preserve"> and prevented the formation of </w:t>
      </w:r>
      <w:proofErr w:type="spellStart"/>
      <w:r w:rsidRPr="00E56C2A">
        <w:t>myotubes</w:t>
      </w:r>
      <w:proofErr w:type="spellEnd"/>
      <w:r w:rsidRPr="00E56C2A">
        <w:t xml:space="preserve"> (Figure 1C). </w:t>
      </w:r>
      <w:r w:rsidR="008C7002">
        <w:t xml:space="preserve">  We did not observe any </w:t>
      </w:r>
      <w:r w:rsidR="00A313FA">
        <w:t xml:space="preserve">fused </w:t>
      </w:r>
      <w:proofErr w:type="spellStart"/>
      <w:r w:rsidR="00A313FA">
        <w:t>myocytes</w:t>
      </w:r>
      <w:proofErr w:type="spellEnd"/>
      <w:r w:rsidR="00A313FA">
        <w:t xml:space="preserve"> in the </w:t>
      </w:r>
      <w:proofErr w:type="spellStart"/>
      <w:r w:rsidR="00A313FA">
        <w:t>rapamycin</w:t>
      </w:r>
      <w:proofErr w:type="spellEnd"/>
      <w:r w:rsidR="00A313FA">
        <w:t xml:space="preserve"> treated cells, suggesting that the earliest </w:t>
      </w:r>
      <w:proofErr w:type="spellStart"/>
      <w:r w:rsidR="00A313FA">
        <w:t>rapamycin</w:t>
      </w:r>
      <w:proofErr w:type="spellEnd"/>
      <w:r w:rsidR="00A313FA">
        <w:t xml:space="preserve">-sensitive event is prior to </w:t>
      </w:r>
      <w:proofErr w:type="spellStart"/>
      <w:r w:rsidR="00A313FA">
        <w:t>myocyte</w:t>
      </w:r>
      <w:proofErr w:type="spellEnd"/>
      <w:r w:rsidR="00A313FA">
        <w:t xml:space="preserve"> fusion, which results in impaired </w:t>
      </w:r>
      <w:proofErr w:type="spellStart"/>
      <w:r w:rsidR="00A313FA">
        <w:t>myotubule</w:t>
      </w:r>
      <w:proofErr w:type="spellEnd"/>
      <w:r w:rsidR="00A313FA">
        <w:t xml:space="preserve"> formation.  This is consistent with previous studies examining the effects of </w:t>
      </w:r>
      <w:proofErr w:type="spellStart"/>
      <w:r w:rsidR="00A313FA">
        <w:t>rapamycin</w:t>
      </w:r>
      <w:proofErr w:type="spellEnd"/>
      <w:r w:rsidR="00A313FA">
        <w:t xml:space="preserve"> on myoblast differentiation</w:t>
      </w:r>
      <w:r w:rsidR="00A313FA">
        <w:fldChar w:fldCharType="begin" w:fldLock="1"/>
      </w:r>
      <w:r w:rsidR="00E77680">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"&lt;sup&gt;9,11,30\u201332&lt;/sup&gt;", "plainTextFormattedCitation" : "9,11,30\u201332", "previouslyFormattedCitation" : "&lt;sup&gt;11,30,31,9&lt;/sup&gt;" }, "properties" : { "noteIndex" : 0 }, "schema" : "https://github.com/citation-style-language/schema/raw/master/csl-citation.json" }</w:instrText>
      </w:r>
      <w:r w:rsidR="00A313FA">
        <w:fldChar w:fldCharType="separate"/>
      </w:r>
      <w:r w:rsidR="00E77680" w:rsidRPr="00E77680">
        <w:rPr>
          <w:noProof/>
          <w:vertAlign w:val="superscript"/>
        </w:rPr>
        <w:t>9,11,30–32</w:t>
      </w:r>
      <w:r w:rsidR="00A313FA">
        <w:fldChar w:fldCharType="end"/>
      </w:r>
      <w:r w:rsidR="008C7002">
        <w:t>.</w:t>
      </w:r>
    </w:p>
    <w:p w14:paraId="32D68E85" w14:textId="77777777" w:rsidR="004D266E" w:rsidRDefault="004D266E" w:rsidP="00963A23">
      <w:pPr>
        <w:spacing w:line="480" w:lineRule="auto"/>
        <w:jc w:val="both"/>
      </w:pPr>
    </w:p>
    <w:p w14:paraId="6BF140A1" w14:textId="37D864D6" w:rsidR="004D266E" w:rsidRDefault="004D266E" w:rsidP="00963A23">
      <w:pPr>
        <w:spacing w:line="480" w:lineRule="auto"/>
        <w:jc w:val="both"/>
      </w:pPr>
      <w:r>
        <w:t xml:space="preserve">Since </w:t>
      </w:r>
      <w:proofErr w:type="spellStart"/>
      <w:r w:rsidR="006A5842">
        <w:t>rapamycin</w:t>
      </w:r>
      <w:proofErr w:type="spellEnd"/>
      <w:r w:rsidR="006A5842">
        <w:t xml:space="preserve">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297FB0">
        <w:fldChar w:fldCharType="separate"/>
      </w:r>
      <w:r w:rsidR="006921CD" w:rsidRPr="006921CD">
        <w:rPr>
          <w:noProof/>
          <w:vertAlign w:val="superscript"/>
        </w:rPr>
        <w:t>21</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proofErr w:type="spellStart"/>
      <w:r w:rsidRPr="00E56C2A">
        <w:rPr>
          <w:i/>
        </w:rPr>
        <w:t>Myog</w:t>
      </w:r>
      <w:proofErr w:type="spellEnd"/>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w:t>
      </w:r>
      <w:proofErr w:type="spellStart"/>
      <w:r w:rsidR="006A5842">
        <w:t>rapamycin</w:t>
      </w:r>
      <w:proofErr w:type="spellEnd"/>
      <w:r w:rsidR="006A5842">
        <w:t xml:space="preserve">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proofErr w:type="spellStart"/>
      <w:r>
        <w:rPr>
          <w:i/>
        </w:rPr>
        <w:t>Myog</w:t>
      </w:r>
      <w:proofErr w:type="spellEnd"/>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E77680">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"&lt;sup&gt;33&lt;/sup&gt;", "plainTextFormattedCitation" : "33", "previouslyFormattedCitation" : "&lt;sup&gt;32&lt;/sup&gt;" }, "properties" : { "noteIndex" : 0 }, "schema" : "https://github.com/citation-style-language/schema/raw/master/csl-citation.json" }</w:instrText>
      </w:r>
      <w:r>
        <w:fldChar w:fldCharType="separate"/>
      </w:r>
      <w:r w:rsidR="00E77680" w:rsidRPr="00E77680">
        <w:rPr>
          <w:noProof/>
          <w:vertAlign w:val="superscript"/>
        </w:rPr>
        <w:t>33</w:t>
      </w:r>
      <w:r>
        <w:fldChar w:fldCharType="end"/>
      </w:r>
      <w:r w:rsidR="0078613C">
        <w:t xml:space="preserve">. </w:t>
      </w:r>
      <w:r w:rsidR="009F7B4A">
        <w:t xml:space="preserve">  We therefore predicted that mTORC1, required for </w:t>
      </w:r>
      <w:proofErr w:type="spellStart"/>
      <w:r w:rsidR="009F7B4A">
        <w:t>MyoD</w:t>
      </w:r>
      <w:proofErr w:type="spellEnd"/>
      <w:r w:rsidR="009F7B4A">
        <w:t xml:space="preserve"> stabilization, may play a critical role in muscle development and should be tested in a live organism undergoing </w:t>
      </w:r>
      <w:proofErr w:type="spellStart"/>
      <w:r w:rsidR="009F7B4A">
        <w:t>myogenesis</w:t>
      </w:r>
      <w:proofErr w:type="spellEnd"/>
      <w:r w:rsidR="009F7B4A">
        <w:t>.</w:t>
      </w:r>
    </w:p>
    <w:p w14:paraId="171217D9" w14:textId="77777777" w:rsidR="004D266E" w:rsidRDefault="004D266E" w:rsidP="00963A23">
      <w:pPr>
        <w:spacing w:line="480" w:lineRule="auto"/>
        <w:jc w:val="both"/>
      </w:pPr>
    </w:p>
    <w:p w14:paraId="0CB9B4B0" w14:textId="1A7ABCED" w:rsidR="00852708" w:rsidRPr="00335C71" w:rsidRDefault="00E56C2A" w:rsidP="00963A23">
      <w:pPr>
        <w:spacing w:line="48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w:t>
      </w:r>
      <w:proofErr w:type="spellStart"/>
      <w:r w:rsidR="00AA5186">
        <w:t>myotubes</w:t>
      </w:r>
      <w:proofErr w:type="spellEnd"/>
      <w:r w:rsidR="00852708">
        <w:t xml:space="preserve">.  </w:t>
      </w:r>
      <w:r w:rsidRPr="00E56C2A">
        <w:t xml:space="preserve">Additionally, these data indicate </w:t>
      </w:r>
      <w:r w:rsidR="00852708">
        <w:t xml:space="preserve">that </w:t>
      </w:r>
      <w:proofErr w:type="spellStart"/>
      <w:r w:rsidRPr="00E56C2A">
        <w:rPr>
          <w:i/>
        </w:rPr>
        <w:t>Myog</w:t>
      </w:r>
      <w:proofErr w:type="spellEnd"/>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 xml:space="preserve">all require mTORC1 function for their transcriptional activation during </w:t>
      </w:r>
      <w:proofErr w:type="spellStart"/>
      <w:r w:rsidR="006552AD">
        <w:t>myogenesis</w:t>
      </w:r>
      <w:proofErr w:type="spellEnd"/>
      <w:r w:rsidR="006552AD">
        <w:t>.</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miRNA-1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w:t>
      </w:r>
      <w:proofErr w:type="spellStart"/>
      <w:r w:rsidR="00974669">
        <w:t>Pupal</w:t>
      </w:r>
      <w:proofErr w:type="spellEnd"/>
      <w:r w:rsidR="00974669">
        <w:t xml:space="preserve"> </w:t>
      </w:r>
      <w:r>
        <w:t>Lethality in Drosophila</w:t>
      </w:r>
    </w:p>
    <w:p w14:paraId="2465595E" w14:textId="17D9507D"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w:t>
      </w:r>
      <w:proofErr w:type="spellStart"/>
      <w:r w:rsidR="00A27620">
        <w:t>nM</w:t>
      </w:r>
      <w:proofErr w:type="spellEnd"/>
      <w:r w:rsidR="00A27620">
        <w:t>),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 xml:space="preserve">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DE4D42">
        <w:t xml:space="preserve">, </w:t>
      </w:r>
      <w:proofErr w:type="spellStart"/>
      <w:r w:rsidR="00DE4D42">
        <w:t>ie</w:t>
      </w:r>
      <w:proofErr w:type="spellEnd"/>
      <w:r w:rsidR="00DE4D42">
        <w:t xml:space="preserve"> there was no observable dose in which pupae survived but flies were unable </w:t>
      </w:r>
      <w:proofErr w:type="spellStart"/>
      <w:r w:rsidR="00DE4D42">
        <w:t>eclose</w:t>
      </w:r>
      <w:proofErr w:type="spellEnd"/>
      <w:r w:rsidR="007D3910">
        <w:t>.</w:t>
      </w:r>
      <w:r w:rsidR="00340AA3">
        <w:t xml:space="preserve">  These data suggest that </w:t>
      </w:r>
      <w:proofErr w:type="spellStart"/>
      <w:r w:rsidR="009111E3">
        <w:t>rapamycin</w:t>
      </w:r>
      <w:proofErr w:type="spellEnd"/>
      <w:r w:rsidR="00340AA3">
        <w:t xml:space="preserve"> inhibits fly </w:t>
      </w:r>
      <w:r w:rsidR="00C570D3">
        <w:t xml:space="preserve">muscle </w:t>
      </w:r>
      <w:r w:rsidR="00340AA3">
        <w:t>development, similar to what has been observed in mice</w:t>
      </w:r>
      <w:r w:rsidR="009111E3">
        <w:fldChar w:fldCharType="begin" w:fldLock="1"/>
      </w:r>
      <w:r w:rsidR="006921CD">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E77680">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"&lt;sup&gt;13\u201315,34&lt;/sup&gt;", "plainTextFormattedCitation" : "13\u201315,34", "previouslyFormattedCitation" : "&lt;sup&gt;13\u201315,33&lt;/sup&gt;" }, "properties" : { "noteIndex" : 0 }, "schema" : "https://github.com/citation-style-language/schema/raw/master/csl-citation.json" }</w:instrText>
      </w:r>
      <w:r w:rsidR="00E20164">
        <w:fldChar w:fldCharType="separate"/>
      </w:r>
      <w:r w:rsidR="00E77680" w:rsidRPr="00E77680">
        <w:rPr>
          <w:noProof/>
          <w:vertAlign w:val="superscript"/>
        </w:rPr>
        <w:t>13–15,34</w:t>
      </w:r>
      <w:r w:rsidR="00E20164">
        <w:fldChar w:fldCharType="end"/>
      </w:r>
      <w:r w:rsidR="00340AA3">
        <w:t>.</w:t>
      </w:r>
    </w:p>
    <w:p w14:paraId="3BD273BB" w14:textId="77777777" w:rsidR="00B20189" w:rsidRDefault="00B20189" w:rsidP="00963A23">
      <w:pPr>
        <w:spacing w:line="480" w:lineRule="auto"/>
        <w:jc w:val="both"/>
      </w:pPr>
    </w:p>
    <w:p w14:paraId="0690C456" w14:textId="0885CF28"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E77680">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"&lt;sup&gt;34&lt;/sup&gt;" }, "properties" : { "noteIndex" : 0 }, "schema" : "https://github.com/citation-style-language/schema/raw/master/csl-citation.json" }</w:instrText>
      </w:r>
      <w:r w:rsidR="00F0001B">
        <w:fldChar w:fldCharType="separate"/>
      </w:r>
      <w:r w:rsidR="00E77680" w:rsidRPr="00E77680">
        <w:rPr>
          <w:noProof/>
          <w:vertAlign w:val="superscript"/>
        </w:rPr>
        <w:t>35</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166782">
        <w:t xml:space="preserve"> were used from the Harvard </w:t>
      </w:r>
      <w:proofErr w:type="spellStart"/>
      <w:r w:rsidR="00166782">
        <w:t>shRNA</w:t>
      </w:r>
      <w:proofErr w:type="spellEnd"/>
      <w:r w:rsidR="00166782">
        <w:t xml:space="preserve"> </w:t>
      </w:r>
      <w:proofErr w:type="spellStart"/>
      <w:r w:rsidR="00166782">
        <w:t>TRiP</w:t>
      </w:r>
      <w:proofErr w:type="spellEnd"/>
      <w:r w:rsidR="00166782">
        <w:t xml:space="preserve">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37674AAC"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proofErr w:type="spellStart"/>
      <w:r w:rsidR="0005343F" w:rsidRPr="002E2075">
        <w:rPr>
          <w:i/>
        </w:rPr>
        <w:t>S</w:t>
      </w:r>
      <w:r w:rsidR="00B84625" w:rsidRPr="002E2075">
        <w:rPr>
          <w:i/>
        </w:rPr>
        <w:t>b</w:t>
      </w:r>
      <w:proofErr w:type="spellEnd"/>
      <w:r>
        <w:t xml:space="preserve"> flies with heterozygous, balanced </w:t>
      </w:r>
      <w:r w:rsidR="003C09B8">
        <w:t>UAS-</w:t>
      </w:r>
      <w:proofErr w:type="spellStart"/>
      <w:r>
        <w:t>shRNA</w:t>
      </w:r>
      <w:proofErr w:type="spellEnd"/>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4039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the</w:t>
      </w:r>
      <w:r w:rsidR="00F4039D">
        <w:t xml:space="preserve">re was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proofErr w:type="spellStart"/>
      <w:r w:rsidR="00695686">
        <w:t>shRNA</w:t>
      </w:r>
      <w:proofErr w:type="spellEnd"/>
      <w:r w:rsidR="00695686">
        <w:t>/</w:t>
      </w:r>
      <w:r w:rsidR="007237A6">
        <w:t>TM6</w:t>
      </w:r>
      <w:r w:rsidR="00B84625">
        <w:t>B</w:t>
      </w:r>
      <w:r w:rsidR="00695686">
        <w:t xml:space="preserve"> </w:t>
      </w:r>
      <w:r w:rsidR="00F4039D">
        <w:t xml:space="preserve">resulted </w:t>
      </w:r>
      <w:proofErr w:type="gramStart"/>
      <w:r w:rsidR="00F4039D">
        <w:t>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w:t>
      </w:r>
      <w:proofErr w:type="spellStart"/>
      <w:r w:rsidR="00F4039D">
        <w:t>shRNA</w:t>
      </w:r>
      <w:proofErr w:type="spellEnd"/>
      <w:r w:rsidR="00F4039D">
        <w:t>)</w:t>
      </w:r>
      <w:r w:rsidR="00695686">
        <w:t xml:space="preserve">, although in this case some flies </w:t>
      </w:r>
      <w:r w:rsidR="00F4039D">
        <w:t>expressing UAS-</w:t>
      </w:r>
      <w:r w:rsidR="00F4039D" w:rsidRPr="00B84625">
        <w:rPr>
          <w:i/>
        </w:rPr>
        <w:t>Raptor</w:t>
      </w:r>
      <w:r w:rsidR="00F4039D">
        <w:t>-</w:t>
      </w:r>
      <w:proofErr w:type="spellStart"/>
      <w:r w:rsidR="00F4039D">
        <w:t>shRNA</w:t>
      </w:r>
      <w:proofErr w:type="spellEnd"/>
      <w:r w:rsidR="00F4039D">
        <w:t xml:space="preserve"> </w:t>
      </w:r>
      <w:r w:rsidR="00695686">
        <w:t xml:space="preserve">were able to </w:t>
      </w:r>
      <w:proofErr w:type="spellStart"/>
      <w:r w:rsidR="00695686">
        <w:t>eclose</w:t>
      </w:r>
      <w:proofErr w:type="spellEnd"/>
      <w:r w:rsidR="00695686">
        <w:t xml:space="preserve"> (Figure 2C).</w:t>
      </w:r>
      <w:r w:rsidR="00F73276">
        <w:t xml:space="preserve"> </w:t>
      </w:r>
    </w:p>
    <w:p w14:paraId="5840558F" w14:textId="77777777" w:rsidR="00F444D6" w:rsidRDefault="00F444D6" w:rsidP="00963A23">
      <w:pPr>
        <w:spacing w:line="480" w:lineRule="auto"/>
        <w:jc w:val="both"/>
      </w:pPr>
    </w:p>
    <w:p w14:paraId="798E98C6" w14:textId="32A354C3"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w:t>
      </w:r>
      <w:proofErr w:type="spellStart"/>
      <w:r w:rsidR="00335DDC">
        <w:t>shRNA</w:t>
      </w:r>
      <w:proofErr w:type="spellEnd"/>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E77680">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"&lt;sup&gt;34&lt;/sup&gt;" }, "properties" : { "noteIndex" : 0 }, "schema" : "https://github.com/citation-style-language/schema/raw/master/csl-citation.json" }</w:instrText>
      </w:r>
      <w:r w:rsidR="00335DDC">
        <w:fldChar w:fldCharType="separate"/>
      </w:r>
      <w:r w:rsidR="00E77680" w:rsidRPr="00E77680">
        <w:rPr>
          <w:noProof/>
          <w:vertAlign w:val="superscript"/>
        </w:rPr>
        <w:t>35</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1A351548" w:rsidR="003C09B8" w:rsidRPr="000B3301" w:rsidRDefault="00A95905" w:rsidP="00963A23">
      <w:pPr>
        <w:spacing w:line="480" w:lineRule="auto"/>
        <w:jc w:val="both"/>
        <w:rPr>
          <w:rFonts w:ascii="Cambria" w:hAnsi="Cambria"/>
        </w:rPr>
      </w:pPr>
      <w:r>
        <w:t xml:space="preserve">To test </w:t>
      </w:r>
      <w:r w:rsidR="00674B7E">
        <w:t xml:space="preserve">for the stage under which these flies fail to </w:t>
      </w:r>
      <w:proofErr w:type="spellStart"/>
      <w:r w:rsidR="00674B7E">
        <w:t>eclose</w:t>
      </w:r>
      <w:proofErr w:type="spellEnd"/>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E77680">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"&lt;sup&gt;36&lt;/sup&gt;", "plainTextFormattedCitation" : "36", "previouslyFormattedCitation" : "&lt;sup&gt;35&lt;/sup&gt;" }, "properties" : { "noteIndex" : 0 }, "schema" : "https://github.com/citation-style-language/schema/raw/master/csl-citation.json" }</w:instrText>
      </w:r>
      <w:r w:rsidR="00A82B17">
        <w:fldChar w:fldCharType="separate"/>
      </w:r>
      <w:r w:rsidR="00E77680" w:rsidRPr="00E77680">
        <w:rPr>
          <w:noProof/>
          <w:vertAlign w:val="superscript"/>
        </w:rPr>
        <w:t>36</w:t>
      </w:r>
      <w:r w:rsidR="00A82B17">
        <w:fldChar w:fldCharType="end"/>
      </w:r>
      <w:r w:rsidR="00C30D25">
        <w:t>,</w:t>
      </w:r>
      <w:r w:rsidR="00DF02CD">
        <w:t xml:space="preserve"> </w:t>
      </w:r>
      <w:r>
        <w:t xml:space="preserve">and repeated </w:t>
      </w:r>
      <w:r w:rsidR="00C30D25">
        <w:t>the studies at 25 °C</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w:t>
      </w:r>
      <w:proofErr w:type="spellStart"/>
      <w:r w:rsidR="00C30D25">
        <w:rPr>
          <w:rFonts w:ascii="Cambria" w:hAnsi="Cambria"/>
        </w:rPr>
        <w:t>shRNA</w:t>
      </w:r>
      <w:proofErr w:type="spellEnd"/>
      <w:r w:rsidR="00C30D25">
        <w:rPr>
          <w:rFonts w:ascii="Cambria" w:hAnsi="Cambria"/>
        </w:rPr>
        <w:t xml:space="preserve">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 xml:space="preserve">died prior to </w:t>
      </w:r>
      <w:proofErr w:type="spellStart"/>
      <w:r w:rsidR="00C30D25">
        <w:rPr>
          <w:rFonts w:ascii="Cambria" w:hAnsi="Cambria"/>
        </w:rPr>
        <w:t>eclosion</w:t>
      </w:r>
      <w:proofErr w:type="spellEnd"/>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E77680">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"&lt;sup&gt;37,38&lt;/sup&gt;", "plainTextFormattedCitation" : "37,38", "previouslyFormattedCitation" : "&lt;sup&gt;36,37&lt;/sup&gt;" }, "properties" : { "noteIndex" : 0 }, "schema" : "https://github.com/citation-style-language/schema/raw/master/csl-citation.json" }</w:instrText>
      </w:r>
      <w:r w:rsidR="003C09B8">
        <w:fldChar w:fldCharType="separate"/>
      </w:r>
      <w:r w:rsidR="00E77680" w:rsidRPr="00E77680">
        <w:rPr>
          <w:noProof/>
          <w:vertAlign w:val="superscript"/>
        </w:rPr>
        <w:t>37,38</w:t>
      </w:r>
      <w:r w:rsidR="003C09B8">
        <w:fldChar w:fldCharType="end"/>
      </w:r>
      <w:r w:rsidR="003C09B8">
        <w:t>.</w:t>
      </w:r>
      <w:r w:rsidR="00510FCF">
        <w:t xml:space="preserve">  One key difference here is that in those models, which use a late-expressed muscle </w:t>
      </w:r>
      <w:proofErr w:type="spellStart"/>
      <w:r w:rsidR="00510FCF" w:rsidRPr="00453B12">
        <w:rPr>
          <w:i/>
        </w:rPr>
        <w:t>Cre</w:t>
      </w:r>
      <w:proofErr w:type="spellEnd"/>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w:t>
      </w:r>
      <w:proofErr w:type="spellStart"/>
      <w:r>
        <w:t>Eclose</w:t>
      </w:r>
      <w:proofErr w:type="spellEnd"/>
      <w:r>
        <w:t xml:space="preserv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 xml:space="preserve">empty </w:t>
      </w:r>
      <w:proofErr w:type="spellStart"/>
      <w:r w:rsidR="001B4D8C">
        <w:rPr>
          <w:rFonts w:ascii="Cambria" w:hAnsi="Cambria"/>
        </w:rPr>
        <w:t>pupal</w:t>
      </w:r>
      <w:proofErr w:type="spellEnd"/>
      <w:r w:rsidR="001B4D8C">
        <w:rPr>
          <w:rFonts w:ascii="Cambria" w:hAnsi="Cambria"/>
        </w:rPr>
        <w:t xml:space="preserve">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w:t>
      </w:r>
      <w:proofErr w:type="spellStart"/>
      <w:r w:rsidR="0072165D">
        <w:rPr>
          <w:rFonts w:ascii="Cambria" w:hAnsi="Cambria"/>
        </w:rPr>
        <w:t>shRNA</w:t>
      </w:r>
      <w:proofErr w:type="spellEnd"/>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proofErr w:type="spellStart"/>
      <w:r w:rsidR="0069504F" w:rsidRPr="0005343F">
        <w:rPr>
          <w:rFonts w:ascii="Cambria" w:hAnsi="Cambria"/>
        </w:rPr>
        <w:t>shRNA</w:t>
      </w:r>
      <w:proofErr w:type="spellEnd"/>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 xml:space="preserve">Although the absolute number of dead pupae was variable among the </w:t>
      </w:r>
      <w:proofErr w:type="spellStart"/>
      <w:r w:rsidR="00C1512E">
        <w:rPr>
          <w:rFonts w:ascii="Cambria" w:hAnsi="Cambria"/>
        </w:rPr>
        <w:t>shRNA</w:t>
      </w:r>
      <w:proofErr w:type="spellEnd"/>
      <w:r w:rsidR="00C1512E">
        <w:rPr>
          <w:rFonts w:ascii="Cambria" w:hAnsi="Cambria"/>
        </w:rPr>
        <w:t>-</w:t>
      </w:r>
      <w:r w:rsidR="00C1512E" w:rsidRPr="0005343F">
        <w:rPr>
          <w:rFonts w:ascii="Cambria" w:hAnsi="Cambria"/>
          <w:i/>
        </w:rPr>
        <w:t>Raptor</w:t>
      </w:r>
      <w:r w:rsidR="00C1512E">
        <w:rPr>
          <w:rFonts w:ascii="Cambria" w:hAnsi="Cambria"/>
        </w:rPr>
        <w:t xml:space="preserve"> lines using c179-GAL4, in all cases the percentage of dead flies in </w:t>
      </w:r>
      <w:proofErr w:type="spellStart"/>
      <w:r w:rsidR="00C1512E">
        <w:rPr>
          <w:rFonts w:ascii="Cambria" w:hAnsi="Cambria"/>
        </w:rPr>
        <w:t>pupal</w:t>
      </w:r>
      <w:proofErr w:type="spellEnd"/>
      <w:r w:rsidR="00C1512E">
        <w:rPr>
          <w:rFonts w:ascii="Cambria" w:hAnsi="Cambria"/>
        </w:rPr>
        <w:t xml:space="preserve">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w:t>
      </w:r>
      <w:proofErr w:type="spellStart"/>
      <w:r>
        <w:t>eclose</w:t>
      </w:r>
      <w:proofErr w:type="spellEnd"/>
      <w:r w:rsidR="003E2160">
        <w:t xml:space="preserve"> from the </w:t>
      </w:r>
      <w:proofErr w:type="spellStart"/>
      <w:r w:rsidR="003E2160">
        <w:t>pupal</w:t>
      </w:r>
      <w:proofErr w:type="spellEnd"/>
      <w:r w:rsidR="003E2160">
        <w:t xml:space="preserve">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w:t>
      </w:r>
      <w:proofErr w:type="spellStart"/>
      <w:r>
        <w:t>eclosure</w:t>
      </w:r>
      <w:proofErr w:type="spellEnd"/>
      <w:r>
        <w:t xml:space="preserve">, we </w:t>
      </w:r>
      <w:r w:rsidR="005E7D74">
        <w:t xml:space="preserve">first </w:t>
      </w:r>
      <w:r>
        <w:t xml:space="preserve">carefully examined fly </w:t>
      </w:r>
      <w:r w:rsidR="004319B7">
        <w:t>morphology</w:t>
      </w:r>
      <w:r>
        <w:t xml:space="preserve"> within </w:t>
      </w:r>
      <w:proofErr w:type="spellStart"/>
      <w:r>
        <w:t>pupal</w:t>
      </w:r>
      <w:proofErr w:type="spellEnd"/>
      <w:r>
        <w:t xml:space="preserve"> cases.   As shown in Figure 4A</w:t>
      </w:r>
      <w:r w:rsidR="005E7D74">
        <w:t xml:space="preserve"> ten days after the cross</w:t>
      </w:r>
      <w:r w:rsidR="00705EA3">
        <w:t xml:space="preserve"> a fully formed fly is </w:t>
      </w:r>
      <w:r w:rsidR="005E7D74">
        <w:t xml:space="preserve">visible </w:t>
      </w:r>
      <w:r w:rsidR="00705EA3">
        <w:t xml:space="preserve">within the </w:t>
      </w:r>
      <w:proofErr w:type="spellStart"/>
      <w:r w:rsidR="00705EA3">
        <w:t>pupal</w:t>
      </w:r>
      <w:proofErr w:type="spellEnd"/>
      <w:r w:rsidR="00705EA3">
        <w:t xml:space="preserve">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 xml:space="preserve">flies have completely </w:t>
      </w:r>
      <w:proofErr w:type="spellStart"/>
      <w:r w:rsidR="00505693">
        <w:t>eclosed</w:t>
      </w:r>
      <w:proofErr w:type="spellEnd"/>
      <w:r w:rsidR="00505693">
        <w:t xml:space="preserve"> leaving only empty </w:t>
      </w:r>
      <w:proofErr w:type="spellStart"/>
      <w:r w:rsidR="00505693">
        <w:t>pupal</w:t>
      </w:r>
      <w:proofErr w:type="spellEnd"/>
      <w:r w:rsidR="00505693">
        <w:t xml:space="preserve">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 xml:space="preserve">still in the </w:t>
      </w:r>
      <w:proofErr w:type="spellStart"/>
      <w:r w:rsidR="005736E0">
        <w:t>pupal</w:t>
      </w:r>
      <w:proofErr w:type="spellEnd"/>
      <w:r w:rsidR="005736E0">
        <w:t xml:space="preserve">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w:t>
      </w:r>
      <w:proofErr w:type="spellStart"/>
      <w:r>
        <w:t>pupal</w:t>
      </w:r>
      <w:proofErr w:type="spellEnd"/>
      <w:r>
        <w:t xml:space="preserve"> case, we gently opened 5 </w:t>
      </w:r>
      <w:proofErr w:type="spellStart"/>
      <w:r>
        <w:t>pupal</w:t>
      </w:r>
      <w:proofErr w:type="spellEnd"/>
      <w:r>
        <w:t xml:space="preserve">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w:t>
      </w:r>
      <w:proofErr w:type="spellStart"/>
      <w:r>
        <w:t>eclosure</w:t>
      </w:r>
      <w:proofErr w:type="spellEnd"/>
      <w:r>
        <w:t xml:space="preserve">.  </w:t>
      </w:r>
      <w:proofErr w:type="gramStart"/>
      <w:r>
        <w:t xml:space="preserve">In 4 </w:t>
      </w:r>
      <w:r w:rsidR="004F5D84">
        <w:t xml:space="preserve">out </w:t>
      </w:r>
      <w:r>
        <w:t xml:space="preserve">of 5 cases the </w:t>
      </w:r>
      <w:r w:rsidR="004F5D84">
        <w:t xml:space="preserve">flies </w:t>
      </w:r>
      <w:proofErr w:type="spellStart"/>
      <w:r>
        <w:t>eclosed</w:t>
      </w:r>
      <w:proofErr w:type="spellEnd"/>
      <w:r>
        <w:t xml:space="preserve"> </w:t>
      </w:r>
      <w:r w:rsidR="004F5D84">
        <w:t>successfully with 3 of these animals surviving</w:t>
      </w:r>
      <w:r>
        <w:t xml:space="preserve"> &gt;3 weeks.</w:t>
      </w:r>
      <w:proofErr w:type="gramEnd"/>
      <w:r>
        <w:t xml:space="preserve">  To </w:t>
      </w:r>
      <w:r w:rsidR="002C0A54">
        <w:t xml:space="preserve">validate that these </w:t>
      </w:r>
      <w:proofErr w:type="spellStart"/>
      <w:r w:rsidR="002C0A54">
        <w:t>eclosure</w:t>
      </w:r>
      <w:proofErr w:type="spellEnd"/>
      <w:r w:rsidR="002C0A54">
        <w:t>-assisted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473975DB"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w:t>
      </w:r>
      <w:proofErr w:type="spellStart"/>
      <w:r w:rsidR="001A3F94">
        <w:rPr>
          <w:rFonts w:ascii="Cambria" w:hAnsi="Cambria"/>
        </w:rPr>
        <w:t>eclosed</w:t>
      </w:r>
      <w:proofErr w:type="spellEnd"/>
      <w:r w:rsidR="001A3F94">
        <w:rPr>
          <w:rFonts w:ascii="Cambria" w:hAnsi="Cambria"/>
        </w:rPr>
        <w:t xml:space="preserve">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lived </w:t>
      </w:r>
      <w:r w:rsidR="00F6194F">
        <w:rPr>
          <w:rFonts w:ascii="Cambria" w:hAnsi="Cambria"/>
        </w:rPr>
        <w:t xml:space="preserve">on </w:t>
      </w:r>
      <w:r w:rsidR="00F31273" w:rsidRPr="008C6740">
        <w:rPr>
          <w:rFonts w:ascii="Cambria" w:hAnsi="Cambria"/>
        </w:rPr>
        <w:t>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351F7127"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E77680">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"formattedCitation" : "&lt;sup&gt;39\u201342&lt;/sup&gt;", "plainTextFormattedCitation" : "39\u201342", "previouslyFormattedCitation" : "&lt;sup&gt;38\u201341&lt;/sup&gt;" }, "properties" : { "noteIndex" : 0 }, "schema" : "https://github.com/citation-style-language/schema/raw/master/csl-citation.json" }</w:instrText>
      </w:r>
      <w:r w:rsidR="00765BEC">
        <w:rPr>
          <w:rFonts w:ascii="Cambria" w:hAnsi="Cambria"/>
        </w:rPr>
        <w:fldChar w:fldCharType="separate"/>
      </w:r>
      <w:r w:rsidR="00E77680" w:rsidRPr="00E77680">
        <w:rPr>
          <w:rFonts w:ascii="Cambria" w:hAnsi="Cambria"/>
          <w:noProof/>
          <w:vertAlign w:val="superscript"/>
        </w:rPr>
        <w:t>39–42</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E77680">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"&lt;sup&gt;43\u201345&lt;/sup&gt;", "plainTextFormattedCitation" : "43\u201345", "previouslyFormattedCitation" : "&lt;sup&gt;42\u201344&lt;/sup&gt;" }, "properties" : { "noteIndex" : 0 }, "schema" : "https://github.com/citation-style-language/schema/raw/master/csl-citation.json" }</w:instrText>
      </w:r>
      <w:r w:rsidR="000E3F6C">
        <w:rPr>
          <w:rFonts w:ascii="Cambria" w:hAnsi="Cambria"/>
        </w:rPr>
        <w:fldChar w:fldCharType="separate"/>
      </w:r>
      <w:r w:rsidR="00E77680" w:rsidRPr="00E77680">
        <w:rPr>
          <w:rFonts w:ascii="Cambria" w:hAnsi="Cambria"/>
          <w:noProof/>
          <w:vertAlign w:val="superscript"/>
        </w:rPr>
        <w:t>43–45</w:t>
      </w:r>
      <w:r w:rsidR="000E3F6C">
        <w:rPr>
          <w:rFonts w:ascii="Cambria" w:hAnsi="Cambria"/>
        </w:rPr>
        <w:fldChar w:fldCharType="end"/>
      </w:r>
      <w:r w:rsidR="00DC2258">
        <w:rPr>
          <w:rFonts w:ascii="Cambria" w:hAnsi="Cambria"/>
        </w:rPr>
        <w:t xml:space="preserve">.  </w:t>
      </w:r>
    </w:p>
    <w:p w14:paraId="282DD02F" w14:textId="77777777" w:rsidR="00F444D6" w:rsidRPr="008C6740" w:rsidRDefault="00F444D6" w:rsidP="00963A23">
      <w:pPr>
        <w:spacing w:line="480" w:lineRule="auto"/>
        <w:jc w:val="both"/>
        <w:rPr>
          <w:rFonts w:ascii="Cambria" w:hAnsi="Cambria"/>
        </w:rPr>
      </w:pPr>
    </w:p>
    <w:p w14:paraId="271B4AB8" w14:textId="172644AF" w:rsidR="0040324E" w:rsidRDefault="0040324E" w:rsidP="004319B7">
      <w:pPr>
        <w:pStyle w:val="Heading2"/>
        <w:spacing w:line="480" w:lineRule="auto"/>
        <w:jc w:val="both"/>
      </w:pPr>
      <w:commentRangeStart w:id="1"/>
      <w:r>
        <w:t>Summary</w:t>
      </w:r>
      <w:commentRangeEnd w:id="1"/>
      <w:r w:rsidR="003D13F4">
        <w:rPr>
          <w:rStyle w:val="CommentReference"/>
          <w:rFonts w:asciiTheme="minorHAnsi" w:eastAsiaTheme="minorEastAsia" w:hAnsiTheme="minorHAnsi" w:cstheme="minorBidi"/>
          <w:b w:val="0"/>
          <w:bCs w:val="0"/>
          <w:color w:val="auto"/>
        </w:rPr>
        <w:commentReference w:id="1"/>
      </w:r>
    </w:p>
    <w:p w14:paraId="20CE129A" w14:textId="47FEC0BE" w:rsidR="00E251E9" w:rsidRPr="00CA3EED" w:rsidRDefault="00CA3EED" w:rsidP="00963A23">
      <w:pPr>
        <w:spacing w:line="480" w:lineRule="auto"/>
        <w:jc w:val="both"/>
      </w:pPr>
      <w:r>
        <w:t xml:space="preserve">In this work, we have described a role for TORC1 in the regulation of </w:t>
      </w:r>
      <w:proofErr w:type="spellStart"/>
      <w:r>
        <w:t>myogenesis</w:t>
      </w:r>
      <w:proofErr w:type="spellEnd"/>
      <w:r w:rsidR="00565EB2">
        <w:t xml:space="preserve"> both</w:t>
      </w:r>
      <w:r>
        <w:t xml:space="preserve"> </w:t>
      </w:r>
      <w:r>
        <w:rPr>
          <w:i/>
        </w:rPr>
        <w:t>in vitro</w:t>
      </w:r>
      <w:r>
        <w:t xml:space="preserve"> and </w:t>
      </w:r>
      <w:r w:rsidR="00565EB2" w:rsidRPr="0005343F">
        <w:rPr>
          <w:i/>
        </w:rPr>
        <w:t>in vivo</w:t>
      </w:r>
      <w:r w:rsidR="00565EB2">
        <w:t xml:space="preserve"> in</w:t>
      </w:r>
      <w:r>
        <w:t xml:space="preserve"> </w:t>
      </w:r>
      <w:r w:rsidR="00565EB2">
        <w:t>Drosophila</w:t>
      </w:r>
      <w:r>
        <w:t xml:space="preserve">, that inhibition of the dTORC1 complex results in lethality and </w:t>
      </w:r>
      <w:r w:rsidR="00565EB2">
        <w:t>muscle weakness</w:t>
      </w:r>
      <w:r>
        <w:t>.  Together these data support a</w:t>
      </w:r>
      <w:r w:rsidR="008F353C">
        <w:t>n</w:t>
      </w:r>
      <w:r>
        <w:t xml:space="preserve"> </w:t>
      </w:r>
      <w:r>
        <w:rPr>
          <w:i/>
        </w:rPr>
        <w:t>in vivo</w:t>
      </w:r>
      <w:r w:rsidR="00537B34">
        <w:t xml:space="preserve">, evolutionarily conserved </w:t>
      </w:r>
      <w:r>
        <w:t xml:space="preserve">role for the TORC1 complex </w:t>
      </w:r>
      <w:r w:rsidR="000025F0">
        <w:t>in</w:t>
      </w:r>
      <w:r>
        <w:t xml:space="preserve"> muscle development.</w:t>
      </w:r>
    </w:p>
    <w:p w14:paraId="7B7B4FBA" w14:textId="6DF55496" w:rsidR="00D07587" w:rsidRDefault="00486518" w:rsidP="00963A23">
      <w:pPr>
        <w:pStyle w:val="Heading1"/>
        <w:spacing w:line="480" w:lineRule="auto"/>
        <w:jc w:val="both"/>
      </w:pPr>
      <w:r w:rsidRPr="008C6740">
        <w:t>Acknowledgements</w:t>
      </w:r>
    </w:p>
    <w:p w14:paraId="44AE9625" w14:textId="3FD560EE"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4791C800" w14:textId="119DA324" w:rsidR="00E77680" w:rsidRPr="00E77680" w:rsidRDefault="00D07587">
      <w:pPr>
        <w:pStyle w:val="NormalWeb"/>
        <w:ind w:left="640" w:hanging="640"/>
        <w:divId w:val="306475743"/>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E77680" w:rsidRPr="00E77680">
        <w:rPr>
          <w:rFonts w:ascii="Cambria" w:hAnsi="Cambria"/>
          <w:noProof/>
          <w:sz w:val="24"/>
        </w:rPr>
        <w:t>1.</w:t>
      </w:r>
      <w:r w:rsidR="00E77680" w:rsidRPr="00E77680">
        <w:rPr>
          <w:rFonts w:ascii="Cambria" w:hAnsi="Cambria"/>
          <w:noProof/>
          <w:sz w:val="24"/>
        </w:rPr>
        <w:tab/>
        <w:t xml:space="preserve">Loewith, R. &amp; Hall, M. N. Target of rapamycin (TOR) in nutrient signaling and growth control. </w:t>
      </w:r>
      <w:r w:rsidR="00E77680" w:rsidRPr="00E77680">
        <w:rPr>
          <w:rFonts w:ascii="Cambria" w:hAnsi="Cambria"/>
          <w:i/>
          <w:iCs/>
          <w:noProof/>
          <w:sz w:val="24"/>
        </w:rPr>
        <w:t>Genetics</w:t>
      </w:r>
      <w:r w:rsidR="00E77680" w:rsidRPr="00E77680">
        <w:rPr>
          <w:rFonts w:ascii="Cambria" w:hAnsi="Cambria"/>
          <w:noProof/>
          <w:sz w:val="24"/>
        </w:rPr>
        <w:t xml:space="preserve"> </w:t>
      </w:r>
      <w:r w:rsidR="00E77680" w:rsidRPr="00E77680">
        <w:rPr>
          <w:rFonts w:ascii="Cambria" w:hAnsi="Cambria"/>
          <w:b/>
          <w:bCs/>
          <w:noProof/>
          <w:sz w:val="24"/>
        </w:rPr>
        <w:t>189,</w:t>
      </w:r>
      <w:r w:rsidR="00E77680" w:rsidRPr="00E77680">
        <w:rPr>
          <w:rFonts w:ascii="Cambria" w:hAnsi="Cambria"/>
          <w:noProof/>
          <w:sz w:val="24"/>
        </w:rPr>
        <w:t xml:space="preserve"> 1177–201 (2011).</w:t>
      </w:r>
    </w:p>
    <w:p w14:paraId="3EB284E9"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w:t>
      </w:r>
      <w:r w:rsidRPr="00E77680">
        <w:rPr>
          <w:rFonts w:ascii="Cambria" w:hAnsi="Cambria"/>
          <w:noProof/>
          <w:sz w:val="24"/>
        </w:rPr>
        <w:tab/>
        <w:t xml:space="preserve">Zoncu, R., Efeyan, A. &amp; Sabatini, D. M. mTOR: from growth signal integration to cancer, diabetes and ageing. </w:t>
      </w:r>
      <w:r w:rsidRPr="00E77680">
        <w:rPr>
          <w:rFonts w:ascii="Cambria" w:hAnsi="Cambria"/>
          <w:i/>
          <w:iCs/>
          <w:noProof/>
          <w:sz w:val="24"/>
        </w:rPr>
        <w:t>Nat. Rev. Mol. Cell Biol.</w:t>
      </w:r>
      <w:r w:rsidRPr="00E77680">
        <w:rPr>
          <w:rFonts w:ascii="Cambria" w:hAnsi="Cambria"/>
          <w:noProof/>
          <w:sz w:val="24"/>
        </w:rPr>
        <w:t xml:space="preserve"> </w:t>
      </w:r>
      <w:r w:rsidRPr="00E77680">
        <w:rPr>
          <w:rFonts w:ascii="Cambria" w:hAnsi="Cambria"/>
          <w:b/>
          <w:bCs/>
          <w:noProof/>
          <w:sz w:val="24"/>
        </w:rPr>
        <w:t>12,</w:t>
      </w:r>
      <w:r w:rsidRPr="00E77680">
        <w:rPr>
          <w:rFonts w:ascii="Cambria" w:hAnsi="Cambria"/>
          <w:noProof/>
          <w:sz w:val="24"/>
        </w:rPr>
        <w:t xml:space="preserve"> 21–35 (2010).</w:t>
      </w:r>
    </w:p>
    <w:p w14:paraId="61A1C179"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w:t>
      </w:r>
      <w:r w:rsidRPr="00E77680">
        <w:rPr>
          <w:rFonts w:ascii="Cambria" w:hAnsi="Cambria"/>
          <w:noProof/>
          <w:sz w:val="24"/>
        </w:rPr>
        <w:tab/>
        <w:t xml:space="preserve">Howell, J. J., Ricoult, S. J. H., Ben-Sahra, I. &amp; Manning, B. D. A growing role for mTOR in promoting anabolic metabolism. </w:t>
      </w:r>
      <w:r w:rsidRPr="00E77680">
        <w:rPr>
          <w:rFonts w:ascii="Cambria" w:hAnsi="Cambria"/>
          <w:i/>
          <w:iCs/>
          <w:noProof/>
          <w:sz w:val="24"/>
        </w:rPr>
        <w:t>Biochem. Soc. Trans.</w:t>
      </w:r>
      <w:r w:rsidRPr="00E77680">
        <w:rPr>
          <w:rFonts w:ascii="Cambria" w:hAnsi="Cambria"/>
          <w:noProof/>
          <w:sz w:val="24"/>
        </w:rPr>
        <w:t xml:space="preserve"> </w:t>
      </w:r>
      <w:r w:rsidRPr="00E77680">
        <w:rPr>
          <w:rFonts w:ascii="Cambria" w:hAnsi="Cambria"/>
          <w:b/>
          <w:bCs/>
          <w:noProof/>
          <w:sz w:val="24"/>
        </w:rPr>
        <w:t>41,</w:t>
      </w:r>
      <w:r w:rsidRPr="00E77680">
        <w:rPr>
          <w:rFonts w:ascii="Cambria" w:hAnsi="Cambria"/>
          <w:noProof/>
          <w:sz w:val="24"/>
        </w:rPr>
        <w:t xml:space="preserve"> 906–12 (2013).</w:t>
      </w:r>
    </w:p>
    <w:p w14:paraId="15882F34"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4.</w:t>
      </w:r>
      <w:r w:rsidRPr="00E77680">
        <w:rPr>
          <w:rFonts w:ascii="Cambria" w:hAnsi="Cambria"/>
          <w:noProof/>
          <w:sz w:val="24"/>
        </w:rPr>
        <w:tab/>
        <w:t xml:space="preserve">Cornu, M., Albert, V. &amp; Hall, M. N. mTOR in aging, metabolism, and cancer. </w:t>
      </w:r>
      <w:r w:rsidRPr="00E77680">
        <w:rPr>
          <w:rFonts w:ascii="Cambria" w:hAnsi="Cambria"/>
          <w:i/>
          <w:iCs/>
          <w:noProof/>
          <w:sz w:val="24"/>
        </w:rPr>
        <w:t>Curr. Opin. Genet. Dev.</w:t>
      </w:r>
      <w:r w:rsidRPr="00E77680">
        <w:rPr>
          <w:rFonts w:ascii="Cambria" w:hAnsi="Cambria"/>
          <w:noProof/>
          <w:sz w:val="24"/>
        </w:rPr>
        <w:t xml:space="preserve"> </w:t>
      </w:r>
      <w:r w:rsidRPr="00E77680">
        <w:rPr>
          <w:rFonts w:ascii="Cambria" w:hAnsi="Cambria"/>
          <w:b/>
          <w:bCs/>
          <w:noProof/>
          <w:sz w:val="24"/>
        </w:rPr>
        <w:t>23,</w:t>
      </w:r>
      <w:r w:rsidRPr="00E77680">
        <w:rPr>
          <w:rFonts w:ascii="Cambria" w:hAnsi="Cambria"/>
          <w:noProof/>
          <w:sz w:val="24"/>
        </w:rPr>
        <w:t xml:space="preserve"> 53–62 (2013).</w:t>
      </w:r>
    </w:p>
    <w:p w14:paraId="2487951D"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5.</w:t>
      </w:r>
      <w:r w:rsidRPr="00E77680">
        <w:rPr>
          <w:rFonts w:ascii="Cambria" w:hAnsi="Cambria"/>
          <w:noProof/>
          <w:sz w:val="24"/>
        </w:rPr>
        <w:tab/>
        <w:t xml:space="preserve">Lamming, D. W., Ye, L., Sabatini, D. M. &amp; Baur, J. A. Rapalogs and mTOR inhibitors as anti-aging therapeutics. </w:t>
      </w:r>
      <w:r w:rsidRPr="00E77680">
        <w:rPr>
          <w:rFonts w:ascii="Cambria" w:hAnsi="Cambria"/>
          <w:i/>
          <w:iCs/>
          <w:noProof/>
          <w:sz w:val="24"/>
        </w:rPr>
        <w:t>J. Clin. Invest.</w:t>
      </w:r>
      <w:r w:rsidRPr="00E77680">
        <w:rPr>
          <w:rFonts w:ascii="Cambria" w:hAnsi="Cambria"/>
          <w:noProof/>
          <w:sz w:val="24"/>
        </w:rPr>
        <w:t xml:space="preserve"> </w:t>
      </w:r>
      <w:r w:rsidRPr="00E77680">
        <w:rPr>
          <w:rFonts w:ascii="Cambria" w:hAnsi="Cambria"/>
          <w:b/>
          <w:bCs/>
          <w:noProof/>
          <w:sz w:val="24"/>
        </w:rPr>
        <w:t>123,</w:t>
      </w:r>
      <w:r w:rsidRPr="00E77680">
        <w:rPr>
          <w:rFonts w:ascii="Cambria" w:hAnsi="Cambria"/>
          <w:noProof/>
          <w:sz w:val="24"/>
        </w:rPr>
        <w:t xml:space="preserve"> 980–9 (2013).</w:t>
      </w:r>
    </w:p>
    <w:p w14:paraId="00704E5C"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6.</w:t>
      </w:r>
      <w:r w:rsidRPr="00E77680">
        <w:rPr>
          <w:rFonts w:ascii="Cambria" w:hAnsi="Cambria"/>
          <w:noProof/>
          <w:sz w:val="24"/>
        </w:rPr>
        <w:tab/>
        <w:t xml:space="preserve">Zeng, M. &amp; Zhou, J.-N. Roles of autophagy and mTOR signaling in neuronal differentiation of mouse neuroblastoma cells. </w:t>
      </w:r>
      <w:r w:rsidRPr="00E77680">
        <w:rPr>
          <w:rFonts w:ascii="Cambria" w:hAnsi="Cambria"/>
          <w:i/>
          <w:iCs/>
          <w:noProof/>
          <w:sz w:val="24"/>
        </w:rPr>
        <w:t>Cell. Signal.</w:t>
      </w:r>
      <w:r w:rsidRPr="00E77680">
        <w:rPr>
          <w:rFonts w:ascii="Cambria" w:hAnsi="Cambria"/>
          <w:noProof/>
          <w:sz w:val="24"/>
        </w:rPr>
        <w:t xml:space="preserve"> </w:t>
      </w:r>
      <w:r w:rsidRPr="00E77680">
        <w:rPr>
          <w:rFonts w:ascii="Cambria" w:hAnsi="Cambria"/>
          <w:b/>
          <w:bCs/>
          <w:noProof/>
          <w:sz w:val="24"/>
        </w:rPr>
        <w:t>20,</w:t>
      </w:r>
      <w:r w:rsidRPr="00E77680">
        <w:rPr>
          <w:rFonts w:ascii="Cambria" w:hAnsi="Cambria"/>
          <w:noProof/>
          <w:sz w:val="24"/>
        </w:rPr>
        <w:t xml:space="preserve"> 659–65 (2008).</w:t>
      </w:r>
    </w:p>
    <w:p w14:paraId="6F7AC436"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7.</w:t>
      </w:r>
      <w:r w:rsidRPr="00E77680">
        <w:rPr>
          <w:rFonts w:ascii="Cambria" w:hAnsi="Cambria"/>
          <w:noProof/>
          <w:sz w:val="24"/>
        </w:rPr>
        <w:tab/>
        <w:t xml:space="preserve">Tyler, W. A. </w:t>
      </w:r>
      <w:r w:rsidRPr="00E77680">
        <w:rPr>
          <w:rFonts w:ascii="Cambria" w:hAnsi="Cambria"/>
          <w:i/>
          <w:iCs/>
          <w:noProof/>
          <w:sz w:val="24"/>
        </w:rPr>
        <w:t>et al.</w:t>
      </w:r>
      <w:r w:rsidRPr="00E77680">
        <w:rPr>
          <w:rFonts w:ascii="Cambria" w:hAnsi="Cambria"/>
          <w:noProof/>
          <w:sz w:val="24"/>
        </w:rPr>
        <w:t xml:space="preserve"> Activation of the mammalian target of rapamycin (mTOR) is essential for oligodendrocyte differentiation. </w:t>
      </w:r>
      <w:r w:rsidRPr="00E77680">
        <w:rPr>
          <w:rFonts w:ascii="Cambria" w:hAnsi="Cambria"/>
          <w:i/>
          <w:iCs/>
          <w:noProof/>
          <w:sz w:val="24"/>
        </w:rPr>
        <w:t>J. Neurosci.</w:t>
      </w:r>
      <w:r w:rsidRPr="00E77680">
        <w:rPr>
          <w:rFonts w:ascii="Cambria" w:hAnsi="Cambria"/>
          <w:noProof/>
          <w:sz w:val="24"/>
        </w:rPr>
        <w:t xml:space="preserve"> </w:t>
      </w:r>
      <w:r w:rsidRPr="00E77680">
        <w:rPr>
          <w:rFonts w:ascii="Cambria" w:hAnsi="Cambria"/>
          <w:b/>
          <w:bCs/>
          <w:noProof/>
          <w:sz w:val="24"/>
        </w:rPr>
        <w:t>29,</w:t>
      </w:r>
      <w:r w:rsidRPr="00E77680">
        <w:rPr>
          <w:rFonts w:ascii="Cambria" w:hAnsi="Cambria"/>
          <w:noProof/>
          <w:sz w:val="24"/>
        </w:rPr>
        <w:t xml:space="preserve"> 6367–78 (2009).</w:t>
      </w:r>
    </w:p>
    <w:p w14:paraId="53C62C93"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8.</w:t>
      </w:r>
      <w:r w:rsidRPr="00E77680">
        <w:rPr>
          <w:rFonts w:ascii="Cambria" w:hAnsi="Cambria"/>
          <w:noProof/>
          <w:sz w:val="24"/>
        </w:rPr>
        <w:tab/>
        <w:t xml:space="preserve">Zhang, H. H. </w:t>
      </w:r>
      <w:r w:rsidRPr="00E77680">
        <w:rPr>
          <w:rFonts w:ascii="Cambria" w:hAnsi="Cambria"/>
          <w:i/>
          <w:iCs/>
          <w:noProof/>
          <w:sz w:val="24"/>
        </w:rPr>
        <w:t>et al.</w:t>
      </w:r>
      <w:r w:rsidRPr="00E77680">
        <w:rPr>
          <w:rFonts w:ascii="Cambria" w:hAnsi="Cambria"/>
          <w:noProof/>
          <w:sz w:val="24"/>
        </w:rPr>
        <w:t xml:space="preserve"> Insulin stimulates adipogenesis through the Akt-TSC2-mTORC1 pathway. </w:t>
      </w:r>
      <w:r w:rsidRPr="00E77680">
        <w:rPr>
          <w:rFonts w:ascii="Cambria" w:hAnsi="Cambria"/>
          <w:i/>
          <w:iCs/>
          <w:noProof/>
          <w:sz w:val="24"/>
        </w:rPr>
        <w:t>PLoS One</w:t>
      </w:r>
      <w:r w:rsidRPr="00E77680">
        <w:rPr>
          <w:rFonts w:ascii="Cambria" w:hAnsi="Cambria"/>
          <w:noProof/>
          <w:sz w:val="24"/>
        </w:rPr>
        <w:t xml:space="preserve"> </w:t>
      </w:r>
      <w:r w:rsidRPr="00E77680">
        <w:rPr>
          <w:rFonts w:ascii="Cambria" w:hAnsi="Cambria"/>
          <w:b/>
          <w:bCs/>
          <w:noProof/>
          <w:sz w:val="24"/>
        </w:rPr>
        <w:t>4,</w:t>
      </w:r>
      <w:r w:rsidRPr="00E77680">
        <w:rPr>
          <w:rFonts w:ascii="Cambria" w:hAnsi="Cambria"/>
          <w:noProof/>
          <w:sz w:val="24"/>
        </w:rPr>
        <w:t xml:space="preserve"> e6189 (2009).</w:t>
      </w:r>
    </w:p>
    <w:p w14:paraId="74A8EA6D"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9.</w:t>
      </w:r>
      <w:r w:rsidRPr="00E77680">
        <w:rPr>
          <w:rFonts w:ascii="Cambria" w:hAnsi="Cambria"/>
          <w:noProof/>
          <w:sz w:val="24"/>
        </w:rPr>
        <w:tab/>
        <w:t xml:space="preserve">Cuenda, A. &amp; Cohen, P. Stress-activated protein kinase-2/p38 and a rapamycin-sensitive pathway are required for C2C12 myogenesis. </w:t>
      </w:r>
      <w:r w:rsidRPr="00E77680">
        <w:rPr>
          <w:rFonts w:ascii="Cambria" w:hAnsi="Cambria"/>
          <w:i/>
          <w:iCs/>
          <w:noProof/>
          <w:sz w:val="24"/>
        </w:rPr>
        <w:t>J. Biol. Chem.</w:t>
      </w:r>
      <w:r w:rsidRPr="00E77680">
        <w:rPr>
          <w:rFonts w:ascii="Cambria" w:hAnsi="Cambria"/>
          <w:noProof/>
          <w:sz w:val="24"/>
        </w:rPr>
        <w:t xml:space="preserve"> </w:t>
      </w:r>
      <w:r w:rsidRPr="00E77680">
        <w:rPr>
          <w:rFonts w:ascii="Cambria" w:hAnsi="Cambria"/>
          <w:b/>
          <w:bCs/>
          <w:noProof/>
          <w:sz w:val="24"/>
        </w:rPr>
        <w:t>274,</w:t>
      </w:r>
      <w:r w:rsidRPr="00E77680">
        <w:rPr>
          <w:rFonts w:ascii="Cambria" w:hAnsi="Cambria"/>
          <w:noProof/>
          <w:sz w:val="24"/>
        </w:rPr>
        <w:t xml:space="preserve"> 4341–6 (1999).</w:t>
      </w:r>
    </w:p>
    <w:p w14:paraId="0F364E70"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10.</w:t>
      </w:r>
      <w:r w:rsidRPr="00E77680">
        <w:rPr>
          <w:rFonts w:ascii="Cambria" w:hAnsi="Cambria"/>
          <w:noProof/>
          <w:sz w:val="24"/>
        </w:rPr>
        <w:tab/>
        <w:t xml:space="preserve">Shu, L., Zhang, X. &amp; Houghton, P. J. Myogenic differentiation is dependent on both the kinase function and the N-terminal sequence of mammalian target of rapamycin. </w:t>
      </w:r>
      <w:r w:rsidRPr="00E77680">
        <w:rPr>
          <w:rFonts w:ascii="Cambria" w:hAnsi="Cambria"/>
          <w:i/>
          <w:iCs/>
          <w:noProof/>
          <w:sz w:val="24"/>
        </w:rPr>
        <w:t>J. Biol. Chem.</w:t>
      </w:r>
      <w:r w:rsidRPr="00E77680">
        <w:rPr>
          <w:rFonts w:ascii="Cambria" w:hAnsi="Cambria"/>
          <w:noProof/>
          <w:sz w:val="24"/>
        </w:rPr>
        <w:t xml:space="preserve"> </w:t>
      </w:r>
      <w:r w:rsidRPr="00E77680">
        <w:rPr>
          <w:rFonts w:ascii="Cambria" w:hAnsi="Cambria"/>
          <w:b/>
          <w:bCs/>
          <w:noProof/>
          <w:sz w:val="24"/>
        </w:rPr>
        <w:t>277,</w:t>
      </w:r>
      <w:r w:rsidRPr="00E77680">
        <w:rPr>
          <w:rFonts w:ascii="Cambria" w:hAnsi="Cambria"/>
          <w:noProof/>
          <w:sz w:val="24"/>
        </w:rPr>
        <w:t xml:space="preserve"> 16726–32 (2002).</w:t>
      </w:r>
    </w:p>
    <w:p w14:paraId="316BD576"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11.</w:t>
      </w:r>
      <w:r w:rsidRPr="00E77680">
        <w:rPr>
          <w:rFonts w:ascii="Cambria" w:hAnsi="Cambria"/>
          <w:noProof/>
          <w:sz w:val="24"/>
        </w:rPr>
        <w:tab/>
        <w:t xml:space="preserve">Erbay, E. &amp; Chen, J. The mammalian target of rapamycin regulates C2C12 myogenesis via a kinase-independent mechanism. </w:t>
      </w:r>
      <w:r w:rsidRPr="00E77680">
        <w:rPr>
          <w:rFonts w:ascii="Cambria" w:hAnsi="Cambria"/>
          <w:i/>
          <w:iCs/>
          <w:noProof/>
          <w:sz w:val="24"/>
        </w:rPr>
        <w:t>J. Biol. Chem.</w:t>
      </w:r>
      <w:r w:rsidRPr="00E77680">
        <w:rPr>
          <w:rFonts w:ascii="Cambria" w:hAnsi="Cambria"/>
          <w:noProof/>
          <w:sz w:val="24"/>
        </w:rPr>
        <w:t xml:space="preserve"> </w:t>
      </w:r>
      <w:r w:rsidRPr="00E77680">
        <w:rPr>
          <w:rFonts w:ascii="Cambria" w:hAnsi="Cambria"/>
          <w:b/>
          <w:bCs/>
          <w:noProof/>
          <w:sz w:val="24"/>
        </w:rPr>
        <w:t>276,</w:t>
      </w:r>
      <w:r w:rsidRPr="00E77680">
        <w:rPr>
          <w:rFonts w:ascii="Cambria" w:hAnsi="Cambria"/>
          <w:noProof/>
          <w:sz w:val="24"/>
        </w:rPr>
        <w:t xml:space="preserve"> 36079–82 (2001).</w:t>
      </w:r>
    </w:p>
    <w:p w14:paraId="10E8E13E"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12.</w:t>
      </w:r>
      <w:r w:rsidRPr="00E77680">
        <w:rPr>
          <w:rFonts w:ascii="Cambria" w:hAnsi="Cambria"/>
          <w:noProof/>
          <w:sz w:val="24"/>
        </w:rPr>
        <w:tab/>
        <w:t xml:space="preserve">Hentges, K. E. </w:t>
      </w:r>
      <w:r w:rsidRPr="00E77680">
        <w:rPr>
          <w:rFonts w:ascii="Cambria" w:hAnsi="Cambria"/>
          <w:i/>
          <w:iCs/>
          <w:noProof/>
          <w:sz w:val="24"/>
        </w:rPr>
        <w:t>et al.</w:t>
      </w:r>
      <w:r w:rsidRPr="00E77680">
        <w:rPr>
          <w:rFonts w:ascii="Cambria" w:hAnsi="Cambria"/>
          <w:noProof/>
          <w:sz w:val="24"/>
        </w:rPr>
        <w:t xml:space="preserve"> FRAP/mTOR is required for proliferation and patterning during embryonic development in the mouse. </w:t>
      </w:r>
      <w:r w:rsidRPr="00E77680">
        <w:rPr>
          <w:rFonts w:ascii="Cambria" w:hAnsi="Cambria"/>
          <w:i/>
          <w:iCs/>
          <w:noProof/>
          <w:sz w:val="24"/>
        </w:rPr>
        <w:t>Proc. Natl. Acad. Sci. U. S. A.</w:t>
      </w:r>
      <w:r w:rsidRPr="00E77680">
        <w:rPr>
          <w:rFonts w:ascii="Cambria" w:hAnsi="Cambria"/>
          <w:noProof/>
          <w:sz w:val="24"/>
        </w:rPr>
        <w:t xml:space="preserve"> </w:t>
      </w:r>
      <w:r w:rsidRPr="00E77680">
        <w:rPr>
          <w:rFonts w:ascii="Cambria" w:hAnsi="Cambria"/>
          <w:b/>
          <w:bCs/>
          <w:noProof/>
          <w:sz w:val="24"/>
        </w:rPr>
        <w:t>98,</w:t>
      </w:r>
      <w:r w:rsidRPr="00E77680">
        <w:rPr>
          <w:rFonts w:ascii="Cambria" w:hAnsi="Cambria"/>
          <w:noProof/>
          <w:sz w:val="24"/>
        </w:rPr>
        <w:t xml:space="preserve"> 13796–801 (2001).</w:t>
      </w:r>
    </w:p>
    <w:p w14:paraId="5115C50A"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13.</w:t>
      </w:r>
      <w:r w:rsidRPr="00E77680">
        <w:rPr>
          <w:rFonts w:ascii="Cambria" w:hAnsi="Cambria"/>
          <w:noProof/>
          <w:sz w:val="24"/>
        </w:rPr>
        <w:tab/>
        <w:t xml:space="preserve">Guertin, D. A. </w:t>
      </w:r>
      <w:r w:rsidRPr="00E77680">
        <w:rPr>
          <w:rFonts w:ascii="Cambria" w:hAnsi="Cambria"/>
          <w:i/>
          <w:iCs/>
          <w:noProof/>
          <w:sz w:val="24"/>
        </w:rPr>
        <w:t>et al.</w:t>
      </w:r>
      <w:r w:rsidRPr="00E77680">
        <w:rPr>
          <w:rFonts w:ascii="Cambria" w:hAnsi="Cambria"/>
          <w:noProof/>
          <w:sz w:val="24"/>
        </w:rPr>
        <w:t xml:space="preserve"> Ablation in mice of the mTORC components raptor, rictor, or mLST8 reveals that mTORC2 is required for signaling to Akt-FOXO and PKCalpha, but not S6K1. </w:t>
      </w:r>
      <w:r w:rsidRPr="00E77680">
        <w:rPr>
          <w:rFonts w:ascii="Cambria" w:hAnsi="Cambria"/>
          <w:i/>
          <w:iCs/>
          <w:noProof/>
          <w:sz w:val="24"/>
        </w:rPr>
        <w:t>Dev. Cell</w:t>
      </w:r>
      <w:r w:rsidRPr="00E77680">
        <w:rPr>
          <w:rFonts w:ascii="Cambria" w:hAnsi="Cambria"/>
          <w:noProof/>
          <w:sz w:val="24"/>
        </w:rPr>
        <w:t xml:space="preserve"> </w:t>
      </w:r>
      <w:r w:rsidRPr="00E77680">
        <w:rPr>
          <w:rFonts w:ascii="Cambria" w:hAnsi="Cambria"/>
          <w:b/>
          <w:bCs/>
          <w:noProof/>
          <w:sz w:val="24"/>
        </w:rPr>
        <w:t>11,</w:t>
      </w:r>
      <w:r w:rsidRPr="00E77680">
        <w:rPr>
          <w:rFonts w:ascii="Cambria" w:hAnsi="Cambria"/>
          <w:noProof/>
          <w:sz w:val="24"/>
        </w:rPr>
        <w:t xml:space="preserve"> 859–871 (2006).</w:t>
      </w:r>
    </w:p>
    <w:p w14:paraId="4B34EF58"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14.</w:t>
      </w:r>
      <w:r w:rsidRPr="00E77680">
        <w:rPr>
          <w:rFonts w:ascii="Cambria" w:hAnsi="Cambria"/>
          <w:noProof/>
          <w:sz w:val="24"/>
        </w:rPr>
        <w:tab/>
        <w:t xml:space="preserve">Gangloff, Y. </w:t>
      </w:r>
      <w:r w:rsidRPr="00E77680">
        <w:rPr>
          <w:rFonts w:ascii="Cambria" w:hAnsi="Cambria"/>
          <w:i/>
          <w:iCs/>
          <w:noProof/>
          <w:sz w:val="24"/>
        </w:rPr>
        <w:t>et al.</w:t>
      </w:r>
      <w:r w:rsidRPr="00E77680">
        <w:rPr>
          <w:rFonts w:ascii="Cambria" w:hAnsi="Cambria"/>
          <w:noProof/>
          <w:sz w:val="24"/>
        </w:rPr>
        <w:t xml:space="preserve"> Disruption of the mouse mTOR gene leads to early postimplantation lethality and prohibits embryonic stem cell development. </w:t>
      </w:r>
      <w:r w:rsidRPr="00E77680">
        <w:rPr>
          <w:rFonts w:ascii="Cambria" w:hAnsi="Cambria"/>
          <w:i/>
          <w:iCs/>
          <w:noProof/>
          <w:sz w:val="24"/>
        </w:rPr>
        <w:t>Mol. Cell. Biol.</w:t>
      </w:r>
      <w:r w:rsidRPr="00E77680">
        <w:rPr>
          <w:rFonts w:ascii="Cambria" w:hAnsi="Cambria"/>
          <w:noProof/>
          <w:sz w:val="24"/>
        </w:rPr>
        <w:t xml:space="preserve"> </w:t>
      </w:r>
      <w:r w:rsidRPr="00E77680">
        <w:rPr>
          <w:rFonts w:ascii="Cambria" w:hAnsi="Cambria"/>
          <w:b/>
          <w:bCs/>
          <w:noProof/>
          <w:sz w:val="24"/>
        </w:rPr>
        <w:t>24,</w:t>
      </w:r>
      <w:r w:rsidRPr="00E77680">
        <w:rPr>
          <w:rFonts w:ascii="Cambria" w:hAnsi="Cambria"/>
          <w:noProof/>
          <w:sz w:val="24"/>
        </w:rPr>
        <w:t xml:space="preserve"> 9508–16 (2004).</w:t>
      </w:r>
    </w:p>
    <w:p w14:paraId="48CECD39"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15.</w:t>
      </w:r>
      <w:r w:rsidRPr="00E77680">
        <w:rPr>
          <w:rFonts w:ascii="Cambria" w:hAnsi="Cambria"/>
          <w:noProof/>
          <w:sz w:val="24"/>
        </w:rPr>
        <w:tab/>
        <w:t xml:space="preserve">Jia, K., Chen, D. &amp; Riddle, D. L. The TOR pathway interacts with the insulin signaling pathway to regulate C. elegans larval development, metabolism and life span. </w:t>
      </w:r>
      <w:r w:rsidRPr="00E77680">
        <w:rPr>
          <w:rFonts w:ascii="Cambria" w:hAnsi="Cambria"/>
          <w:i/>
          <w:iCs/>
          <w:noProof/>
          <w:sz w:val="24"/>
        </w:rPr>
        <w:t>Development</w:t>
      </w:r>
      <w:r w:rsidRPr="00E77680">
        <w:rPr>
          <w:rFonts w:ascii="Cambria" w:hAnsi="Cambria"/>
          <w:noProof/>
          <w:sz w:val="24"/>
        </w:rPr>
        <w:t xml:space="preserve"> </w:t>
      </w:r>
      <w:r w:rsidRPr="00E77680">
        <w:rPr>
          <w:rFonts w:ascii="Cambria" w:hAnsi="Cambria"/>
          <w:b/>
          <w:bCs/>
          <w:noProof/>
          <w:sz w:val="24"/>
        </w:rPr>
        <w:t>131,</w:t>
      </w:r>
      <w:r w:rsidRPr="00E77680">
        <w:rPr>
          <w:rFonts w:ascii="Cambria" w:hAnsi="Cambria"/>
          <w:noProof/>
          <w:sz w:val="24"/>
        </w:rPr>
        <w:t xml:space="preserve"> 3897–906 (2004).</w:t>
      </w:r>
    </w:p>
    <w:p w14:paraId="40A3DDC5"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16.</w:t>
      </w:r>
      <w:r w:rsidRPr="00E77680">
        <w:rPr>
          <w:rFonts w:ascii="Cambria" w:hAnsi="Cambria"/>
          <w:noProof/>
          <w:sz w:val="24"/>
        </w:rPr>
        <w:tab/>
        <w:t xml:space="preserve">Bjedov, I. </w:t>
      </w:r>
      <w:r w:rsidRPr="00E77680">
        <w:rPr>
          <w:rFonts w:ascii="Cambria" w:hAnsi="Cambria"/>
          <w:i/>
          <w:iCs/>
          <w:noProof/>
          <w:sz w:val="24"/>
        </w:rPr>
        <w:t>et al.</w:t>
      </w:r>
      <w:r w:rsidRPr="00E77680">
        <w:rPr>
          <w:rFonts w:ascii="Cambria" w:hAnsi="Cambria"/>
          <w:noProof/>
          <w:sz w:val="24"/>
        </w:rPr>
        <w:t xml:space="preserve"> Mechanisms of life span extension by rapamycin in the fruit fly Drosophila melanogaster. </w:t>
      </w:r>
      <w:r w:rsidRPr="00E77680">
        <w:rPr>
          <w:rFonts w:ascii="Cambria" w:hAnsi="Cambria"/>
          <w:i/>
          <w:iCs/>
          <w:noProof/>
          <w:sz w:val="24"/>
        </w:rPr>
        <w:t>Cell Metab.</w:t>
      </w:r>
      <w:r w:rsidRPr="00E77680">
        <w:rPr>
          <w:rFonts w:ascii="Cambria" w:hAnsi="Cambria"/>
          <w:noProof/>
          <w:sz w:val="24"/>
        </w:rPr>
        <w:t xml:space="preserve"> </w:t>
      </w:r>
      <w:r w:rsidRPr="00E77680">
        <w:rPr>
          <w:rFonts w:ascii="Cambria" w:hAnsi="Cambria"/>
          <w:b/>
          <w:bCs/>
          <w:noProof/>
          <w:sz w:val="24"/>
        </w:rPr>
        <w:t>11,</w:t>
      </w:r>
      <w:r w:rsidRPr="00E77680">
        <w:rPr>
          <w:rFonts w:ascii="Cambria" w:hAnsi="Cambria"/>
          <w:noProof/>
          <w:sz w:val="24"/>
        </w:rPr>
        <w:t xml:space="preserve"> 35–46 (2010).</w:t>
      </w:r>
    </w:p>
    <w:p w14:paraId="697FB524"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17.</w:t>
      </w:r>
      <w:r w:rsidRPr="00E77680">
        <w:rPr>
          <w:rFonts w:ascii="Cambria" w:hAnsi="Cambria"/>
          <w:noProof/>
          <w:sz w:val="24"/>
        </w:rPr>
        <w:tab/>
        <w:t xml:space="preserve">Mauro, A. Satellite cell of skeletal muscle fibers. </w:t>
      </w:r>
      <w:r w:rsidRPr="00E77680">
        <w:rPr>
          <w:rFonts w:ascii="Cambria" w:hAnsi="Cambria"/>
          <w:i/>
          <w:iCs/>
          <w:noProof/>
          <w:sz w:val="24"/>
        </w:rPr>
        <w:t>J. Biophys. Biochem. Cytol.</w:t>
      </w:r>
      <w:r w:rsidRPr="00E77680">
        <w:rPr>
          <w:rFonts w:ascii="Cambria" w:hAnsi="Cambria"/>
          <w:noProof/>
          <w:sz w:val="24"/>
        </w:rPr>
        <w:t xml:space="preserve"> </w:t>
      </w:r>
      <w:r w:rsidRPr="00E77680">
        <w:rPr>
          <w:rFonts w:ascii="Cambria" w:hAnsi="Cambria"/>
          <w:b/>
          <w:bCs/>
          <w:noProof/>
          <w:sz w:val="24"/>
        </w:rPr>
        <w:t>9,</w:t>
      </w:r>
      <w:r w:rsidRPr="00E77680">
        <w:rPr>
          <w:rFonts w:ascii="Cambria" w:hAnsi="Cambria"/>
          <w:noProof/>
          <w:sz w:val="24"/>
        </w:rPr>
        <w:t xml:space="preserve"> 493–5 (1961).</w:t>
      </w:r>
    </w:p>
    <w:p w14:paraId="63551977"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18.</w:t>
      </w:r>
      <w:r w:rsidRPr="00E77680">
        <w:rPr>
          <w:rFonts w:ascii="Cambria" w:hAnsi="Cambria"/>
          <w:noProof/>
          <w:sz w:val="24"/>
        </w:rPr>
        <w:tab/>
        <w:t xml:space="preserve">Collins, C. a </w:t>
      </w:r>
      <w:r w:rsidRPr="00E77680">
        <w:rPr>
          <w:rFonts w:ascii="Cambria" w:hAnsi="Cambria"/>
          <w:i/>
          <w:iCs/>
          <w:noProof/>
          <w:sz w:val="24"/>
        </w:rPr>
        <w:t>et al.</w:t>
      </w:r>
      <w:r w:rsidRPr="00E77680">
        <w:rPr>
          <w:rFonts w:ascii="Cambria" w:hAnsi="Cambria"/>
          <w:noProof/>
          <w:sz w:val="24"/>
        </w:rPr>
        <w:t xml:space="preserve"> Stem cell function, self-renewal, and behavioral heterogeneity of cells from the adult muscle satellite cell niche. </w:t>
      </w:r>
      <w:r w:rsidRPr="00E77680">
        <w:rPr>
          <w:rFonts w:ascii="Cambria" w:hAnsi="Cambria"/>
          <w:i/>
          <w:iCs/>
          <w:noProof/>
          <w:sz w:val="24"/>
        </w:rPr>
        <w:t>Cell</w:t>
      </w:r>
      <w:r w:rsidRPr="00E77680">
        <w:rPr>
          <w:rFonts w:ascii="Cambria" w:hAnsi="Cambria"/>
          <w:noProof/>
          <w:sz w:val="24"/>
        </w:rPr>
        <w:t xml:space="preserve"> </w:t>
      </w:r>
      <w:r w:rsidRPr="00E77680">
        <w:rPr>
          <w:rFonts w:ascii="Cambria" w:hAnsi="Cambria"/>
          <w:b/>
          <w:bCs/>
          <w:noProof/>
          <w:sz w:val="24"/>
        </w:rPr>
        <w:t>122,</w:t>
      </w:r>
      <w:r w:rsidRPr="00E77680">
        <w:rPr>
          <w:rFonts w:ascii="Cambria" w:hAnsi="Cambria"/>
          <w:noProof/>
          <w:sz w:val="24"/>
        </w:rPr>
        <w:t xml:space="preserve"> 289–301 (2005).</w:t>
      </w:r>
    </w:p>
    <w:p w14:paraId="52BEDFF1"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19.</w:t>
      </w:r>
      <w:r w:rsidRPr="00E77680">
        <w:rPr>
          <w:rFonts w:ascii="Cambria" w:hAnsi="Cambria"/>
          <w:noProof/>
          <w:sz w:val="24"/>
        </w:rPr>
        <w:tab/>
        <w:t xml:space="preserve">Eng, D., Ma, H.-Y., Gross, M. K. &amp; Kioussi, C. Gene Networks during Skeletal Myogenesis. </w:t>
      </w:r>
      <w:r w:rsidRPr="00E77680">
        <w:rPr>
          <w:rFonts w:ascii="Cambria" w:hAnsi="Cambria"/>
          <w:i/>
          <w:iCs/>
          <w:noProof/>
          <w:sz w:val="24"/>
        </w:rPr>
        <w:t>ISRN Dev. Biol.</w:t>
      </w:r>
      <w:r w:rsidRPr="00E77680">
        <w:rPr>
          <w:rFonts w:ascii="Cambria" w:hAnsi="Cambria"/>
          <w:noProof/>
          <w:sz w:val="24"/>
        </w:rPr>
        <w:t xml:space="preserve"> </w:t>
      </w:r>
      <w:r w:rsidRPr="00E77680">
        <w:rPr>
          <w:rFonts w:ascii="Cambria" w:hAnsi="Cambria"/>
          <w:b/>
          <w:bCs/>
          <w:noProof/>
          <w:sz w:val="24"/>
        </w:rPr>
        <w:t>2013,</w:t>
      </w:r>
      <w:r w:rsidRPr="00E77680">
        <w:rPr>
          <w:rFonts w:ascii="Cambria" w:hAnsi="Cambria"/>
          <w:noProof/>
          <w:sz w:val="24"/>
        </w:rPr>
        <w:t xml:space="preserve"> 1–8 (2013).</w:t>
      </w:r>
    </w:p>
    <w:p w14:paraId="7FA20819"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20.</w:t>
      </w:r>
      <w:r w:rsidRPr="00E77680">
        <w:rPr>
          <w:rFonts w:ascii="Cambria" w:hAnsi="Cambria"/>
          <w:noProof/>
          <w:sz w:val="24"/>
        </w:rPr>
        <w:tab/>
        <w:t xml:space="preserve">Ge, Y. &amp; Chen, J. Mammalian target of rapamycin (mTOR) signaling network in skeletal myogenesis. </w:t>
      </w:r>
      <w:r w:rsidRPr="00E77680">
        <w:rPr>
          <w:rFonts w:ascii="Cambria" w:hAnsi="Cambria"/>
          <w:i/>
          <w:iCs/>
          <w:noProof/>
          <w:sz w:val="24"/>
        </w:rPr>
        <w:t>J. Biol. Chem.</w:t>
      </w:r>
      <w:r w:rsidRPr="00E77680">
        <w:rPr>
          <w:rFonts w:ascii="Cambria" w:hAnsi="Cambria"/>
          <w:noProof/>
          <w:sz w:val="24"/>
        </w:rPr>
        <w:t xml:space="preserve"> </w:t>
      </w:r>
      <w:r w:rsidRPr="00E77680">
        <w:rPr>
          <w:rFonts w:ascii="Cambria" w:hAnsi="Cambria"/>
          <w:b/>
          <w:bCs/>
          <w:noProof/>
          <w:sz w:val="24"/>
        </w:rPr>
        <w:t>287,</w:t>
      </w:r>
      <w:r w:rsidRPr="00E77680">
        <w:rPr>
          <w:rFonts w:ascii="Cambria" w:hAnsi="Cambria"/>
          <w:noProof/>
          <w:sz w:val="24"/>
        </w:rPr>
        <w:t xml:space="preserve"> 43928–35 (2012).</w:t>
      </w:r>
    </w:p>
    <w:p w14:paraId="061DA856"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21.</w:t>
      </w:r>
      <w:r w:rsidRPr="00E77680">
        <w:rPr>
          <w:rFonts w:ascii="Cambria" w:hAnsi="Cambria"/>
          <w:noProof/>
          <w:sz w:val="24"/>
        </w:rPr>
        <w:tab/>
        <w:t xml:space="preserve">Sun, Y. </w:t>
      </w:r>
      <w:r w:rsidRPr="00E77680">
        <w:rPr>
          <w:rFonts w:ascii="Cambria" w:hAnsi="Cambria"/>
          <w:i/>
          <w:iCs/>
          <w:noProof/>
          <w:sz w:val="24"/>
        </w:rPr>
        <w:t>et al.</w:t>
      </w:r>
      <w:r w:rsidRPr="00E77680">
        <w:rPr>
          <w:rFonts w:ascii="Cambria" w:hAnsi="Cambria"/>
          <w:noProof/>
          <w:sz w:val="24"/>
        </w:rPr>
        <w:t xml:space="preserve"> Mammalian target of rapamycin regulates miRNA-1 and follistatin in skeletal myogenesis. </w:t>
      </w:r>
      <w:r w:rsidRPr="00E77680">
        <w:rPr>
          <w:rFonts w:ascii="Cambria" w:hAnsi="Cambria"/>
          <w:i/>
          <w:iCs/>
          <w:noProof/>
          <w:sz w:val="24"/>
        </w:rPr>
        <w:t>J. Cell Biol.</w:t>
      </w:r>
      <w:r w:rsidRPr="00E77680">
        <w:rPr>
          <w:rFonts w:ascii="Cambria" w:hAnsi="Cambria"/>
          <w:noProof/>
          <w:sz w:val="24"/>
        </w:rPr>
        <w:t xml:space="preserve"> </w:t>
      </w:r>
      <w:r w:rsidRPr="00E77680">
        <w:rPr>
          <w:rFonts w:ascii="Cambria" w:hAnsi="Cambria"/>
          <w:b/>
          <w:bCs/>
          <w:noProof/>
          <w:sz w:val="24"/>
        </w:rPr>
        <w:t>189,</w:t>
      </w:r>
      <w:r w:rsidRPr="00E77680">
        <w:rPr>
          <w:rFonts w:ascii="Cambria" w:hAnsi="Cambria"/>
          <w:noProof/>
          <w:sz w:val="24"/>
        </w:rPr>
        <w:t xml:space="preserve"> 1157–69 (2010).</w:t>
      </w:r>
    </w:p>
    <w:p w14:paraId="3ACFAB75"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22.</w:t>
      </w:r>
      <w:r w:rsidRPr="00E77680">
        <w:rPr>
          <w:rFonts w:ascii="Cambria" w:hAnsi="Cambria"/>
          <w:noProof/>
          <w:sz w:val="24"/>
        </w:rPr>
        <w:tab/>
        <w:t xml:space="preserve">Yaffe, D. &amp; Saxel, O. Serial passaging and differentiation of myogenic cells isolated from dystrophic mouse muscle. </w:t>
      </w:r>
      <w:r w:rsidRPr="00E77680">
        <w:rPr>
          <w:rFonts w:ascii="Cambria" w:hAnsi="Cambria"/>
          <w:i/>
          <w:iCs/>
          <w:noProof/>
          <w:sz w:val="24"/>
        </w:rPr>
        <w:t>Nature</w:t>
      </w:r>
      <w:r w:rsidRPr="00E77680">
        <w:rPr>
          <w:rFonts w:ascii="Cambria" w:hAnsi="Cambria"/>
          <w:noProof/>
          <w:sz w:val="24"/>
        </w:rPr>
        <w:t xml:space="preserve"> </w:t>
      </w:r>
      <w:r w:rsidRPr="00E77680">
        <w:rPr>
          <w:rFonts w:ascii="Cambria" w:hAnsi="Cambria"/>
          <w:b/>
          <w:bCs/>
          <w:noProof/>
          <w:sz w:val="24"/>
        </w:rPr>
        <w:t>270,</w:t>
      </w:r>
      <w:r w:rsidRPr="00E77680">
        <w:rPr>
          <w:rFonts w:ascii="Cambria" w:hAnsi="Cambria"/>
          <w:noProof/>
          <w:sz w:val="24"/>
        </w:rPr>
        <w:t xml:space="preserve"> 725–727 (1977).</w:t>
      </w:r>
    </w:p>
    <w:p w14:paraId="4BF17488"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23.</w:t>
      </w:r>
      <w:r w:rsidRPr="00E77680">
        <w:rPr>
          <w:rFonts w:ascii="Cambria" w:hAnsi="Cambria"/>
          <w:noProof/>
          <w:sz w:val="24"/>
        </w:rPr>
        <w:tab/>
        <w:t xml:space="preserve">Schmittgen, T. D. &amp; Livak, K. J. Analyzing real-time PCR data by the comparative CT method. </w:t>
      </w:r>
      <w:r w:rsidRPr="00E77680">
        <w:rPr>
          <w:rFonts w:ascii="Cambria" w:hAnsi="Cambria"/>
          <w:i/>
          <w:iCs/>
          <w:noProof/>
          <w:sz w:val="24"/>
        </w:rPr>
        <w:t>Nat. Protoc.</w:t>
      </w:r>
      <w:r w:rsidRPr="00E77680">
        <w:rPr>
          <w:rFonts w:ascii="Cambria" w:hAnsi="Cambria"/>
          <w:noProof/>
          <w:sz w:val="24"/>
        </w:rPr>
        <w:t xml:space="preserve"> </w:t>
      </w:r>
      <w:r w:rsidRPr="00E77680">
        <w:rPr>
          <w:rFonts w:ascii="Cambria" w:hAnsi="Cambria"/>
          <w:b/>
          <w:bCs/>
          <w:noProof/>
          <w:sz w:val="24"/>
        </w:rPr>
        <w:t>3,</w:t>
      </w:r>
      <w:r w:rsidRPr="00E77680">
        <w:rPr>
          <w:rFonts w:ascii="Cambria" w:hAnsi="Cambria"/>
          <w:noProof/>
          <w:sz w:val="24"/>
        </w:rPr>
        <w:t xml:space="preserve"> 1101–1108 (2008).</w:t>
      </w:r>
    </w:p>
    <w:p w14:paraId="091054C2"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24.</w:t>
      </w:r>
      <w:r w:rsidRPr="00E77680">
        <w:rPr>
          <w:rFonts w:ascii="Cambria" w:hAnsi="Cambria"/>
          <w:noProof/>
          <w:sz w:val="24"/>
        </w:rPr>
        <w:tab/>
        <w:t xml:space="preserve">Ni, J. </w:t>
      </w:r>
      <w:r w:rsidRPr="00E77680">
        <w:rPr>
          <w:rFonts w:ascii="Cambria" w:hAnsi="Cambria"/>
          <w:i/>
          <w:iCs/>
          <w:noProof/>
          <w:sz w:val="24"/>
        </w:rPr>
        <w:t>et al.</w:t>
      </w:r>
      <w:r w:rsidRPr="00E77680">
        <w:rPr>
          <w:rFonts w:ascii="Cambria" w:hAnsi="Cambria"/>
          <w:noProof/>
          <w:sz w:val="24"/>
        </w:rPr>
        <w:t xml:space="preserve"> A genome-scale shRNA resource for transgenic RNAi in Drosophila. </w:t>
      </w:r>
      <w:r w:rsidRPr="00E77680">
        <w:rPr>
          <w:rFonts w:ascii="Cambria" w:hAnsi="Cambria"/>
          <w:i/>
          <w:iCs/>
          <w:noProof/>
          <w:sz w:val="24"/>
        </w:rPr>
        <w:t>Nat. Methods</w:t>
      </w:r>
      <w:r w:rsidRPr="00E77680">
        <w:rPr>
          <w:rFonts w:ascii="Cambria" w:hAnsi="Cambria"/>
          <w:noProof/>
          <w:sz w:val="24"/>
        </w:rPr>
        <w:t xml:space="preserve"> </w:t>
      </w:r>
      <w:r w:rsidRPr="00E77680">
        <w:rPr>
          <w:rFonts w:ascii="Cambria" w:hAnsi="Cambria"/>
          <w:b/>
          <w:bCs/>
          <w:noProof/>
          <w:sz w:val="24"/>
        </w:rPr>
        <w:t>8,</w:t>
      </w:r>
      <w:r w:rsidRPr="00E77680">
        <w:rPr>
          <w:rFonts w:ascii="Cambria" w:hAnsi="Cambria"/>
          <w:noProof/>
          <w:sz w:val="24"/>
        </w:rPr>
        <w:t xml:space="preserve"> 405–7 (2011).</w:t>
      </w:r>
    </w:p>
    <w:p w14:paraId="529057AA"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25.</w:t>
      </w:r>
      <w:r w:rsidRPr="00E77680">
        <w:rPr>
          <w:rFonts w:ascii="Cambria" w:hAnsi="Cambria"/>
          <w:noProof/>
          <w:sz w:val="24"/>
        </w:rPr>
        <w:tab/>
        <w:t>R Core Team. R: A Language and Environment for Statistical Computing. (2013).</w:t>
      </w:r>
    </w:p>
    <w:p w14:paraId="067FEFA6"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26.</w:t>
      </w:r>
      <w:r w:rsidRPr="00E77680">
        <w:rPr>
          <w:rFonts w:ascii="Cambria" w:hAnsi="Cambria"/>
          <w:noProof/>
          <w:sz w:val="24"/>
        </w:rPr>
        <w:tab/>
        <w:t xml:space="preserve">Fox, J. &amp; Weisberg, S. </w:t>
      </w:r>
      <w:r w:rsidRPr="00E77680">
        <w:rPr>
          <w:rFonts w:ascii="Cambria" w:hAnsi="Cambria"/>
          <w:i/>
          <w:iCs/>
          <w:noProof/>
          <w:sz w:val="24"/>
        </w:rPr>
        <w:t>An {R} Companion to Applied Regression</w:t>
      </w:r>
      <w:r w:rsidRPr="00E77680">
        <w:rPr>
          <w:rFonts w:ascii="Cambria" w:hAnsi="Cambria"/>
          <w:noProof/>
          <w:sz w:val="24"/>
        </w:rPr>
        <w:t>. (Sage, 2011).</w:t>
      </w:r>
    </w:p>
    <w:p w14:paraId="75197371"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27.</w:t>
      </w:r>
      <w:r w:rsidRPr="00E77680">
        <w:rPr>
          <w:rFonts w:ascii="Cambria" w:hAnsi="Cambria"/>
          <w:noProof/>
          <w:sz w:val="24"/>
        </w:rPr>
        <w:tab/>
        <w:t xml:space="preserve">Benjamini, Y. &amp; Hochberg, Y. Controlling the False Discovery Rate: A Practical and Powerful Approach to Multiple Testing. </w:t>
      </w:r>
      <w:r w:rsidRPr="00E77680">
        <w:rPr>
          <w:rFonts w:ascii="Cambria" w:hAnsi="Cambria"/>
          <w:i/>
          <w:iCs/>
          <w:noProof/>
          <w:sz w:val="24"/>
        </w:rPr>
        <w:t>J. R. Stat. Soc. Ser. B</w:t>
      </w:r>
      <w:r w:rsidRPr="00E77680">
        <w:rPr>
          <w:rFonts w:ascii="Cambria" w:hAnsi="Cambria"/>
          <w:noProof/>
          <w:sz w:val="24"/>
        </w:rPr>
        <w:t xml:space="preserve"> </w:t>
      </w:r>
      <w:r w:rsidRPr="00E77680">
        <w:rPr>
          <w:rFonts w:ascii="Cambria" w:hAnsi="Cambria"/>
          <w:b/>
          <w:bCs/>
          <w:noProof/>
          <w:sz w:val="24"/>
        </w:rPr>
        <w:t>57,</w:t>
      </w:r>
      <w:r w:rsidRPr="00E77680">
        <w:rPr>
          <w:rFonts w:ascii="Cambria" w:hAnsi="Cambria"/>
          <w:noProof/>
          <w:sz w:val="24"/>
        </w:rPr>
        <w:t xml:space="preserve"> 289–300 (1995).</w:t>
      </w:r>
    </w:p>
    <w:p w14:paraId="6C6EA278"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28.</w:t>
      </w:r>
      <w:r w:rsidRPr="00E77680">
        <w:rPr>
          <w:rFonts w:ascii="Cambria" w:hAnsi="Cambria"/>
          <w:noProof/>
          <w:sz w:val="24"/>
        </w:rPr>
        <w:tab/>
        <w:t>Hatfield, I., Harvey, I., Reiter, L. T. &amp; Bridges, D. Dataset for Drosophila Muscle Function Studies. (2014). at &lt;http://bridgeslab.github.io/DrosophilaMuscleFunction/&gt;</w:t>
      </w:r>
    </w:p>
    <w:p w14:paraId="6B5BCF80"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29.</w:t>
      </w:r>
      <w:r w:rsidRPr="00E77680">
        <w:rPr>
          <w:rFonts w:ascii="Cambria" w:hAnsi="Cambria"/>
          <w:noProof/>
          <w:sz w:val="24"/>
        </w:rPr>
        <w:tab/>
        <w:t xml:space="preserve">Berkes, C. a &amp; Tapscott, S. J. MyoD and the transcriptional control of myogenesis. </w:t>
      </w:r>
      <w:r w:rsidRPr="00E77680">
        <w:rPr>
          <w:rFonts w:ascii="Cambria" w:hAnsi="Cambria"/>
          <w:i/>
          <w:iCs/>
          <w:noProof/>
          <w:sz w:val="24"/>
        </w:rPr>
        <w:t>Semin. Cell Dev. Biol.</w:t>
      </w:r>
      <w:r w:rsidRPr="00E77680">
        <w:rPr>
          <w:rFonts w:ascii="Cambria" w:hAnsi="Cambria"/>
          <w:noProof/>
          <w:sz w:val="24"/>
        </w:rPr>
        <w:t xml:space="preserve"> </w:t>
      </w:r>
      <w:r w:rsidRPr="00E77680">
        <w:rPr>
          <w:rFonts w:ascii="Cambria" w:hAnsi="Cambria"/>
          <w:b/>
          <w:bCs/>
          <w:noProof/>
          <w:sz w:val="24"/>
        </w:rPr>
        <w:t>16,</w:t>
      </w:r>
      <w:r w:rsidRPr="00E77680">
        <w:rPr>
          <w:rFonts w:ascii="Cambria" w:hAnsi="Cambria"/>
          <w:noProof/>
          <w:sz w:val="24"/>
        </w:rPr>
        <w:t xml:space="preserve"> 585–95 (2005).</w:t>
      </w:r>
    </w:p>
    <w:p w14:paraId="3C344FB8"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30.</w:t>
      </w:r>
      <w:r w:rsidRPr="00E77680">
        <w:rPr>
          <w:rFonts w:ascii="Cambria" w:hAnsi="Cambria"/>
          <w:noProof/>
          <w:sz w:val="24"/>
        </w:rPr>
        <w:tab/>
        <w:t xml:space="preserve">Conejo, R., Valverde, A. M., Benito, M. &amp; Lorenzo, M. Insulin produces myogenesis in C2C12 myoblasts by induction of NF-kappaB and downregulation of AP-1 activities. </w:t>
      </w:r>
      <w:r w:rsidRPr="00E77680">
        <w:rPr>
          <w:rFonts w:ascii="Cambria" w:hAnsi="Cambria"/>
          <w:i/>
          <w:iCs/>
          <w:noProof/>
          <w:sz w:val="24"/>
        </w:rPr>
        <w:t>J. Cell. Physiol.</w:t>
      </w:r>
      <w:r w:rsidRPr="00E77680">
        <w:rPr>
          <w:rFonts w:ascii="Cambria" w:hAnsi="Cambria"/>
          <w:noProof/>
          <w:sz w:val="24"/>
        </w:rPr>
        <w:t xml:space="preserve"> </w:t>
      </w:r>
      <w:r w:rsidRPr="00E77680">
        <w:rPr>
          <w:rFonts w:ascii="Cambria" w:hAnsi="Cambria"/>
          <w:b/>
          <w:bCs/>
          <w:noProof/>
          <w:sz w:val="24"/>
        </w:rPr>
        <w:t>186,</w:t>
      </w:r>
      <w:r w:rsidRPr="00E77680">
        <w:rPr>
          <w:rFonts w:ascii="Cambria" w:hAnsi="Cambria"/>
          <w:noProof/>
          <w:sz w:val="24"/>
        </w:rPr>
        <w:t xml:space="preserve"> 82–94 (2001).</w:t>
      </w:r>
    </w:p>
    <w:p w14:paraId="3DE3272D"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31.</w:t>
      </w:r>
      <w:r w:rsidRPr="00E77680">
        <w:rPr>
          <w:rFonts w:ascii="Cambria" w:hAnsi="Cambria"/>
          <w:noProof/>
          <w:sz w:val="24"/>
        </w:rPr>
        <w:tab/>
        <w:t xml:space="preserve">Coolican, S. A., Samuel, D. S., Ewton, D. Z., McWade, F. J. &amp; Florini, J. R. The Mitogenic and Myogenic Actions of Insulin-like Growth Factors Utilize Distinct Signaling Pathways. </w:t>
      </w:r>
      <w:r w:rsidRPr="00E77680">
        <w:rPr>
          <w:rFonts w:ascii="Cambria" w:hAnsi="Cambria"/>
          <w:i/>
          <w:iCs/>
          <w:noProof/>
          <w:sz w:val="24"/>
        </w:rPr>
        <w:t>J. Biol. Chem.</w:t>
      </w:r>
      <w:r w:rsidRPr="00E77680">
        <w:rPr>
          <w:rFonts w:ascii="Cambria" w:hAnsi="Cambria"/>
          <w:noProof/>
          <w:sz w:val="24"/>
        </w:rPr>
        <w:t xml:space="preserve"> </w:t>
      </w:r>
      <w:r w:rsidRPr="00E77680">
        <w:rPr>
          <w:rFonts w:ascii="Cambria" w:hAnsi="Cambria"/>
          <w:b/>
          <w:bCs/>
          <w:noProof/>
          <w:sz w:val="24"/>
        </w:rPr>
        <w:t>272,</w:t>
      </w:r>
      <w:r w:rsidRPr="00E77680">
        <w:rPr>
          <w:rFonts w:ascii="Cambria" w:hAnsi="Cambria"/>
          <w:noProof/>
          <w:sz w:val="24"/>
        </w:rPr>
        <w:t xml:space="preserve"> 6653–6662 (1997).</w:t>
      </w:r>
    </w:p>
    <w:p w14:paraId="4E62C150"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32.</w:t>
      </w:r>
      <w:r w:rsidRPr="00E77680">
        <w:rPr>
          <w:rFonts w:ascii="Cambria" w:hAnsi="Cambria"/>
          <w:noProof/>
          <w:sz w:val="24"/>
        </w:rPr>
        <w:tab/>
        <w:t xml:space="preserve">Park, I.-H. &amp; Chen, J. Mammalian target of rapamycin (mTOR) signaling is required for a late-stage fusion process during skeletal myotube maturation. </w:t>
      </w:r>
      <w:r w:rsidRPr="00E77680">
        <w:rPr>
          <w:rFonts w:ascii="Cambria" w:hAnsi="Cambria"/>
          <w:i/>
          <w:iCs/>
          <w:noProof/>
          <w:sz w:val="24"/>
        </w:rPr>
        <w:t>J. Biol. Chem.</w:t>
      </w:r>
      <w:r w:rsidRPr="00E77680">
        <w:rPr>
          <w:rFonts w:ascii="Cambria" w:hAnsi="Cambria"/>
          <w:noProof/>
          <w:sz w:val="24"/>
        </w:rPr>
        <w:t xml:space="preserve"> </w:t>
      </w:r>
      <w:r w:rsidRPr="00E77680">
        <w:rPr>
          <w:rFonts w:ascii="Cambria" w:hAnsi="Cambria"/>
          <w:b/>
          <w:bCs/>
          <w:noProof/>
          <w:sz w:val="24"/>
        </w:rPr>
        <w:t>280,</w:t>
      </w:r>
      <w:r w:rsidRPr="00E77680">
        <w:rPr>
          <w:rFonts w:ascii="Cambria" w:hAnsi="Cambria"/>
          <w:noProof/>
          <w:sz w:val="24"/>
        </w:rPr>
        <w:t xml:space="preserve"> 32009–17 (2005).</w:t>
      </w:r>
    </w:p>
    <w:p w14:paraId="3D9EFD58"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33.</w:t>
      </w:r>
      <w:r w:rsidRPr="00E77680">
        <w:rPr>
          <w:rFonts w:ascii="Cambria" w:hAnsi="Cambria"/>
          <w:noProof/>
          <w:sz w:val="24"/>
        </w:rPr>
        <w:tab/>
        <w:t xml:space="preserve">Rogerson, P. J., Jamali, M. &amp; Skerjanc, I. S. The C-terminus of myogenin, but not MyoD, targets upregulation of MEF2C expression. </w:t>
      </w:r>
      <w:r w:rsidRPr="00E77680">
        <w:rPr>
          <w:rFonts w:ascii="Cambria" w:hAnsi="Cambria"/>
          <w:i/>
          <w:iCs/>
          <w:noProof/>
          <w:sz w:val="24"/>
        </w:rPr>
        <w:t>FEBS Lett.</w:t>
      </w:r>
      <w:r w:rsidRPr="00E77680">
        <w:rPr>
          <w:rFonts w:ascii="Cambria" w:hAnsi="Cambria"/>
          <w:noProof/>
          <w:sz w:val="24"/>
        </w:rPr>
        <w:t xml:space="preserve"> </w:t>
      </w:r>
      <w:r w:rsidRPr="00E77680">
        <w:rPr>
          <w:rFonts w:ascii="Cambria" w:hAnsi="Cambria"/>
          <w:b/>
          <w:bCs/>
          <w:noProof/>
          <w:sz w:val="24"/>
        </w:rPr>
        <w:t>524,</w:t>
      </w:r>
      <w:r w:rsidRPr="00E77680">
        <w:rPr>
          <w:rFonts w:ascii="Cambria" w:hAnsi="Cambria"/>
          <w:noProof/>
          <w:sz w:val="24"/>
        </w:rPr>
        <w:t xml:space="preserve"> 134–8 (2002).</w:t>
      </w:r>
    </w:p>
    <w:p w14:paraId="1769E64C"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34.</w:t>
      </w:r>
      <w:r w:rsidRPr="00E77680">
        <w:rPr>
          <w:rFonts w:ascii="Cambria" w:hAnsi="Cambria"/>
          <w:noProof/>
          <w:sz w:val="24"/>
        </w:rPr>
        <w:tab/>
        <w:t xml:space="preserve">Murakami, M. </w:t>
      </w:r>
      <w:r w:rsidRPr="00E77680">
        <w:rPr>
          <w:rFonts w:ascii="Cambria" w:hAnsi="Cambria"/>
          <w:i/>
          <w:iCs/>
          <w:noProof/>
          <w:sz w:val="24"/>
        </w:rPr>
        <w:t>et al.</w:t>
      </w:r>
      <w:r w:rsidRPr="00E77680">
        <w:rPr>
          <w:rFonts w:ascii="Cambria" w:hAnsi="Cambria"/>
          <w:noProof/>
          <w:sz w:val="24"/>
        </w:rPr>
        <w:t xml:space="preserve"> mTOR is essential for growth and proliferation in early mouse embryos and embryonic stem cells. </w:t>
      </w:r>
      <w:r w:rsidRPr="00E77680">
        <w:rPr>
          <w:rFonts w:ascii="Cambria" w:hAnsi="Cambria"/>
          <w:i/>
          <w:iCs/>
          <w:noProof/>
          <w:sz w:val="24"/>
        </w:rPr>
        <w:t>Mol. Cell. Biol.</w:t>
      </w:r>
      <w:r w:rsidRPr="00E77680">
        <w:rPr>
          <w:rFonts w:ascii="Cambria" w:hAnsi="Cambria"/>
          <w:noProof/>
          <w:sz w:val="24"/>
        </w:rPr>
        <w:t xml:space="preserve"> </w:t>
      </w:r>
      <w:r w:rsidRPr="00E77680">
        <w:rPr>
          <w:rFonts w:ascii="Cambria" w:hAnsi="Cambria"/>
          <w:b/>
          <w:bCs/>
          <w:noProof/>
          <w:sz w:val="24"/>
        </w:rPr>
        <w:t>24,</w:t>
      </w:r>
      <w:r w:rsidRPr="00E77680">
        <w:rPr>
          <w:rFonts w:ascii="Cambria" w:hAnsi="Cambria"/>
          <w:noProof/>
          <w:sz w:val="24"/>
        </w:rPr>
        <w:t xml:space="preserve"> 6710–8 (2004).</w:t>
      </w:r>
    </w:p>
    <w:p w14:paraId="54B4B678"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35.</w:t>
      </w:r>
      <w:r w:rsidRPr="00E77680">
        <w:rPr>
          <w:rFonts w:ascii="Cambria" w:hAnsi="Cambria"/>
          <w:noProof/>
          <w:sz w:val="24"/>
        </w:rPr>
        <w:tab/>
        <w:t xml:space="preserve">Duffy, J. B. GAL4 system in Drosophila: a fly geneticist’s Swiss army knife. </w:t>
      </w:r>
      <w:r w:rsidRPr="00E77680">
        <w:rPr>
          <w:rFonts w:ascii="Cambria" w:hAnsi="Cambria"/>
          <w:i/>
          <w:iCs/>
          <w:noProof/>
          <w:sz w:val="24"/>
        </w:rPr>
        <w:t>Genesis</w:t>
      </w:r>
      <w:r w:rsidRPr="00E77680">
        <w:rPr>
          <w:rFonts w:ascii="Cambria" w:hAnsi="Cambria"/>
          <w:noProof/>
          <w:sz w:val="24"/>
        </w:rPr>
        <w:t xml:space="preserve"> </w:t>
      </w:r>
      <w:r w:rsidRPr="00E77680">
        <w:rPr>
          <w:rFonts w:ascii="Cambria" w:hAnsi="Cambria"/>
          <w:b/>
          <w:bCs/>
          <w:noProof/>
          <w:sz w:val="24"/>
        </w:rPr>
        <w:t>34,</w:t>
      </w:r>
      <w:r w:rsidRPr="00E77680">
        <w:rPr>
          <w:rFonts w:ascii="Cambria" w:hAnsi="Cambria"/>
          <w:noProof/>
          <w:sz w:val="24"/>
        </w:rPr>
        <w:t xml:space="preserve"> 1–15 (2002).</w:t>
      </w:r>
    </w:p>
    <w:p w14:paraId="33C8F0A9"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36.</w:t>
      </w:r>
      <w:r w:rsidRPr="00E77680">
        <w:rPr>
          <w:rFonts w:ascii="Cambria" w:hAnsi="Cambria"/>
          <w:noProof/>
          <w:sz w:val="24"/>
        </w:rPr>
        <w:tab/>
        <w:t xml:space="preserve">Mantrova, E. Y., Schulz, R. a. &amp; Hsu, T. Oogenic function of the myogenic factor D-MEF2: Negative regulation of the Decapentaplegic receptor gene thick veins. </w:t>
      </w:r>
      <w:r w:rsidRPr="00E77680">
        <w:rPr>
          <w:rFonts w:ascii="Cambria" w:hAnsi="Cambria"/>
          <w:i/>
          <w:iCs/>
          <w:noProof/>
          <w:sz w:val="24"/>
        </w:rPr>
        <w:t>Proc. Natl. Acad. Sci.</w:t>
      </w:r>
      <w:r w:rsidRPr="00E77680">
        <w:rPr>
          <w:rFonts w:ascii="Cambria" w:hAnsi="Cambria"/>
          <w:noProof/>
          <w:sz w:val="24"/>
        </w:rPr>
        <w:t xml:space="preserve"> </w:t>
      </w:r>
      <w:r w:rsidRPr="00E77680">
        <w:rPr>
          <w:rFonts w:ascii="Cambria" w:hAnsi="Cambria"/>
          <w:b/>
          <w:bCs/>
          <w:noProof/>
          <w:sz w:val="24"/>
        </w:rPr>
        <w:t>96,</w:t>
      </w:r>
      <w:r w:rsidRPr="00E77680">
        <w:rPr>
          <w:rFonts w:ascii="Cambria" w:hAnsi="Cambria"/>
          <w:noProof/>
          <w:sz w:val="24"/>
        </w:rPr>
        <w:t xml:space="preserve"> 11889–11894 (1999).</w:t>
      </w:r>
    </w:p>
    <w:p w14:paraId="3EC55FC8"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37.</w:t>
      </w:r>
      <w:r w:rsidRPr="00E77680">
        <w:rPr>
          <w:rFonts w:ascii="Cambria" w:hAnsi="Cambria"/>
          <w:noProof/>
          <w:sz w:val="24"/>
        </w:rPr>
        <w:tab/>
        <w:t xml:space="preserve">Bentzinger, C. F. </w:t>
      </w:r>
      <w:r w:rsidRPr="00E77680">
        <w:rPr>
          <w:rFonts w:ascii="Cambria" w:hAnsi="Cambria"/>
          <w:i/>
          <w:iCs/>
          <w:noProof/>
          <w:sz w:val="24"/>
        </w:rPr>
        <w:t>et al.</w:t>
      </w:r>
      <w:r w:rsidRPr="00E77680">
        <w:rPr>
          <w:rFonts w:ascii="Cambria" w:hAnsi="Cambria"/>
          <w:noProof/>
          <w:sz w:val="24"/>
        </w:rPr>
        <w:t xml:space="preserve"> Skeletal muscle-specific ablation of raptor, but not of rictor, causes metabolic changes and results in muscle dystrophy. </w:t>
      </w:r>
      <w:r w:rsidRPr="00E77680">
        <w:rPr>
          <w:rFonts w:ascii="Cambria" w:hAnsi="Cambria"/>
          <w:i/>
          <w:iCs/>
          <w:noProof/>
          <w:sz w:val="24"/>
        </w:rPr>
        <w:t>Cell Metab.</w:t>
      </w:r>
      <w:r w:rsidRPr="00E77680">
        <w:rPr>
          <w:rFonts w:ascii="Cambria" w:hAnsi="Cambria"/>
          <w:noProof/>
          <w:sz w:val="24"/>
        </w:rPr>
        <w:t xml:space="preserve"> </w:t>
      </w:r>
      <w:r w:rsidRPr="00E77680">
        <w:rPr>
          <w:rFonts w:ascii="Cambria" w:hAnsi="Cambria"/>
          <w:b/>
          <w:bCs/>
          <w:noProof/>
          <w:sz w:val="24"/>
        </w:rPr>
        <w:t>8,</w:t>
      </w:r>
      <w:r w:rsidRPr="00E77680">
        <w:rPr>
          <w:rFonts w:ascii="Cambria" w:hAnsi="Cambria"/>
          <w:noProof/>
          <w:sz w:val="24"/>
        </w:rPr>
        <w:t xml:space="preserve"> 411–24 (2008).</w:t>
      </w:r>
    </w:p>
    <w:p w14:paraId="34F85413"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38.</w:t>
      </w:r>
      <w:r w:rsidRPr="00E77680">
        <w:rPr>
          <w:rFonts w:ascii="Cambria" w:hAnsi="Cambria"/>
          <w:noProof/>
          <w:sz w:val="24"/>
        </w:rPr>
        <w:tab/>
        <w:t xml:space="preserve">Bentzinger, C. F. </w:t>
      </w:r>
      <w:r w:rsidRPr="00E77680">
        <w:rPr>
          <w:rFonts w:ascii="Cambria" w:hAnsi="Cambria"/>
          <w:i/>
          <w:iCs/>
          <w:noProof/>
          <w:sz w:val="24"/>
        </w:rPr>
        <w:t>et al.</w:t>
      </w:r>
      <w:r w:rsidRPr="00E77680">
        <w:rPr>
          <w:rFonts w:ascii="Cambria" w:hAnsi="Cambria"/>
          <w:noProof/>
          <w:sz w:val="24"/>
        </w:rPr>
        <w:t xml:space="preserve"> Differential response of skeletal muscles to mTORC1 signaling during atrophy and hypertrophy. </w:t>
      </w:r>
      <w:r w:rsidRPr="00E77680">
        <w:rPr>
          <w:rFonts w:ascii="Cambria" w:hAnsi="Cambria"/>
          <w:i/>
          <w:iCs/>
          <w:noProof/>
          <w:sz w:val="24"/>
        </w:rPr>
        <w:t>Skelet. Muscle</w:t>
      </w:r>
      <w:r w:rsidRPr="00E77680">
        <w:rPr>
          <w:rFonts w:ascii="Cambria" w:hAnsi="Cambria"/>
          <w:noProof/>
          <w:sz w:val="24"/>
        </w:rPr>
        <w:t xml:space="preserve"> </w:t>
      </w:r>
      <w:r w:rsidRPr="00E77680">
        <w:rPr>
          <w:rFonts w:ascii="Cambria" w:hAnsi="Cambria"/>
          <w:b/>
          <w:bCs/>
          <w:noProof/>
          <w:sz w:val="24"/>
        </w:rPr>
        <w:t>3,</w:t>
      </w:r>
      <w:r w:rsidRPr="00E77680">
        <w:rPr>
          <w:rFonts w:ascii="Cambria" w:hAnsi="Cambria"/>
          <w:noProof/>
          <w:sz w:val="24"/>
        </w:rPr>
        <w:t xml:space="preserve"> 6 (2013).</w:t>
      </w:r>
    </w:p>
    <w:p w14:paraId="35BE1D44"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39.</w:t>
      </w:r>
      <w:r w:rsidRPr="00E77680">
        <w:rPr>
          <w:rFonts w:ascii="Cambria" w:hAnsi="Cambria"/>
          <w:noProof/>
          <w:sz w:val="24"/>
        </w:rPr>
        <w:tab/>
        <w:t xml:space="preserve">Leffelaar, D. &amp; Grigliatti, T. A. A Mutation in Drosophila That Appears to Accelerate Aging. </w:t>
      </w:r>
      <w:r w:rsidRPr="00E77680">
        <w:rPr>
          <w:rFonts w:ascii="Cambria" w:hAnsi="Cambria"/>
          <w:b/>
          <w:bCs/>
          <w:noProof/>
          <w:sz w:val="24"/>
        </w:rPr>
        <w:t>210,</w:t>
      </w:r>
      <w:r w:rsidRPr="00E77680">
        <w:rPr>
          <w:rFonts w:ascii="Cambria" w:hAnsi="Cambria"/>
          <w:noProof/>
          <w:sz w:val="24"/>
        </w:rPr>
        <w:t xml:space="preserve"> 199–210 (1984).</w:t>
      </w:r>
    </w:p>
    <w:p w14:paraId="597594AA"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40.</w:t>
      </w:r>
      <w:r w:rsidRPr="00E77680">
        <w:rPr>
          <w:rFonts w:ascii="Cambria" w:hAnsi="Cambria"/>
          <w:noProof/>
          <w:sz w:val="24"/>
        </w:rPr>
        <w:tab/>
        <w:t xml:space="preserve">Demontis, F., Patel, V. K., Swindell, W. R. &amp; Perrimon, N. Intertissue Control of the Nucleolus via a Myokine-Dependent Longevity Pathway. </w:t>
      </w:r>
      <w:r w:rsidRPr="00E77680">
        <w:rPr>
          <w:rFonts w:ascii="Cambria" w:hAnsi="Cambria"/>
          <w:i/>
          <w:iCs/>
          <w:noProof/>
          <w:sz w:val="24"/>
        </w:rPr>
        <w:t>Cell Rep.</w:t>
      </w:r>
      <w:r w:rsidRPr="00E77680">
        <w:rPr>
          <w:rFonts w:ascii="Cambria" w:hAnsi="Cambria"/>
          <w:noProof/>
          <w:sz w:val="24"/>
        </w:rPr>
        <w:t xml:space="preserve"> 1–14 (2014). doi:10.1016/j.celrep.2014.05.001</w:t>
      </w:r>
    </w:p>
    <w:p w14:paraId="0ED52B3B"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41.</w:t>
      </w:r>
      <w:r w:rsidRPr="00E77680">
        <w:rPr>
          <w:rFonts w:ascii="Cambria" w:hAnsi="Cambria"/>
          <w:noProof/>
          <w:sz w:val="24"/>
        </w:rPr>
        <w:tab/>
        <w:t xml:space="preserve">Demontis, F. &amp; Perrimon, N. FOXO/4E-BP signaling in Drosophila muscles regulates organism-wide proteostasis during aging. </w:t>
      </w:r>
      <w:r w:rsidRPr="00E77680">
        <w:rPr>
          <w:rFonts w:ascii="Cambria" w:hAnsi="Cambria"/>
          <w:i/>
          <w:iCs/>
          <w:noProof/>
          <w:sz w:val="24"/>
        </w:rPr>
        <w:t>Cell</w:t>
      </w:r>
      <w:r w:rsidRPr="00E77680">
        <w:rPr>
          <w:rFonts w:ascii="Cambria" w:hAnsi="Cambria"/>
          <w:noProof/>
          <w:sz w:val="24"/>
        </w:rPr>
        <w:t xml:space="preserve"> </w:t>
      </w:r>
      <w:r w:rsidRPr="00E77680">
        <w:rPr>
          <w:rFonts w:ascii="Cambria" w:hAnsi="Cambria"/>
          <w:b/>
          <w:bCs/>
          <w:noProof/>
          <w:sz w:val="24"/>
        </w:rPr>
        <w:t>143,</w:t>
      </w:r>
      <w:r w:rsidRPr="00E77680">
        <w:rPr>
          <w:rFonts w:ascii="Cambria" w:hAnsi="Cambria"/>
          <w:noProof/>
          <w:sz w:val="24"/>
        </w:rPr>
        <w:t xml:space="preserve"> 813–25 (2010).</w:t>
      </w:r>
    </w:p>
    <w:p w14:paraId="22E8385F"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42.</w:t>
      </w:r>
      <w:r w:rsidRPr="00E77680">
        <w:rPr>
          <w:rFonts w:ascii="Cambria" w:hAnsi="Cambria"/>
          <w:noProof/>
          <w:sz w:val="24"/>
        </w:rPr>
        <w:tab/>
        <w:t xml:space="preserve">Muffat, J. </w:t>
      </w:r>
      <w:r w:rsidRPr="00E77680">
        <w:rPr>
          <w:rFonts w:ascii="Cambria" w:hAnsi="Cambria"/>
          <w:i/>
          <w:iCs/>
          <w:noProof/>
          <w:sz w:val="24"/>
        </w:rPr>
        <w:t>et al.</w:t>
      </w:r>
      <w:r w:rsidRPr="00E77680">
        <w:rPr>
          <w:rFonts w:ascii="Cambria" w:hAnsi="Cambria"/>
          <w:noProof/>
          <w:sz w:val="24"/>
        </w:rPr>
        <w:t xml:space="preserve"> Hypersensitivity to oxygen and shortened lifespan in a Drosophila mitochondrial complex II mutant. (2006).</w:t>
      </w:r>
    </w:p>
    <w:p w14:paraId="41C7685B"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43.</w:t>
      </w:r>
      <w:r w:rsidRPr="00E77680">
        <w:rPr>
          <w:rFonts w:ascii="Cambria" w:hAnsi="Cambria"/>
          <w:noProof/>
          <w:sz w:val="24"/>
        </w:rPr>
        <w:tab/>
        <w:t xml:space="preserve">Pia, L., Heikkinen, E. &amp; Kauppinen, M. Muscle Strength and Mobility as Predictors of Survival in 75–84 - Year - old People. </w:t>
      </w:r>
      <w:r w:rsidRPr="00E77680">
        <w:rPr>
          <w:rFonts w:ascii="Cambria" w:hAnsi="Cambria"/>
          <w:i/>
          <w:iCs/>
          <w:noProof/>
          <w:sz w:val="24"/>
        </w:rPr>
        <w:t>Age Ageing</w:t>
      </w:r>
      <w:r w:rsidRPr="00E77680">
        <w:rPr>
          <w:rFonts w:ascii="Cambria" w:hAnsi="Cambria"/>
          <w:noProof/>
          <w:sz w:val="24"/>
        </w:rPr>
        <w:t xml:space="preserve"> </w:t>
      </w:r>
      <w:r w:rsidRPr="00E77680">
        <w:rPr>
          <w:rFonts w:ascii="Cambria" w:hAnsi="Cambria"/>
          <w:b/>
          <w:bCs/>
          <w:noProof/>
          <w:sz w:val="24"/>
        </w:rPr>
        <w:t>24,</w:t>
      </w:r>
      <w:r w:rsidRPr="00E77680">
        <w:rPr>
          <w:rFonts w:ascii="Cambria" w:hAnsi="Cambria"/>
          <w:noProof/>
          <w:sz w:val="24"/>
        </w:rPr>
        <w:t xml:space="preserve"> 468–473 (1995).</w:t>
      </w:r>
    </w:p>
    <w:p w14:paraId="19FB4EB7"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44.</w:t>
      </w:r>
      <w:r w:rsidRPr="00E77680">
        <w:rPr>
          <w:rFonts w:ascii="Cambria" w:hAnsi="Cambria"/>
          <w:noProof/>
          <w:sz w:val="24"/>
        </w:rPr>
        <w:tab/>
        <w:t xml:space="preserve">Ruiz, J. R. </w:t>
      </w:r>
      <w:r w:rsidRPr="00E77680">
        <w:rPr>
          <w:rFonts w:ascii="Cambria" w:hAnsi="Cambria"/>
          <w:i/>
          <w:iCs/>
          <w:noProof/>
          <w:sz w:val="24"/>
        </w:rPr>
        <w:t>et al.</w:t>
      </w:r>
      <w:r w:rsidRPr="00E77680">
        <w:rPr>
          <w:rFonts w:ascii="Cambria" w:hAnsi="Cambria"/>
          <w:noProof/>
          <w:sz w:val="24"/>
        </w:rPr>
        <w:t xml:space="preserve"> Association between muscular strength and mortality in men: prospective cohort study. </w:t>
      </w:r>
      <w:r w:rsidRPr="00E77680">
        <w:rPr>
          <w:rFonts w:ascii="Cambria" w:hAnsi="Cambria"/>
          <w:i/>
          <w:iCs/>
          <w:noProof/>
          <w:sz w:val="24"/>
        </w:rPr>
        <w:t>BMJ</w:t>
      </w:r>
      <w:r w:rsidRPr="00E77680">
        <w:rPr>
          <w:rFonts w:ascii="Cambria" w:hAnsi="Cambria"/>
          <w:noProof/>
          <w:sz w:val="24"/>
        </w:rPr>
        <w:t xml:space="preserve"> </w:t>
      </w:r>
      <w:r w:rsidRPr="00E77680">
        <w:rPr>
          <w:rFonts w:ascii="Cambria" w:hAnsi="Cambria"/>
          <w:b/>
          <w:bCs/>
          <w:noProof/>
          <w:sz w:val="24"/>
        </w:rPr>
        <w:t>337,</w:t>
      </w:r>
      <w:r w:rsidRPr="00E77680">
        <w:rPr>
          <w:rFonts w:ascii="Cambria" w:hAnsi="Cambria"/>
          <w:noProof/>
          <w:sz w:val="24"/>
        </w:rPr>
        <w:t xml:space="preserve"> a439 (2008).</w:t>
      </w:r>
    </w:p>
    <w:p w14:paraId="59078C49"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45.</w:t>
      </w:r>
      <w:r w:rsidRPr="00E77680">
        <w:rPr>
          <w:rFonts w:ascii="Cambria" w:hAnsi="Cambria"/>
          <w:noProof/>
          <w:sz w:val="24"/>
        </w:rPr>
        <w:tab/>
        <w:t xml:space="preserve">Cooper, R., Kuh, D. &amp; Hardy, R. Objectively measured physical capability levels and mortality: systematic review and meta-analysis. </w:t>
      </w:r>
      <w:r w:rsidRPr="00E77680">
        <w:rPr>
          <w:rFonts w:ascii="Cambria" w:hAnsi="Cambria"/>
          <w:i/>
          <w:iCs/>
          <w:noProof/>
          <w:sz w:val="24"/>
        </w:rPr>
        <w:t>BMJ</w:t>
      </w:r>
      <w:r w:rsidRPr="00E77680">
        <w:rPr>
          <w:rFonts w:ascii="Cambria" w:hAnsi="Cambria"/>
          <w:noProof/>
          <w:sz w:val="24"/>
        </w:rPr>
        <w:t xml:space="preserve"> </w:t>
      </w:r>
      <w:r w:rsidRPr="00E77680">
        <w:rPr>
          <w:rFonts w:ascii="Cambria" w:hAnsi="Cambria"/>
          <w:b/>
          <w:bCs/>
          <w:noProof/>
          <w:sz w:val="24"/>
        </w:rPr>
        <w:t>341,</w:t>
      </w:r>
      <w:r w:rsidRPr="00E77680">
        <w:rPr>
          <w:rFonts w:ascii="Cambria" w:hAnsi="Cambria"/>
          <w:noProof/>
          <w:sz w:val="24"/>
        </w:rPr>
        <w:t xml:space="preserve"> c4467 (2010). </w:t>
      </w:r>
    </w:p>
    <w:p w14:paraId="41FF71FC" w14:textId="6F6B32A1" w:rsidR="00234C0A" w:rsidRPr="008C6740" w:rsidRDefault="00D07587" w:rsidP="00E77680">
      <w:pPr>
        <w:pStyle w:val="NormalWeb"/>
        <w:ind w:left="640" w:hanging="640"/>
        <w:divId w:val="740517103"/>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72125284" w:rsidR="00474711" w:rsidRPr="003E4F67" w:rsidRDefault="00E56C2A" w:rsidP="00963A23">
      <w:pPr>
        <w:spacing w:line="480" w:lineRule="auto"/>
        <w:jc w:val="both"/>
        <w:rPr>
          <w:noProof/>
        </w:rPr>
      </w:pPr>
      <w:r w:rsidRPr="00E56C2A">
        <w:rPr>
          <w:b/>
          <w:noProof/>
        </w:rPr>
        <w:t xml:space="preserve">Figure 1. Rapamycin blocks C2C12 differentiation. </w:t>
      </w:r>
      <w:r w:rsidR="001B240E">
        <w:rPr>
          <w:noProof/>
        </w:rPr>
        <w:t>a</w:t>
      </w:r>
      <w:r w:rsidRPr="00E56C2A">
        <w:rPr>
          <w:noProof/>
        </w:rPr>
        <w:t>) The order of appearance of  myotube differentiation markers over the course of 15 days in differentiation media only</w:t>
      </w:r>
      <w:r w:rsidR="004B6617">
        <w:rPr>
          <w:noProof/>
        </w:rPr>
        <w:t>.  This is representative of three independent experiments.</w:t>
      </w:r>
      <w:r w:rsidR="001B240E">
        <w:rPr>
          <w:noProof/>
        </w:rPr>
        <w:t xml:space="preserve"> b</w:t>
      </w:r>
      <w:r w:rsidRPr="00E56C2A">
        <w:rPr>
          <w:noProof/>
        </w:rPr>
        <w:t>)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Pr="00E56C2A">
        <w:rPr>
          <w:noProof/>
        </w:rPr>
        <w:t xml:space="preserve">Transcripts from both A) and B) were measured by </w:t>
      </w:r>
      <w:r w:rsidR="007D13AB">
        <w:rPr>
          <w:noProof/>
        </w:rPr>
        <w:t>q</w:t>
      </w:r>
      <w:r w:rsidRPr="00E56C2A">
        <w:rPr>
          <w:noProof/>
        </w:rPr>
        <w:t xml:space="preserve">RT-PCR and normalized to </w:t>
      </w:r>
      <w:r w:rsidRPr="00E56C2A">
        <w:rPr>
          <w:i/>
          <w:noProof/>
        </w:rPr>
        <w:t>Gapdh</w:t>
      </w:r>
      <w:r w:rsidR="001B240E">
        <w:rPr>
          <w:noProof/>
        </w:rPr>
        <w:t>.  c) Western blot analysis of C2C12 cells treated for 4h with Differentiation Media (10% Horse Serum; HS) or left in growth media (10% FBS) in the presence of 500 nM Rapamycin or DMSO.  d) Quantification of the blots in c.  Protein phosphorylation is presented as the intensity of the phosphospecific antibody band relative to that proteins total protein band.  e</w:t>
      </w:r>
      <w:r w:rsidRPr="00E56C2A">
        <w:rPr>
          <w:noProof/>
        </w:rPr>
        <w:t>) Images of morphological changes in C2C12 myoblasts in response to 9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2C3C3E6E"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 xml:space="preserve">around </w:t>
      </w:r>
      <w:proofErr w:type="spellStart"/>
      <w:r w:rsidR="00FA26EC">
        <w:rPr>
          <w:rFonts w:cs="Times"/>
          <w:b/>
        </w:rPr>
        <w:t>pupal</w:t>
      </w:r>
      <w:proofErr w:type="spellEnd"/>
      <w:r w:rsidR="00FA26EC">
        <w:rPr>
          <w:rFonts w:cs="Times"/>
          <w:b/>
        </w:rPr>
        <w:t xml:space="preserve"> stage ~12-13</w:t>
      </w:r>
      <w:r w:rsidRPr="00912E8F">
        <w:rPr>
          <w:rFonts w:cs="Times"/>
          <w:b/>
        </w:rPr>
        <w:t xml:space="preserve">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w:t>
      </w:r>
      <w:proofErr w:type="spellStart"/>
      <w:r w:rsidR="007D22A8">
        <w:rPr>
          <w:rFonts w:cs="Times"/>
        </w:rPr>
        <w:t>pupal</w:t>
      </w:r>
      <w:proofErr w:type="spellEnd"/>
      <w:r w:rsidR="007D22A8">
        <w:rPr>
          <w:rFonts w:cs="Times"/>
        </w:rPr>
        <w:t xml:space="preserve">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proofErr w:type="spellStart"/>
      <w:r w:rsidR="00852231">
        <w:rPr>
          <w:rFonts w:cs="Times"/>
        </w:rPr>
        <w:t>shRNA</w:t>
      </w:r>
      <w:proofErr w:type="spellEnd"/>
      <w:r w:rsidR="00852231">
        <w:rPr>
          <w:rFonts w:cs="Times"/>
        </w:rPr>
        <w:t xml:space="preserve"> #1</w:t>
      </w:r>
      <w:r w:rsidR="007D22A8">
        <w:rPr>
          <w:rFonts w:cs="Times"/>
        </w:rPr>
        <w:t xml:space="preserve">.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E475B9">
        <w:rPr>
          <w:rFonts w:cs="Times"/>
        </w:rPr>
        <w:t>B, C and 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463A28E7"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w:t>
      </w:r>
      <w:proofErr w:type="spellStart"/>
      <w:r>
        <w:rPr>
          <w:rFonts w:cs="Times"/>
          <w:b/>
        </w:rPr>
        <w:t>Eclose</w:t>
      </w:r>
      <w:proofErr w:type="spellEnd"/>
      <w:r>
        <w:rPr>
          <w:rFonts w:cs="Times"/>
          <w:b/>
        </w:rPr>
        <w:t xml:space="preserve"> from </w:t>
      </w:r>
      <w:proofErr w:type="spellStart"/>
      <w:r>
        <w:rPr>
          <w:rFonts w:cs="Times"/>
          <w:b/>
        </w:rPr>
        <w:t>Pupal</w:t>
      </w:r>
      <w:proofErr w:type="spellEnd"/>
      <w:r>
        <w:rPr>
          <w:rFonts w:cs="Times"/>
          <w:b/>
        </w:rPr>
        <w:t xml:space="preserve">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w:t>
      </w:r>
      <w:proofErr w:type="spellStart"/>
      <w:r w:rsidR="00303CDF">
        <w:rPr>
          <w:rFonts w:cs="Times"/>
        </w:rPr>
        <w:t>shRNA</w:t>
      </w:r>
      <w:proofErr w:type="spellEnd"/>
      <w:r w:rsidR="00303CDF">
        <w:rPr>
          <w:rFonts w:cs="Times"/>
        </w:rPr>
        <w:t xml:space="preserve"> or </w:t>
      </w:r>
      <w:r w:rsidR="00303CDF">
        <w:rPr>
          <w:rFonts w:cs="Times"/>
          <w:i/>
        </w:rPr>
        <w:t xml:space="preserve">Raptor </w:t>
      </w:r>
      <w:proofErr w:type="spellStart"/>
      <w:r w:rsidR="00303CDF">
        <w:rPr>
          <w:rFonts w:cs="Times"/>
        </w:rPr>
        <w:t>shRNA</w:t>
      </w:r>
      <w:proofErr w:type="spellEnd"/>
      <w:r w:rsidR="00303CDF">
        <w:rPr>
          <w:rFonts w:cs="Times"/>
        </w:rPr>
        <w:t xml:space="preserve"> #1 were examined </w:t>
      </w:r>
      <w:r w:rsidR="00912CF5">
        <w:rPr>
          <w:rFonts w:cs="Times"/>
        </w:rPr>
        <w:t xml:space="preserve">from </w:t>
      </w:r>
      <w:proofErr w:type="spellStart"/>
      <w:r w:rsidR="00912CF5">
        <w:rPr>
          <w:rFonts w:cs="Times"/>
        </w:rPr>
        <w:t>pupal</w:t>
      </w:r>
      <w:proofErr w:type="spellEnd"/>
      <w:r w:rsidR="00912CF5">
        <w:rPr>
          <w:rFonts w:cs="Times"/>
        </w:rPr>
        <w:t xml:space="preserve"> stage </w:t>
      </w:r>
      <w:r w:rsidR="003B40CA">
        <w:rPr>
          <w:rFonts w:cs="Times"/>
        </w:rPr>
        <w:t>10</w:t>
      </w:r>
      <w:r w:rsidR="00912CF5">
        <w:rPr>
          <w:rFonts w:cs="Times"/>
        </w:rPr>
        <w:t xml:space="preserve"> till after </w:t>
      </w:r>
      <w:proofErr w:type="spellStart"/>
      <w:r w:rsidR="00912CF5">
        <w:rPr>
          <w:rFonts w:cs="Times"/>
        </w:rPr>
        <w:t>eclosure</w:t>
      </w:r>
      <w:proofErr w:type="spellEnd"/>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proofErr w:type="spellStart"/>
      <w:r w:rsidR="00303CDF">
        <w:rPr>
          <w:rFonts w:cs="Times"/>
        </w:rPr>
        <w:t>eclosed</w:t>
      </w:r>
      <w:proofErr w:type="spellEnd"/>
      <w:r w:rsidR="00303CDF">
        <w:rPr>
          <w:rFonts w:cs="Times"/>
        </w:rPr>
        <w:t xml:space="preserve"> but </w:t>
      </w:r>
      <w:r w:rsidR="00303CDF">
        <w:rPr>
          <w:rFonts w:cs="Times"/>
          <w:i/>
        </w:rPr>
        <w:t>Raptor</w:t>
      </w:r>
      <w:r w:rsidR="00303CDF">
        <w:rPr>
          <w:rFonts w:cs="Times"/>
        </w:rPr>
        <w:t xml:space="preserve"> knockdown flies remained inside the </w:t>
      </w:r>
      <w:proofErr w:type="spellStart"/>
      <w:r w:rsidR="00303CDF">
        <w:rPr>
          <w:rFonts w:cs="Times"/>
        </w:rPr>
        <w:t>pupal</w:t>
      </w:r>
      <w:proofErr w:type="spellEnd"/>
      <w:r w:rsidR="00303CDF">
        <w:rPr>
          <w:rFonts w:cs="Times"/>
        </w:rPr>
        <w:t xml:space="preserve"> cases.  B) On day 10, </w:t>
      </w:r>
      <w:r w:rsidR="00912CF5">
        <w:rPr>
          <w:rFonts w:cs="Times"/>
        </w:rPr>
        <w:t xml:space="preserve">(approximately </w:t>
      </w:r>
      <w:proofErr w:type="spellStart"/>
      <w:r w:rsidR="00912CF5">
        <w:rPr>
          <w:rFonts w:cs="Times"/>
        </w:rPr>
        <w:t>pupal</w:t>
      </w:r>
      <w:proofErr w:type="spellEnd"/>
      <w:r w:rsidR="00912CF5">
        <w:rPr>
          <w:rFonts w:cs="Times"/>
        </w:rPr>
        <w:t xml:space="preserve"> stage 12) </w:t>
      </w:r>
      <w:proofErr w:type="spellStart"/>
      <w:r w:rsidR="00303CDF">
        <w:rPr>
          <w:rFonts w:cs="Times"/>
        </w:rPr>
        <w:t>pupal</w:t>
      </w:r>
      <w:proofErr w:type="spellEnd"/>
      <w:r w:rsidR="00303CDF">
        <w:rPr>
          <w:rFonts w:cs="Times"/>
        </w:rPr>
        <w:t xml:space="preserve"> cases were cut open </w:t>
      </w:r>
      <w:r w:rsidR="00912CF5">
        <w:rPr>
          <w:rFonts w:cs="Times"/>
        </w:rPr>
        <w:t xml:space="preserve">at the operculum </w:t>
      </w:r>
      <w:r w:rsidR="00303CDF">
        <w:rPr>
          <w:rFonts w:cs="Times"/>
        </w:rPr>
        <w:t xml:space="preserve">to assist </w:t>
      </w:r>
      <w:proofErr w:type="spellStart"/>
      <w:r w:rsidR="00303CDF">
        <w:rPr>
          <w:rFonts w:cs="Times"/>
        </w:rPr>
        <w:t>eclosure</w:t>
      </w:r>
      <w:proofErr w:type="spellEnd"/>
      <w:r w:rsidR="00303CDF">
        <w:rPr>
          <w:rFonts w:cs="Times"/>
        </w:rPr>
        <w:t>,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proofErr w:type="spellStart"/>
      <w:r w:rsidR="00303CDF">
        <w:rPr>
          <w:rFonts w:cs="Times"/>
        </w:rPr>
        <w:t>shRNA</w:t>
      </w:r>
      <w:proofErr w:type="spellEnd"/>
      <w:r w:rsidR="00303CDF">
        <w:rPr>
          <w:rFonts w:cs="Times"/>
        </w:rPr>
        <w:t xml:space="preserve"> flies that </w:t>
      </w:r>
      <w:proofErr w:type="spellStart"/>
      <w:r w:rsidR="00303CDF">
        <w:rPr>
          <w:rFonts w:cs="Times"/>
        </w:rPr>
        <w:t>eclosed</w:t>
      </w:r>
      <w:proofErr w:type="spellEnd"/>
      <w:r w:rsidR="00303CDF">
        <w:rPr>
          <w:rFonts w:cs="Times"/>
        </w:rPr>
        <w:t xml:space="preserve"> </w:t>
      </w:r>
      <w:r w:rsidR="00912CF5">
        <w:rPr>
          <w:rFonts w:cs="Times"/>
        </w:rPr>
        <w:t xml:space="preserve">with assistance </w:t>
      </w:r>
      <w:r w:rsidR="00303CDF">
        <w:rPr>
          <w:rFonts w:cs="Times"/>
        </w:rPr>
        <w:t>had 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w:t>
      </w:r>
      <w:proofErr w:type="spellStart"/>
      <w:r w:rsidR="00A8530A">
        <w:rPr>
          <w:rFonts w:cs="Times"/>
        </w:rPr>
        <w:t>shRNA</w:t>
      </w:r>
      <w:proofErr w:type="spellEnd"/>
      <w:r w:rsidR="00A8530A">
        <w:rPr>
          <w:rFonts w:cs="Times"/>
        </w:rPr>
        <w:t xml:space="preserve">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w:t>
      </w:r>
      <w:proofErr w:type="spellStart"/>
      <w:r w:rsidR="00A8530A">
        <w:rPr>
          <w:rFonts w:cs="Times"/>
        </w:rPr>
        <w:t>shRNA</w:t>
      </w:r>
      <w:proofErr w:type="spellEnd"/>
      <w:r w:rsidR="00A8530A">
        <w:rPr>
          <w:rFonts w:cs="Times"/>
        </w:rPr>
        <w:t>/</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712CB3B1" w:rsidR="00BD3C4E"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proofErr w:type="spellStart"/>
            <w:r w:rsidRPr="00CB6B08">
              <w:rPr>
                <w:rFonts w:cs="Times New Roman"/>
                <w:i/>
              </w:rPr>
              <w:t>Myog</w:t>
            </w:r>
            <w:proofErr w:type="spellEnd"/>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proofErr w:type="spellStart"/>
            <w:r>
              <w:rPr>
                <w:rFonts w:cs="Times New Roman"/>
                <w:i/>
              </w:rPr>
              <w:t>Gapdh</w:t>
            </w:r>
            <w:proofErr w:type="spellEnd"/>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 xml:space="preserve">Control </w:t>
            </w:r>
            <w:proofErr w:type="spellStart"/>
            <w:r w:rsidRPr="007612F4">
              <w:t>shRNA</w:t>
            </w:r>
            <w:proofErr w:type="spellEnd"/>
            <w:r w:rsidRPr="007612F4">
              <w:t xml:space="preserve">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4-11-23T11:42:00Z" w:initials="DB">
    <w:p w14:paraId="76E9BF56" w14:textId="0DE3DE2E" w:rsidR="009F743D" w:rsidRDefault="009F743D">
      <w:pPr>
        <w:pStyle w:val="CommentText"/>
      </w:pPr>
      <w:r>
        <w:rPr>
          <w:rStyle w:val="CommentReference"/>
        </w:rPr>
        <w:annotationRef/>
      </w:r>
      <w:r>
        <w:t xml:space="preserve">Add discussion of </w:t>
      </w:r>
      <w:proofErr w:type="spellStart"/>
      <w:r>
        <w:t>Bentzinger</w:t>
      </w:r>
      <w:proofErr w:type="spellEnd"/>
      <w:r>
        <w:t xml:space="preserve"> data, talking about Raptor data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6F58"/>
    <w:rsid w:val="000B3301"/>
    <w:rsid w:val="000E3F6C"/>
    <w:rsid w:val="000E45D7"/>
    <w:rsid w:val="000E6DEC"/>
    <w:rsid w:val="001012AA"/>
    <w:rsid w:val="001023DD"/>
    <w:rsid w:val="001120E6"/>
    <w:rsid w:val="001155A3"/>
    <w:rsid w:val="00116EA4"/>
    <w:rsid w:val="00123E7E"/>
    <w:rsid w:val="00140006"/>
    <w:rsid w:val="00140C24"/>
    <w:rsid w:val="001425E4"/>
    <w:rsid w:val="001437DE"/>
    <w:rsid w:val="00147489"/>
    <w:rsid w:val="001530A5"/>
    <w:rsid w:val="00162960"/>
    <w:rsid w:val="00166782"/>
    <w:rsid w:val="00174E48"/>
    <w:rsid w:val="00187BB9"/>
    <w:rsid w:val="00191E20"/>
    <w:rsid w:val="001979CE"/>
    <w:rsid w:val="001A0687"/>
    <w:rsid w:val="001A363B"/>
    <w:rsid w:val="001A3F94"/>
    <w:rsid w:val="001A6DDD"/>
    <w:rsid w:val="001B240E"/>
    <w:rsid w:val="001B4D8C"/>
    <w:rsid w:val="001B7635"/>
    <w:rsid w:val="001C1FEF"/>
    <w:rsid w:val="001C2994"/>
    <w:rsid w:val="001C5B0D"/>
    <w:rsid w:val="001C5E50"/>
    <w:rsid w:val="001F289E"/>
    <w:rsid w:val="00213F28"/>
    <w:rsid w:val="00222D22"/>
    <w:rsid w:val="00234C0A"/>
    <w:rsid w:val="00241C16"/>
    <w:rsid w:val="00263B29"/>
    <w:rsid w:val="00267136"/>
    <w:rsid w:val="00272846"/>
    <w:rsid w:val="002754B1"/>
    <w:rsid w:val="002759D1"/>
    <w:rsid w:val="0028099F"/>
    <w:rsid w:val="00296E19"/>
    <w:rsid w:val="00297FB0"/>
    <w:rsid w:val="002A13D8"/>
    <w:rsid w:val="002A5C22"/>
    <w:rsid w:val="002B1207"/>
    <w:rsid w:val="002C0A54"/>
    <w:rsid w:val="002D6048"/>
    <w:rsid w:val="002D6EEF"/>
    <w:rsid w:val="002E2075"/>
    <w:rsid w:val="002E57BF"/>
    <w:rsid w:val="002F0B96"/>
    <w:rsid w:val="003006ED"/>
    <w:rsid w:val="00303CDF"/>
    <w:rsid w:val="0033192B"/>
    <w:rsid w:val="00335C71"/>
    <w:rsid w:val="00335DDC"/>
    <w:rsid w:val="003368D0"/>
    <w:rsid w:val="00337149"/>
    <w:rsid w:val="00340AA3"/>
    <w:rsid w:val="0034122C"/>
    <w:rsid w:val="00346877"/>
    <w:rsid w:val="00351885"/>
    <w:rsid w:val="00355F7A"/>
    <w:rsid w:val="00357F77"/>
    <w:rsid w:val="00364075"/>
    <w:rsid w:val="0038192E"/>
    <w:rsid w:val="003937DA"/>
    <w:rsid w:val="00396F4E"/>
    <w:rsid w:val="003979DD"/>
    <w:rsid w:val="003A5FFB"/>
    <w:rsid w:val="003B40CA"/>
    <w:rsid w:val="003C09B8"/>
    <w:rsid w:val="003D13F4"/>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5797D"/>
    <w:rsid w:val="00561F32"/>
    <w:rsid w:val="0056326A"/>
    <w:rsid w:val="00565EB2"/>
    <w:rsid w:val="00566E54"/>
    <w:rsid w:val="00571E6C"/>
    <w:rsid w:val="005732B6"/>
    <w:rsid w:val="005736E0"/>
    <w:rsid w:val="00581BE2"/>
    <w:rsid w:val="0058328D"/>
    <w:rsid w:val="00591936"/>
    <w:rsid w:val="005B4AB2"/>
    <w:rsid w:val="005C3F76"/>
    <w:rsid w:val="005D5E1F"/>
    <w:rsid w:val="005E17FC"/>
    <w:rsid w:val="005E7D74"/>
    <w:rsid w:val="00605028"/>
    <w:rsid w:val="00615C91"/>
    <w:rsid w:val="00636E3E"/>
    <w:rsid w:val="00650720"/>
    <w:rsid w:val="006552AD"/>
    <w:rsid w:val="00660F67"/>
    <w:rsid w:val="00663EFD"/>
    <w:rsid w:val="00664141"/>
    <w:rsid w:val="006675BB"/>
    <w:rsid w:val="00674B7E"/>
    <w:rsid w:val="006858C4"/>
    <w:rsid w:val="006921CD"/>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357B4"/>
    <w:rsid w:val="00740552"/>
    <w:rsid w:val="0074200C"/>
    <w:rsid w:val="00751EFD"/>
    <w:rsid w:val="0075212D"/>
    <w:rsid w:val="00765BEC"/>
    <w:rsid w:val="007829BF"/>
    <w:rsid w:val="00784B8B"/>
    <w:rsid w:val="0078613C"/>
    <w:rsid w:val="00796539"/>
    <w:rsid w:val="007A2B2C"/>
    <w:rsid w:val="007A6016"/>
    <w:rsid w:val="007B38A0"/>
    <w:rsid w:val="007C342C"/>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86ACA"/>
    <w:rsid w:val="00895AB1"/>
    <w:rsid w:val="00895FB6"/>
    <w:rsid w:val="008A7FA9"/>
    <w:rsid w:val="008B0C37"/>
    <w:rsid w:val="008B5CF0"/>
    <w:rsid w:val="008C6740"/>
    <w:rsid w:val="008C7002"/>
    <w:rsid w:val="008D7AA8"/>
    <w:rsid w:val="008F353C"/>
    <w:rsid w:val="008F6195"/>
    <w:rsid w:val="00900345"/>
    <w:rsid w:val="0090102F"/>
    <w:rsid w:val="00901BD5"/>
    <w:rsid w:val="009111E3"/>
    <w:rsid w:val="00912CF5"/>
    <w:rsid w:val="00912E8F"/>
    <w:rsid w:val="0091570F"/>
    <w:rsid w:val="00921C69"/>
    <w:rsid w:val="00922DE5"/>
    <w:rsid w:val="00930499"/>
    <w:rsid w:val="009364BA"/>
    <w:rsid w:val="009637F4"/>
    <w:rsid w:val="00963A23"/>
    <w:rsid w:val="00966E4D"/>
    <w:rsid w:val="00974669"/>
    <w:rsid w:val="00975E32"/>
    <w:rsid w:val="00982134"/>
    <w:rsid w:val="00985A98"/>
    <w:rsid w:val="009939D0"/>
    <w:rsid w:val="009964F9"/>
    <w:rsid w:val="009C36DF"/>
    <w:rsid w:val="009C6482"/>
    <w:rsid w:val="009E4939"/>
    <w:rsid w:val="009F2B03"/>
    <w:rsid w:val="009F58DC"/>
    <w:rsid w:val="009F649A"/>
    <w:rsid w:val="009F743D"/>
    <w:rsid w:val="009F7B4A"/>
    <w:rsid w:val="00A27620"/>
    <w:rsid w:val="00A313FA"/>
    <w:rsid w:val="00A35634"/>
    <w:rsid w:val="00A52511"/>
    <w:rsid w:val="00A57AAC"/>
    <w:rsid w:val="00A643C8"/>
    <w:rsid w:val="00A75F04"/>
    <w:rsid w:val="00A82B17"/>
    <w:rsid w:val="00A8530A"/>
    <w:rsid w:val="00A87B4B"/>
    <w:rsid w:val="00A95905"/>
    <w:rsid w:val="00A95BDD"/>
    <w:rsid w:val="00AA05A9"/>
    <w:rsid w:val="00AA5186"/>
    <w:rsid w:val="00AB5083"/>
    <w:rsid w:val="00AB5F98"/>
    <w:rsid w:val="00AC1347"/>
    <w:rsid w:val="00AC46B0"/>
    <w:rsid w:val="00AC4DDA"/>
    <w:rsid w:val="00AC63C1"/>
    <w:rsid w:val="00AF6080"/>
    <w:rsid w:val="00B11CCB"/>
    <w:rsid w:val="00B12C37"/>
    <w:rsid w:val="00B16DF5"/>
    <w:rsid w:val="00B20189"/>
    <w:rsid w:val="00B22C5A"/>
    <w:rsid w:val="00B24E32"/>
    <w:rsid w:val="00B26960"/>
    <w:rsid w:val="00B3331D"/>
    <w:rsid w:val="00B467DD"/>
    <w:rsid w:val="00B5747D"/>
    <w:rsid w:val="00B601BB"/>
    <w:rsid w:val="00B63328"/>
    <w:rsid w:val="00B645DB"/>
    <w:rsid w:val="00B64A0B"/>
    <w:rsid w:val="00B65631"/>
    <w:rsid w:val="00B65E85"/>
    <w:rsid w:val="00B675A2"/>
    <w:rsid w:val="00B70FD4"/>
    <w:rsid w:val="00B840BA"/>
    <w:rsid w:val="00B84625"/>
    <w:rsid w:val="00B93B95"/>
    <w:rsid w:val="00B94D00"/>
    <w:rsid w:val="00BC1C08"/>
    <w:rsid w:val="00BD3C4E"/>
    <w:rsid w:val="00BD6FBB"/>
    <w:rsid w:val="00BE0793"/>
    <w:rsid w:val="00BE2567"/>
    <w:rsid w:val="00BE37DD"/>
    <w:rsid w:val="00BF484F"/>
    <w:rsid w:val="00C06AF7"/>
    <w:rsid w:val="00C10A32"/>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2116"/>
    <w:rsid w:val="00CC4247"/>
    <w:rsid w:val="00CC59CA"/>
    <w:rsid w:val="00CD612B"/>
    <w:rsid w:val="00CD646A"/>
    <w:rsid w:val="00CE74AE"/>
    <w:rsid w:val="00CF146B"/>
    <w:rsid w:val="00CF329D"/>
    <w:rsid w:val="00D005B4"/>
    <w:rsid w:val="00D01A75"/>
    <w:rsid w:val="00D07587"/>
    <w:rsid w:val="00D10BC7"/>
    <w:rsid w:val="00D23E82"/>
    <w:rsid w:val="00D56A66"/>
    <w:rsid w:val="00D71024"/>
    <w:rsid w:val="00D8035D"/>
    <w:rsid w:val="00D823B8"/>
    <w:rsid w:val="00D86513"/>
    <w:rsid w:val="00DA59AE"/>
    <w:rsid w:val="00DB29A1"/>
    <w:rsid w:val="00DC2258"/>
    <w:rsid w:val="00DD09CF"/>
    <w:rsid w:val="00DD6A3B"/>
    <w:rsid w:val="00DE34B5"/>
    <w:rsid w:val="00DE4D42"/>
    <w:rsid w:val="00DF02CD"/>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77680"/>
    <w:rsid w:val="00E822AA"/>
    <w:rsid w:val="00E9011E"/>
    <w:rsid w:val="00E95629"/>
    <w:rsid w:val="00EB0682"/>
    <w:rsid w:val="00EB1511"/>
    <w:rsid w:val="00EB7DB6"/>
    <w:rsid w:val="00EE0AF8"/>
    <w:rsid w:val="00EE5936"/>
    <w:rsid w:val="00EE5C4B"/>
    <w:rsid w:val="00EE706E"/>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D5"/>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1616446554">
      <w:bodyDiv w:val="1"/>
      <w:marLeft w:val="0"/>
      <w:marRight w:val="0"/>
      <w:marTop w:val="0"/>
      <w:marBottom w:val="0"/>
      <w:divBdr>
        <w:top w:val="none" w:sz="0" w:space="0" w:color="auto"/>
        <w:left w:val="none" w:sz="0" w:space="0" w:color="auto"/>
        <w:bottom w:val="none" w:sz="0" w:space="0" w:color="auto"/>
        <w:right w:val="none" w:sz="0" w:space="0" w:color="auto"/>
      </w:divBdr>
      <w:divsChild>
        <w:div w:id="1369447155">
          <w:marLeft w:val="0"/>
          <w:marRight w:val="750"/>
          <w:marTop w:val="0"/>
          <w:marBottom w:val="0"/>
          <w:divBdr>
            <w:top w:val="none" w:sz="0" w:space="0" w:color="auto"/>
            <w:left w:val="none" w:sz="0" w:space="0" w:color="auto"/>
            <w:bottom w:val="none" w:sz="0" w:space="0" w:color="auto"/>
            <w:right w:val="none" w:sz="0" w:space="0" w:color="auto"/>
          </w:divBdr>
        </w:div>
        <w:div w:id="2032680763">
          <w:marLeft w:val="0"/>
          <w:marRight w:val="750"/>
          <w:marTop w:val="0"/>
          <w:marBottom w:val="0"/>
          <w:divBdr>
            <w:top w:val="none" w:sz="0" w:space="0" w:color="auto"/>
            <w:left w:val="none" w:sz="0" w:space="0" w:color="auto"/>
            <w:bottom w:val="none" w:sz="0" w:space="0" w:color="auto"/>
            <w:right w:val="none" w:sz="0" w:space="0" w:color="auto"/>
          </w:divBdr>
        </w:div>
      </w:divsChild>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16DDC-469A-464D-81BC-90B755336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26</Pages>
  <Words>23829</Words>
  <Characters>135827</Characters>
  <Application>Microsoft Macintosh Word</Application>
  <DocSecurity>0</DocSecurity>
  <Lines>1131</Lines>
  <Paragraphs>318</Paragraphs>
  <ScaleCrop>false</ScaleCrop>
  <Company>UTHSC</Company>
  <LinksUpToDate>false</LinksUpToDate>
  <CharactersWithSpaces>159338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41</cp:revision>
  <cp:lastPrinted>2014-10-23T19:33:00Z</cp:lastPrinted>
  <dcterms:created xsi:type="dcterms:W3CDTF">2014-10-23T19:27:00Z</dcterms:created>
  <dcterms:modified xsi:type="dcterms:W3CDTF">2014-12-11T14:53:00Z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