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bookmarkStart w:id="0" w:name="_GoBack"/>
      <w:bookmarkEnd w:id="0"/>
      <w:r w:rsidR="00A13213">
        <w:t>Yates</w:t>
      </w:r>
      <w:r w:rsidR="00A13213">
        <w:rPr>
          <w:vertAlign w:val="superscript"/>
        </w:rPr>
        <w:t>1</w:t>
      </w:r>
      <w:r w:rsidR="00A13213">
        <w:t xml:space="preserve">, </w:t>
      </w:r>
      <w:r w:rsidR="00A5301A">
        <w:t xml:space="preserve">JeAnna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r w:rsidR="00B15C05">
        <w:t>integreity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D01365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955008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w:t>
      </w:r>
      <w:r w:rsidR="008E7799">
        <w:t xml:space="preserve"> the number of flies with the TM</w:t>
      </w:r>
      <w:r w:rsidR="00FC30AD">
        <w:t>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B5AF440"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r w:rsidR="00385218">
        <w:rPr>
          <w:i/>
        </w:rPr>
        <w:t>Mhc</w:t>
      </w:r>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These results indicate that raptor continues to play a role in muscle function after development and eclosure.</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06BC3D3D"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r w:rsidR="00B005BD">
        <w:rPr>
          <w:i/>
        </w:rPr>
        <w:t>Mhc</w:t>
      </w:r>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This </w:t>
      </w:r>
      <w:r w:rsidR="004865B0">
        <w:rPr>
          <w:rFonts w:eastAsia="Times New Roman" w:cs="Times New Roman"/>
          <w:color w:val="212121"/>
        </w:rPr>
        <w:t xml:space="preserve">hypothesis </w:t>
      </w:r>
      <w:r w:rsidR="002D7723">
        <w:rPr>
          <w:rFonts w:eastAsia="Times New Roman" w:cs="Times New Roman"/>
          <w:color w:val="212121"/>
        </w:rPr>
        <w:t xml:space="preserve">is supported by the finding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A47170">
        <w:t xml:space="preserve">The qPCR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and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w:t>
      </w:r>
      <w:r w:rsidR="00B51EDB">
        <w:rPr>
          <w:rFonts w:cs="Times"/>
        </w:rPr>
        <w:t xml:space="preserve">expected </w:t>
      </w:r>
      <w:r w:rsidR="00912CF5">
        <w:rPr>
          <w:rFonts w:cs="Times"/>
        </w:rPr>
        <w:t>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r w:rsidR="00303CDF">
        <w:rPr>
          <w:rFonts w:cs="Times"/>
        </w:rPr>
        <w:t xml:space="preserve">shRNA flies that eclosed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shRNA #3 had the strongest effect on lifespan for both males and females, but all three </w:t>
      </w:r>
      <w:r w:rsidR="00531BAB" w:rsidRPr="00531BAB">
        <w:rPr>
          <w:rFonts w:cs="Times"/>
          <w:i/>
        </w:rPr>
        <w:t>Raptor</w:t>
      </w:r>
      <w:r w:rsidR="00531BAB" w:rsidRPr="00531BAB">
        <w:rPr>
          <w:rFonts w:cs="Times"/>
        </w:rPr>
        <w:t xml:space="preserve"> shRNA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r>
              <w:rPr>
                <w:rFonts w:cs="Times New Roman"/>
                <w:i/>
              </w:rPr>
              <w:t>Gapdh</w:t>
            </w:r>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r w:rsidRPr="00CB6B08">
              <w:rPr>
                <w:rFonts w:cs="Times New Roman"/>
                <w:i/>
              </w:rPr>
              <w:t>Myog</w:t>
            </w:r>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EC4DC-77D4-2647-928C-4F9A069DB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31</Pages>
  <Words>32156</Words>
  <Characters>183294</Characters>
  <Application>Microsoft Macintosh Word</Application>
  <DocSecurity>0</DocSecurity>
  <Lines>1527</Lines>
  <Paragraphs>430</Paragraphs>
  <ScaleCrop>false</ScaleCrop>
  <Company>UTHSC</Company>
  <LinksUpToDate>false</LinksUpToDate>
  <CharactersWithSpaces>215020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102</cp:revision>
  <cp:lastPrinted>2014-10-23T19:33:00Z</cp:lastPrinted>
  <dcterms:created xsi:type="dcterms:W3CDTF">2014-10-23T19:27:00Z</dcterms:created>
  <dcterms:modified xsi:type="dcterms:W3CDTF">2014-12-23T14:58:00Z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