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510F88" w:rsidP="00510F88">
      <w:pPr>
        <w:pStyle w:val="Title"/>
      </w:pPr>
      <w:r w:rsidRPr="00510F88">
        <w:t>Activation of mTORC1 and Suppression of Autophagy in Muscle Shortens Lifespan in Mice and Flies</w:t>
      </w:r>
    </w:p>
    <w:p w14:paraId="575A596B" w14:textId="79226E75" w:rsidR="00510F88" w:rsidRPr="00A46FDD" w:rsidRDefault="00510F88" w:rsidP="00510F88">
      <w:pPr>
        <w:rPr>
          <w:vertAlign w:val="superscript"/>
        </w:rPr>
      </w:pPr>
      <w:r>
        <w:t>Isabelle Hatfield</w:t>
      </w:r>
      <w:r w:rsidRPr="00AF0331">
        <w:rPr>
          <w:rStyle w:val="FootnoteReference"/>
        </w:rPr>
        <w:footnoteReference w:id="1"/>
      </w:r>
      <w:r>
        <w:t>, Erin J. Stephenson</w:t>
      </w:r>
      <w:r w:rsidRPr="00510F88">
        <w:rPr>
          <w:vertAlign w:val="superscript"/>
        </w:rPr>
        <w:t>1</w:t>
      </w:r>
      <w:r w:rsidR="00A46FDD">
        <w:rPr>
          <w:vertAlign w:val="superscript"/>
        </w:rPr>
        <w:t>,</w:t>
      </w:r>
      <w:r w:rsidR="00A46FDD" w:rsidRPr="00AF0331">
        <w:rPr>
          <w:rStyle w:val="FootnoteReference"/>
        </w:rPr>
        <w:footnoteReference w:id="2"/>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3"/>
      </w:r>
      <w:r>
        <w:t xml:space="preserve">, </w:t>
      </w:r>
      <w:proofErr w:type="spellStart"/>
      <w:r w:rsidR="00A46FDD">
        <w:t>JeAnna</w:t>
      </w:r>
      <w:proofErr w:type="spellEnd"/>
      <w:r w:rsidR="00A46FDD">
        <w:t xml:space="preserve"> R. Redd</w:t>
      </w:r>
      <w:r w:rsidR="00A46FDD">
        <w:rPr>
          <w:vertAlign w:val="superscript"/>
        </w:rPr>
        <w:t>1,</w:t>
      </w:r>
      <w:r w:rsidR="00A46FDD" w:rsidRPr="00AF0331">
        <w:rPr>
          <w:rStyle w:val="FootnoteReference"/>
        </w:rPr>
        <w:footnoteReference w:id="4"/>
      </w:r>
      <w:r w:rsidR="00A46FDD">
        <w:t xml:space="preserve"> , </w:t>
      </w:r>
      <w:proofErr w:type="spellStart"/>
      <w:r>
        <w:t>Binbin</w:t>
      </w:r>
      <w:proofErr w:type="spellEnd"/>
      <w:r>
        <w:t xml:space="preserve">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5"/>
      </w:r>
      <w:r w:rsidR="002021EB">
        <w:t>,</w:t>
      </w:r>
      <w:r>
        <w:t xml:space="preserve"> Lawrence T. Reiter</w:t>
      </w:r>
      <w:r w:rsidRPr="00AF0331">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7"/>
      </w:r>
    </w:p>
    <w:p w14:paraId="40255409" w14:textId="77777777" w:rsidR="00510F88" w:rsidRDefault="00510F88" w:rsidP="00510F88"/>
    <w:p w14:paraId="7315A1E7" w14:textId="77777777" w:rsidR="002021EB" w:rsidRDefault="002021EB" w:rsidP="00510F88"/>
    <w:p w14:paraId="7C1DEEDF" w14:textId="61D50CCB" w:rsidR="002021EB" w:rsidRDefault="002021EB" w:rsidP="002021EB">
      <w:pPr>
        <w:pStyle w:val="Heading1"/>
      </w:pPr>
      <w:r>
        <w:t>Abstract</w:t>
      </w:r>
    </w:p>
    <w:p w14:paraId="0E68FF42" w14:textId="6545DCFD" w:rsidR="00BB41A8" w:rsidRPr="00BB41A8" w:rsidRDefault="00BB41A8" w:rsidP="00BB41A8">
      <w:r>
        <w:t>mTORC1 inhibition via either genetic or pharmacolo</w:t>
      </w:r>
      <w:bookmarkStart w:id="0" w:name="_GoBack"/>
      <w:bookmarkEnd w:id="0"/>
      <w:r>
        <w:t xml:space="preserve">gical inhibition extends lifespan in an evolutionarily conserved manner.  In this study, we activated mTORC1, specifically in the muscle tissues of flies and mice and observed a reduction in lifespan in both model systems.  We observed reduced autophagy in muscle tissues with activated mTORC1 and then observed that knockdown of the key autophagy gene </w:t>
      </w:r>
      <w:r w:rsidRPr="0071388A">
        <w:rPr>
          <w:i/>
        </w:rPr>
        <w:t>Atg8a</w:t>
      </w:r>
      <w:r>
        <w:t xml:space="preserve"> in fly muscle tissue reduces lifespan.  Together these data are consistent with a central role for mTORC1 activity in muscle in the regulation of organismal lifespan.</w:t>
      </w:r>
    </w:p>
    <w:p w14:paraId="7DB3652B" w14:textId="6305D44B" w:rsidR="002021EB" w:rsidRDefault="002021EB" w:rsidP="002021EB">
      <w:pPr>
        <w:pStyle w:val="Heading1"/>
      </w:pPr>
      <w:r>
        <w:t>Introduction</w:t>
      </w:r>
    </w:p>
    <w:p w14:paraId="71AE1D42" w14:textId="45BC9BE6" w:rsidR="008C020D" w:rsidRDefault="008C020D" w:rsidP="008C020D">
      <w:r>
        <w:t>mTORC1 is a protein kinase which plays important roles in nutrient sensing, and the downstream responses to elevated nutrient levels</w:t>
      </w:r>
      <w:r w:rsidR="00E1298D">
        <w:fldChar w:fldCharType="begin" w:fldLock="1"/>
      </w:r>
      <w:r w:rsidR="00F04BC7">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"noteIndex" : 0 }, "schema" : "https://github.com/citation-style-language/schema/raw/master/csl-citation.json" }</w:instrText>
      </w:r>
      <w:r w:rsidR="00E1298D">
        <w:fldChar w:fldCharType="separate"/>
      </w:r>
      <w:r w:rsidR="00E1298D" w:rsidRPr="00E1298D">
        <w:rPr>
          <w:noProof/>
          <w:vertAlign w:val="superscript"/>
        </w:rPr>
        <w:t>1,2</w:t>
      </w:r>
      <w:r w:rsidR="00E1298D">
        <w:fldChar w:fldCharType="end"/>
      </w:r>
      <w:r w:rsidR="00E1298D">
        <w:t>.  Several studies have implicated mTORC1 inhibition in organismal lifespan in yeast, worms and mammals</w:t>
      </w:r>
      <w:r w:rsidR="00F04BC7">
        <w:fldChar w:fldCharType="begin" w:fldLock="1"/>
      </w:r>
      <w:r w:rsidR="003B76F9">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"&lt;sup&gt;3\u20135&lt;/sup&gt;", "plainTextFormattedCitation" : "3\u20135", "previouslyFormattedCitation" : "&lt;sup&gt;3\u20135&lt;/sup&gt;" }, "properties" : { "noteIndex" : 0 }, "schema" : "https://github.com/citation-style-language/schema/raw/master/csl-citation.json" }</w:instrText>
      </w:r>
      <w:r w:rsidR="00F04BC7">
        <w:fldChar w:fldCharType="separate"/>
      </w:r>
      <w:r w:rsidR="00E558C2" w:rsidRPr="00E558C2">
        <w:rPr>
          <w:noProof/>
          <w:vertAlign w:val="superscript"/>
        </w:rPr>
        <w:t>3–5</w:t>
      </w:r>
      <w:r w:rsidR="00F04BC7">
        <w:fldChar w:fldCharType="end"/>
      </w:r>
      <w:r w:rsidR="00E558C2">
        <w:t xml:space="preserve">.  While several mechanisms underlying this </w:t>
      </w:r>
      <w:proofErr w:type="gramStart"/>
      <w:r w:rsidR="00E558C2">
        <w:t>lifespan</w:t>
      </w:r>
      <w:proofErr w:type="gramEnd"/>
      <w:r w:rsidR="00E558C2">
        <w:t xml:space="preserve"> extension have been proposed, </w:t>
      </w:r>
      <w:r w:rsidR="003B76F9">
        <w:t>the tissue or tissues that link mTORC1 activity to extended lifespan are not well understood</w:t>
      </w:r>
      <w:r w:rsidR="00EA6FC3">
        <w:t>.</w:t>
      </w:r>
      <w:r w:rsidR="00E558C2">
        <w:t xml:space="preserve"> </w:t>
      </w:r>
    </w:p>
    <w:p w14:paraId="10BF7528" w14:textId="77777777" w:rsidR="00E558C2" w:rsidRDefault="00E558C2" w:rsidP="008C020D"/>
    <w:p w14:paraId="03C0B0D7" w14:textId="34D47167" w:rsidR="00E558C2" w:rsidRPr="008C020D" w:rsidRDefault="00E558C2" w:rsidP="008C020D">
      <w:r>
        <w:t xml:space="preserve">Muscle is an important potential target tissue for understanding aging, as functional </w:t>
      </w:r>
      <w:r w:rsidR="003B76F9">
        <w:t>differences in muscle strength predict lifespan in a longitudinal manner</w:t>
      </w:r>
      <w:commentRangeStart w:id="1"/>
      <w:r w:rsidR="003B76F9"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003B76F9" w:rsidRPr="00CB1C98">
        <w:fldChar w:fldCharType="separate"/>
      </w:r>
      <w:r w:rsidR="003B76F9" w:rsidRPr="003B76F9">
        <w:rPr>
          <w:noProof/>
          <w:vertAlign w:val="superscript"/>
        </w:rPr>
        <w:t>6–11</w:t>
      </w:r>
      <w:r w:rsidR="003B76F9" w:rsidRPr="00CB1C98">
        <w:fldChar w:fldCharType="end"/>
      </w:r>
      <w:commentRangeEnd w:id="1"/>
      <w:r w:rsidR="003B76F9">
        <w:rPr>
          <w:rStyle w:val="CommentReference"/>
        </w:rPr>
        <w:commentReference w:id="1"/>
      </w:r>
      <w:r w:rsidR="003B76F9">
        <w:t>.  Furthermore, mTORC1 regulates several important, potentially aging related processes in muscle including oxidative stress, the unfolded protein response, autophagy and lipid metabolism</w:t>
      </w:r>
      <w:r w:rsidR="005B4E17">
        <w:fldChar w:fldCharType="begin" w:fldLock="1"/>
      </w:r>
      <w:r w:rsidR="009A6007">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"&lt;sup&gt;12\u201314&lt;/sup&gt;"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w:t>
      </w:r>
      <w:r w:rsidR="00F22320">
        <w:t>,</w:t>
      </w:r>
      <w:r w:rsidR="00EA6FC3">
        <w:t xml:space="preserve"> we tested the hypothesis that activation of mTORC1, specifically within muscle tissue will affect organismal lifespan, in concert with impairments in muscle autophagy.</w:t>
      </w: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5DE1638F" w:rsidR="00832132" w:rsidRDefault="00832132" w:rsidP="004E4FCA">
      <w:proofErr w:type="spellStart"/>
      <w:r>
        <w:t>Floxed</w:t>
      </w:r>
      <w:proofErr w:type="spellEnd"/>
      <w:r>
        <w:t xml:space="preserve">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9A6007">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"&lt;sup&gt;15&lt;/sup&gt;"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proofErr w:type="spellStart"/>
      <w:r>
        <w:rPr>
          <w:i/>
        </w:rPr>
        <w:t>Ckmm-Cre</w:t>
      </w:r>
      <w:proofErr w:type="spellEnd"/>
      <w:r>
        <w:rPr>
          <w:i/>
        </w:rPr>
        <w:t xml:space="preserve"> </w:t>
      </w:r>
      <w:r w:rsidR="004E4FCA">
        <w:t>driver mice (</w:t>
      </w:r>
      <w:r w:rsidR="004E4FCA" w:rsidRPr="004E4FCA">
        <w:t>FVB-</w:t>
      </w:r>
      <w:proofErr w:type="spellStart"/>
      <w:r w:rsidR="004E4FCA" w:rsidRPr="004E4FCA">
        <w:t>Tg</w:t>
      </w:r>
      <w:proofErr w:type="spellEnd"/>
      <w:r w:rsidR="004E4FCA" w:rsidRPr="004E4FCA">
        <w:t>(</w:t>
      </w:r>
      <w:proofErr w:type="spellStart"/>
      <w:r w:rsidR="004E4FCA" w:rsidRPr="00490316">
        <w:rPr>
          <w:i/>
        </w:rPr>
        <w:t>Ckmm</w:t>
      </w:r>
      <w:r w:rsidR="00490316" w:rsidRPr="00490316">
        <w:rPr>
          <w:i/>
        </w:rPr>
        <w:t>-</w:t>
      </w:r>
      <w:r w:rsidR="004E4FCA" w:rsidRPr="00490316">
        <w:rPr>
          <w:i/>
        </w:rPr>
        <w:t>cre</w:t>
      </w:r>
      <w:proofErr w:type="spellEnd"/>
      <w:r w:rsidR="004E4FCA" w:rsidRPr="004E4FCA">
        <w:t>)5Khn/J</w:t>
      </w:r>
      <w:r w:rsidR="00490316">
        <w:fldChar w:fldCharType="begin" w:fldLock="1"/>
      </w:r>
      <w:r w:rsidR="009A6007">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"&lt;sup&gt;16&lt;/sup&gt;"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w:t>
      </w:r>
      <w:proofErr w:type="spellStart"/>
      <w:r>
        <w:t>floxed</w:t>
      </w:r>
      <w:proofErr w:type="spellEnd"/>
      <w:r>
        <w:t xml:space="preserve"> allele, and either hemizygous for the </w:t>
      </w:r>
      <w:proofErr w:type="spellStart"/>
      <w:r w:rsidRPr="00490316">
        <w:rPr>
          <w:i/>
        </w:rPr>
        <w:t>Cre</w:t>
      </w:r>
      <w:proofErr w:type="spellEnd"/>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proofErr w:type="spellStart"/>
      <w:r w:rsidRPr="006A7EEF">
        <w:rPr>
          <w:i/>
        </w:rPr>
        <w:t>Cre</w:t>
      </w:r>
      <w:proofErr w:type="spellEnd"/>
      <w:r>
        <w:t xml:space="preserve"> loci</w:t>
      </w:r>
      <w:r w:rsidR="00136D82">
        <w:t xml:space="preserve"> (wild-type)</w:t>
      </w:r>
      <w:r>
        <w:t xml:space="preserve">, homozygous at the </w:t>
      </w:r>
      <w:r w:rsidRPr="00832132">
        <w:rPr>
          <w:i/>
        </w:rPr>
        <w:t>Tsc1</w:t>
      </w:r>
      <w:r>
        <w:t xml:space="preserve"> loci (</w:t>
      </w:r>
      <w:proofErr w:type="spellStart"/>
      <w:r>
        <w:t>floxed</w:t>
      </w:r>
      <w:proofErr w:type="spellEnd"/>
      <w:r>
        <w:t xml:space="preserve"> only), hemizygous at the </w:t>
      </w:r>
      <w:proofErr w:type="spellStart"/>
      <w:r>
        <w:t>Cre</w:t>
      </w:r>
      <w:proofErr w:type="spellEnd"/>
      <w:r>
        <w:t xml:space="preserve"> loci (transgene only) or </w:t>
      </w:r>
      <w:r w:rsidRPr="00832132">
        <w:rPr>
          <w:i/>
        </w:rPr>
        <w:t>Tsc1</w:t>
      </w:r>
      <w:r>
        <w:rPr>
          <w:vertAlign w:val="superscript"/>
        </w:rPr>
        <w:t>fl/</w:t>
      </w:r>
      <w:proofErr w:type="spellStart"/>
      <w:r>
        <w:rPr>
          <w:vertAlign w:val="superscript"/>
        </w:rPr>
        <w:t>fl</w:t>
      </w:r>
      <w:proofErr w:type="spellEnd"/>
      <w:r>
        <w:t xml:space="preserve">, </w:t>
      </w:r>
      <w:proofErr w:type="spellStart"/>
      <w:r w:rsidRPr="00832132">
        <w:rPr>
          <w:i/>
        </w:rPr>
        <w:t>Ckmm-Cre</w:t>
      </w:r>
      <w:r w:rsidRPr="00832132">
        <w:rPr>
          <w:vertAlign w:val="superscript"/>
        </w:rPr>
        <w:t>Tg</w:t>
      </w:r>
      <w:proofErr w:type="spellEnd"/>
      <w:r w:rsidRPr="00832132">
        <w:rPr>
          <w:vertAlign w:val="superscript"/>
        </w:rPr>
        <w:t>/+</w:t>
      </w:r>
      <w:r>
        <w:t xml:space="preserve">.  </w:t>
      </w:r>
      <w:r w:rsidR="00136D82">
        <w:t xml:space="preserve">Only male mice were used in this analysis.  </w:t>
      </w:r>
      <w:r>
        <w:t xml:space="preserve">Animals were housed in a 12h light/dark cycle animal facility with ad libitum access to food (Harlan </w:t>
      </w:r>
      <w:commentRangeStart w:id="2"/>
      <w:proofErr w:type="spellStart"/>
      <w:r>
        <w:t>Teklad</w:t>
      </w:r>
      <w:commentRangeEnd w:id="2"/>
      <w:proofErr w:type="spellEnd"/>
      <w:r w:rsidR="004E4FCA">
        <w:rPr>
          <w:rStyle w:val="CommentReference"/>
        </w:rPr>
        <w:commentReference w:id="2"/>
      </w:r>
      <w:r w:rsidR="004E4FCA">
        <w:t xml:space="preserve">) and </w:t>
      </w:r>
      <w:r w:rsidR="004E4FCA">
        <w:lastRenderedPageBreak/>
        <w:t>water according to procedures approved by the University of Michigan University Committee on Use and Care of Animals.</w:t>
      </w:r>
      <w:r w:rsidR="00490316">
        <w:t xml:space="preserve">  </w:t>
      </w:r>
      <w:r w:rsidR="00AD0153">
        <w:t xml:space="preserve">For molecular analyses, animals at approximately 5 months 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5DF43C0E" w:rsidR="00703BEF" w:rsidRDefault="00490316" w:rsidP="00490316">
      <w:r>
        <w:t xml:space="preserve">Fly stocks were purchased from </w:t>
      </w:r>
      <w:r w:rsidR="00C937F0">
        <w:t xml:space="preserve">the Bloomington Stock </w:t>
      </w:r>
      <w:r>
        <w:t>C</w:t>
      </w:r>
      <w:r w:rsidR="00C937F0">
        <w:t>e</w:t>
      </w:r>
      <w:r>
        <w:t xml:space="preserve">nter </w:t>
      </w:r>
      <w:r w:rsidR="00C167B8">
        <w:t xml:space="preserve">(see Table 1) </w:t>
      </w:r>
      <w:r>
        <w:t>and maintained at 25</w:t>
      </w:r>
      <w:r w:rsidRPr="00490316">
        <w:t>C</w:t>
      </w:r>
      <w:r>
        <w:t xml:space="preserve"> on standard corn meal food.  </w:t>
      </w:r>
      <w:r w:rsidR="00703BEF">
        <w:t>For</w:t>
      </w:r>
      <w:r w:rsidRPr="00490316">
        <w:t xml:space="preserve"> crosses, virgin females were collected from the GAL4 driver strains. Ten females </w:t>
      </w:r>
      <w:r w:rsidR="00C167B8">
        <w:t>and 3-4 m</w:t>
      </w:r>
      <w:r w:rsidRPr="00490316">
        <w:t>ales with the appropriate genotype were chosen from each UAS-</w:t>
      </w:r>
      <w:proofErr w:type="spellStart"/>
      <w:r w:rsidRPr="00490316">
        <w:t>TRiP</w:t>
      </w:r>
      <w:proofErr w:type="spellEnd"/>
      <w:r w:rsidRPr="00490316">
        <w:t>-shRNA lines as well as a UAS-</w:t>
      </w:r>
      <w:proofErr w:type="spellStart"/>
      <w:r w:rsidRPr="00490316">
        <w:t>TRiP</w:t>
      </w:r>
      <w:proofErr w:type="spellEnd"/>
      <w:r w:rsidRPr="00490316">
        <w:t xml:space="preserve"> control which contains the genom</w:t>
      </w:r>
      <w:r>
        <w:t>ic insertion site but no shRNA</w:t>
      </w:r>
      <w:r>
        <w:fldChar w:fldCharType="begin" w:fldLock="1"/>
      </w:r>
      <w:r w:rsidR="009A600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EA6FC3" w:rsidRPr="00EA6FC3">
        <w:rPr>
          <w:noProof/>
          <w:vertAlign w:val="superscript"/>
        </w:rPr>
        <w:t>17</w:t>
      </w:r>
      <w:r>
        <w:fldChar w:fldCharType="end"/>
      </w:r>
      <w:r w:rsidRPr="00490316">
        <w:t xml:space="preserve"> . Flies were maintained in a humi</w:t>
      </w:r>
      <w:r w:rsidR="00703BEF">
        <w:t>dified (50–60%) incubator at 25</w:t>
      </w:r>
      <w:r w:rsidRPr="00490316">
        <w:t xml:space="preserve">C. Ten days after each cross the F1 progeny began to </w:t>
      </w:r>
      <w:proofErr w:type="spellStart"/>
      <w:r w:rsidRPr="00490316">
        <w:t>eclose</w:t>
      </w:r>
      <w:proofErr w:type="spellEnd"/>
      <w:r w:rsidRPr="00490316">
        <w:t xml:space="preserve"> and adults were </w:t>
      </w:r>
      <w:r w:rsidR="00C167B8">
        <w:t xml:space="preserve">separated and </w:t>
      </w:r>
      <w:r w:rsidRPr="00490316">
        <w:t xml:space="preserve">sorted according to </w:t>
      </w:r>
      <w:r w:rsidR="00C167B8">
        <w:t>visible markers</w:t>
      </w:r>
      <w:r w:rsidRPr="00490316">
        <w:t xml:space="preserve"> and gender</w:t>
      </w:r>
      <w:r w:rsidR="00C167B8">
        <w:t xml:space="preserve"> </w:t>
      </w:r>
      <w:r w:rsidR="00C167B8" w:rsidRPr="00490316">
        <w:t>with 5–10 flies in each vial</w:t>
      </w:r>
      <w:r w:rsidRPr="00490316">
        <w:t xml:space="preserve">. </w:t>
      </w:r>
      <w:r w:rsidR="002003D4">
        <w:t xml:space="preserve">Flies bearing the balancer markers were discarded from the analysis.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6E8260A" w:rsidR="002003D4" w:rsidRPr="002003D4" w:rsidRDefault="002003D4" w:rsidP="002003D4">
      <w:r>
        <w:t>Muscle samples</w:t>
      </w:r>
      <w:r w:rsidR="00B756F2">
        <w:t xml:space="preserve"> from </w:t>
      </w:r>
      <w:proofErr w:type="gramStart"/>
      <w:r w:rsidR="009D18DB">
        <w:t>5 month</w:t>
      </w:r>
      <w:r w:rsidR="00B756F2">
        <w:t xml:space="preserve"> old</w:t>
      </w:r>
      <w:proofErr w:type="gramEnd"/>
      <w:r w:rsidR="00B756F2">
        <w:t xml:space="preserve"> mice</w:t>
      </w:r>
      <w:r>
        <w:t xml:space="preserve"> (20-50</w:t>
      </w:r>
      <w:r w:rsidR="00AC7513">
        <w:t xml:space="preserve"> </w:t>
      </w:r>
      <w:proofErr w:type="spellStart"/>
      <w:r w:rsidR="00AC7513">
        <w:t>ug</w:t>
      </w:r>
      <w:proofErr w:type="spellEnd"/>
      <w:r>
        <w:t xml:space="preserve">) were lysed in 20 </w:t>
      </w:r>
      <w:proofErr w:type="spellStart"/>
      <w:r>
        <w:t>uL</w:t>
      </w:r>
      <w:proofErr w:type="spellEnd"/>
      <w:r>
        <w:t xml:space="preserve">/mg of </w:t>
      </w:r>
      <w:commentRangeStart w:id="3"/>
      <w:r>
        <w:t xml:space="preserve">RIPA </w:t>
      </w:r>
      <w:commentRangeEnd w:id="3"/>
      <w:r w:rsidR="00501D40">
        <w:rPr>
          <w:rStyle w:val="CommentReference"/>
        </w:rPr>
        <w:commentReference w:id="3"/>
      </w:r>
      <w:r>
        <w:t xml:space="preserve">buffer using a </w:t>
      </w:r>
      <w:proofErr w:type="spellStart"/>
      <w:r>
        <w:t>Qialyser</w:t>
      </w:r>
      <w:proofErr w:type="spellEnd"/>
      <w:r>
        <w:t xml:space="preserve"> (5 minutes at 30 Hz).  After centrifugation </w:t>
      </w:r>
      <w:r w:rsidR="00AC7513">
        <w:t>(15 minutes at 14 000 RPM), lysates were boiled in a final concentration of 1X SDS-PAGE sample buffer (</w:t>
      </w:r>
      <w:proofErr w:type="spellStart"/>
      <w:r w:rsidR="00AC7513">
        <w:t>BioRad</w:t>
      </w:r>
      <w:proofErr w:type="spellEnd"/>
      <w:r w:rsidR="00AC7513">
        <w:t xml:space="preserve">).  Proteins were separated on pre-cast gradient gels from </w:t>
      </w:r>
      <w:proofErr w:type="spellStart"/>
      <w:r w:rsidR="00AC7513">
        <w:t>BioRad</w:t>
      </w:r>
      <w:proofErr w:type="spellEnd"/>
      <w:r w:rsidR="00AC7513">
        <w:t xml:space="preserve"> and transferred to nitrocellulose membranes.  After blocking in 2% bovine serum albumin (Fisher), </w:t>
      </w:r>
      <w:r w:rsidR="00DB6289">
        <w:t>blots</w:t>
      </w:r>
      <w:r w:rsidR="00AC7513">
        <w:t xml:space="preserve"> were probed </w:t>
      </w:r>
      <w:commentRangeStart w:id="4"/>
      <w:r w:rsidR="00AC7513">
        <w:t>with anti-LC3, anti-pS6K, total S6K, anti-pS6 and anti-S6 antibodies</w:t>
      </w:r>
      <w:commentRangeEnd w:id="4"/>
      <w:r w:rsidR="00984EF2">
        <w:rPr>
          <w:rStyle w:val="CommentReference"/>
        </w:rPr>
        <w:commentReference w:id="4"/>
      </w:r>
      <w:r w:rsidR="00E86A9C">
        <w:t xml:space="preserve">.  Secondary antibodies were </w:t>
      </w:r>
      <w:r w:rsidR="00DB6289">
        <w:t>A</w:t>
      </w:r>
      <w:r w:rsidR="00AC7513">
        <w:t>lexa 680/700 conjugated anti-mouse and anti-rabbit secondary antibodies</w:t>
      </w:r>
      <w:r w:rsidR="00DB6289">
        <w:t xml:space="preserve"> from Life Technologies.</w:t>
      </w:r>
      <w:r w:rsidR="00AC7513">
        <w:t xml:space="preserve"> </w:t>
      </w:r>
      <w:r w:rsidR="00DB6289">
        <w:t>Blots</w:t>
      </w:r>
      <w:r w:rsidR="00AC7513">
        <w:t xml:space="preserve"> were visualized via a </w:t>
      </w:r>
      <w:proofErr w:type="spellStart"/>
      <w:r w:rsidR="00AC7513">
        <w:t>LiCOR</w:t>
      </w:r>
      <w:proofErr w:type="spellEnd"/>
      <w:r w:rsidR="00AC7513">
        <w:t xml:space="preserve"> Odyssey system.  Quantification was performed using </w:t>
      </w:r>
      <w:proofErr w:type="spellStart"/>
      <w:r w:rsidR="00AC7513">
        <w:t>ImageStudio</w:t>
      </w:r>
      <w:proofErr w:type="spellEnd"/>
      <w:r w:rsidR="00AC7513">
        <w:t xml:space="preserve"> Lite (</w:t>
      </w:r>
      <w:proofErr w:type="spellStart"/>
      <w:r w:rsidR="00AC7513">
        <w:t>LiCOR</w:t>
      </w:r>
      <w:proofErr w:type="spellEnd"/>
      <w:r w:rsidR="00AC7513">
        <w:t>).</w:t>
      </w:r>
    </w:p>
    <w:p w14:paraId="52CD405B" w14:textId="77777777" w:rsidR="00703BEF" w:rsidRDefault="00703BEF" w:rsidP="00703BEF">
      <w:pPr>
        <w:pStyle w:val="Heading2"/>
      </w:pPr>
      <w:r>
        <w:t>Statistics</w:t>
      </w:r>
    </w:p>
    <w:p w14:paraId="2E3F3883" w14:textId="215BA20F" w:rsidR="00AC7513" w:rsidRPr="00AC7513" w:rsidRDefault="00AA06CE" w:rsidP="00AC7513">
      <w:r>
        <w:t xml:space="preserve">Statistical significance was designated at </w:t>
      </w:r>
      <w:r>
        <w:rPr>
          <w:rFonts w:ascii="Symbol" w:hAnsi="Symbol"/>
        </w:rPr>
        <w:sym w:font="Symbol" w:char="F061"/>
      </w:r>
      <w:r>
        <w:t xml:space="preserve">&lt;0.05 for this study.  </w:t>
      </w:r>
      <w:r w:rsidR="00AC7513">
        <w:t>All statistical tests were performed using the R software package</w:t>
      </w:r>
      <w:r w:rsidR="00AC7513">
        <w:fldChar w:fldCharType="begin" w:fldLock="1"/>
      </w:r>
      <w:r w:rsidR="009A600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"&lt;sup&gt;18&lt;/sup&gt;" }, "properties" : { "noteIndex" : 0 }, "schema" : "https://github.com/citation-style-language/schema/raw/master/csl-citation.json" }</w:instrText>
      </w:r>
      <w:r w:rsidR="00AC7513">
        <w:fldChar w:fldCharType="separate"/>
      </w:r>
      <w:r w:rsidR="00EA6FC3" w:rsidRPr="00EA6FC3">
        <w:rPr>
          <w:noProof/>
          <w:vertAlign w:val="superscript"/>
        </w:rPr>
        <w:t>18</w:t>
      </w:r>
      <w:r w:rsidR="00AC7513">
        <w:fldChar w:fldCharType="end"/>
      </w:r>
      <w:r w:rsidR="00AC7513">
        <w:t xml:space="preserve">.  </w:t>
      </w:r>
      <w:r w:rsidR="0034064A">
        <w:t xml:space="preserve">For pairwise tests, normality was tested via Shapiro-Wilk tests, and equal variance was tested using </w:t>
      </w:r>
      <w:proofErr w:type="spellStart"/>
      <w:r w:rsidR="0034064A">
        <w:t>Levene’s</w:t>
      </w:r>
      <w:proofErr w:type="spellEnd"/>
      <w:r w:rsidR="0034064A">
        <w:t xml:space="preserve">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For mouse studies, the three non-knockout genotypes (</w:t>
      </w:r>
      <w:proofErr w:type="spellStart"/>
      <w:r w:rsidR="006A7EEF">
        <w:t>floxed</w:t>
      </w:r>
      <w:proofErr w:type="spellEnd"/>
      <w:r w:rsidR="006A7EEF">
        <w:t xml:space="preserve"> allele alone, transgene alone and wild-type at both loci) were analyzed separately and then combined and labeled as “Controls” if not significantly different.  </w:t>
      </w:r>
      <w:r w:rsidR="00AC7513">
        <w:t>For survival analyses and cox proportional hazard tests, the survival package was used</w:t>
      </w:r>
      <w:r w:rsidR="0034064A">
        <w:t xml:space="preserve"> (version 2.38-3)</w:t>
      </w:r>
      <w:r w:rsidR="0034064A">
        <w:fldChar w:fldCharType="begin" w:fldLock="1"/>
      </w:r>
      <w:r w:rsidR="009A6007">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"&lt;sup&gt;19,20&lt;/sup&gt;" }, "properties" : { "noteIndex" : 0 }, "schema" : "https://github.com/citation-style-language/schema/raw/master/csl-citation.json" }</w:instrText>
      </w:r>
      <w:r w:rsidR="0034064A">
        <w:fldChar w:fldCharType="separate"/>
      </w:r>
      <w:r w:rsidR="00EA6FC3" w:rsidRPr="00EA6FC3">
        <w:rPr>
          <w:noProof/>
          <w:vertAlign w:val="superscript"/>
        </w:rPr>
        <w:t>19,20</w:t>
      </w:r>
      <w:r w:rsidR="0034064A">
        <w:fldChar w:fldCharType="end"/>
      </w:r>
      <w:r w:rsidR="0034064A">
        <w:t xml:space="preserve">.  </w:t>
      </w:r>
      <w:r w:rsidR="00923401">
        <w:t xml:space="preserve">P-values were adjusted for multiple hypothesis testing by the method of </w:t>
      </w:r>
      <w:proofErr w:type="spellStart"/>
      <w:r w:rsidR="00923401">
        <w:t>Benjamini</w:t>
      </w:r>
      <w:proofErr w:type="spellEnd"/>
      <w:r w:rsidR="00923401">
        <w:t xml:space="preserve"> and Hochberg</w:t>
      </w:r>
      <w:r w:rsidR="00923401">
        <w:fldChar w:fldCharType="begin" w:fldLock="1"/>
      </w:r>
      <w:r w:rsidR="009A600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"&lt;sup&gt;21&lt;/sup&gt;" }, "properties" : { "noteIndex" : 0 }, "schema" : "https://github.com/citation-style-language/schema/raw/master/csl-citation.json" }</w:instrText>
      </w:r>
      <w:r w:rsidR="00923401">
        <w:fldChar w:fldCharType="separate"/>
      </w:r>
      <w:r w:rsidR="00EA6FC3" w:rsidRPr="00EA6FC3">
        <w:rPr>
          <w:noProof/>
          <w:vertAlign w:val="superscript"/>
        </w:rPr>
        <w:t>21</w:t>
      </w:r>
      <w:r w:rsidR="00923401">
        <w:fldChar w:fldCharType="end"/>
      </w:r>
      <w:r w:rsidR="00923401">
        <w:t xml:space="preserve">.  </w:t>
      </w:r>
      <w:r w:rsidR="00C167B8">
        <w:t xml:space="preserve">With the exception of western blotting, the experimenter was blinded to the genotypes until data were </w:t>
      </w:r>
      <w:proofErr w:type="spellStart"/>
      <w:r w:rsidR="00C167B8">
        <w:t>analysed</w:t>
      </w:r>
      <w:proofErr w:type="spellEnd"/>
      <w:r w:rsidR="00C167B8">
        <w:t xml:space="preserve">.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49F3FD96" w:rsidR="00620634" w:rsidRDefault="00620634" w:rsidP="00620634">
      <w:r>
        <w:t xml:space="preserve">To evaluate the effects of chronic mTORC1 elevation on aging in mice, we deleted the negative regulator of mTORC1, TSC1 via a </w:t>
      </w:r>
      <w:proofErr w:type="spellStart"/>
      <w:r>
        <w:t>floxed</w:t>
      </w:r>
      <w:proofErr w:type="spellEnd"/>
      <w:r>
        <w:t>/</w:t>
      </w:r>
      <w:proofErr w:type="spellStart"/>
      <w:r>
        <w:t>Cre</w:t>
      </w:r>
      <w:proofErr w:type="spellEnd"/>
      <w:r>
        <w:t xml:space="preserv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w:t>
      </w:r>
      <w:proofErr w:type="spellStart"/>
      <w:r>
        <w:t>Cre</w:t>
      </w:r>
      <w:proofErr w:type="spellEnd"/>
      <w:r>
        <w:t xml:space="preserve"> line</w:t>
      </w:r>
      <w:r>
        <w:fldChar w:fldCharType="begin" w:fldLock="1"/>
      </w:r>
      <w:r w:rsidR="009A6007">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w:t>
      </w:r>
      <w:proofErr w:type="spellStart"/>
      <w:r w:rsidR="001341E2">
        <w:t>Cre</w:t>
      </w:r>
      <w:proofErr w:type="spellEnd"/>
      <w:r w:rsidR="001341E2">
        <w:t xml:space="preserve"> or </w:t>
      </w:r>
      <w:proofErr w:type="spellStart"/>
      <w:r w:rsidR="001341E2">
        <w:t>floxed</w:t>
      </w:r>
      <w:proofErr w:type="spellEnd"/>
      <w:r w:rsidR="001341E2">
        <w:t xml:space="preserve">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histologic evidence of lesions, the predominant process was neoplasia, and the specific etiology was lymphoma/</w:t>
      </w:r>
      <w:proofErr w:type="spellStart"/>
      <w:r w:rsidRPr="007A5FBA">
        <w:t>lymphosarcoma</w:t>
      </w:r>
      <w:proofErr w:type="spellEnd"/>
      <w:r w:rsidRPr="007A5FBA">
        <w:t xml:space="preserve">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1261A219"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9A6007">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"&lt;sup&gt;23&lt;/sup&gt;"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st whether gain of function of d</w:t>
      </w:r>
      <w:r>
        <w:t>TORC1 decreases lifespan in flies, we used the UAS-shRNA/GAL4 system to knock</w:t>
      </w:r>
      <w:r w:rsidR="002D3F0E">
        <w:t xml:space="preserve"> </w:t>
      </w:r>
      <w:r>
        <w:t xml:space="preserve">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9A6007">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"&lt;sup&gt;24&lt;/sup&gt;"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r w:rsidR="0067086A">
        <w:t>.  As shown in Figure 2A-B</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 xml:space="preserve">shRNA #1, </w:t>
      </w:r>
      <w:proofErr w:type="gramStart"/>
      <w:r w:rsidR="00923401">
        <w:t>3.8 fold</w:t>
      </w:r>
      <w:proofErr w:type="gramEnd"/>
      <w:r w:rsidR="00923401">
        <w:t xml:space="preserve">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4A74B65F"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9A6007">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"&lt;sup&gt;25&lt;/sup&gt;" }, "properties" : { "noteIndex" : 0 }, "schema" : "https://github.com/citation-style-language/schema/raw/master/csl-citation.json" }</w:instrText>
      </w:r>
      <w:r w:rsidR="002B6CFE">
        <w:fldChar w:fldCharType="separate"/>
      </w:r>
      <w:r w:rsidR="00EA6FC3" w:rsidRPr="00EA6FC3">
        <w:rPr>
          <w:noProof/>
          <w:vertAlign w:val="superscript"/>
        </w:rPr>
        <w:t>25</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20377C55"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there </w:t>
      </w:r>
      <w:r w:rsidR="000A64F4">
        <w:t xml:space="preserve">was 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there was shortened lifespan in both </w:t>
      </w:r>
      <w:r w:rsidR="00E902C6">
        <w:t>fe</w:t>
      </w:r>
      <w:r w:rsidR="007348F0">
        <w:t>male</w:t>
      </w:r>
      <w:r w:rsidR="00E902C6">
        <w:t xml:space="preserve"> </w:t>
      </w:r>
      <w:r w:rsidR="007348F0">
        <w:t>(3.4 fold</w:t>
      </w:r>
      <w:r w:rsidR="00E902C6">
        <w:t xml:space="preserve">) </w:t>
      </w:r>
      <w:r w:rsidR="007348F0">
        <w:t>and female (</w:t>
      </w:r>
      <w:r w:rsidR="00E902C6">
        <w:t>2.9 fold)</w:t>
      </w:r>
      <w:r w:rsidR="007348F0">
        <w:t xml:space="preserve"> </w:t>
      </w:r>
      <w:r w:rsidR="007348F0">
        <w:rPr>
          <w:i/>
        </w:rPr>
        <w:t>Atg8a</w:t>
      </w:r>
      <w:r w:rsidR="007348F0">
        <w:t xml:space="preserve"> knockdown flies</w:t>
      </w:r>
      <w:r w:rsidR="00E902C6">
        <w:t xml:space="preserve"> (both with adjusted p-values &lt;0.0001)</w:t>
      </w:r>
      <w:r w:rsidR="007348F0">
        <w:t>.</w:t>
      </w:r>
      <w:r w:rsidR="00E902C6">
        <w:t xml:space="preserve">  While ATG5 is upstream of ATG8</w:t>
      </w:r>
      <w:r w:rsidR="00C45ACD">
        <w:t>, this result is consistent with findings</w:t>
      </w:r>
      <w:r w:rsidR="00CE5F71">
        <w:t xml:space="preserve"> showing that </w:t>
      </w:r>
      <w:r w:rsidR="00CE5F71">
        <w:rPr>
          <w:i/>
        </w:rPr>
        <w:t xml:space="preserve">Atg5 </w:t>
      </w:r>
      <w:r w:rsidR="00CE5F71">
        <w:t>knockdown in using a ubiquitous GAL4 promoter did not reduce lifespan</w:t>
      </w:r>
      <w:r w:rsidR="00BA1F21">
        <w:t>, but did sensitize the flies to starvation</w:t>
      </w:r>
      <w:r w:rsidR="00703DFC">
        <w:fldChar w:fldCharType="begin" w:fldLock="1"/>
      </w:r>
      <w:r w:rsidR="00E558C2">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"&lt;sup&gt;3&lt;/sup&gt;", "plainTextFormattedCitation" : "3", "previouslyFormattedCitation" : "&lt;sup&gt;3&lt;/sup&gt;" }, "properties" : { "noteIndex" : 0 }, "schema" : "https://github.com/citation-style-language/schema/raw/master/csl-citation.json" }</w:instrText>
      </w:r>
      <w:r w:rsidR="00703DFC">
        <w:fldChar w:fldCharType="separate"/>
      </w:r>
      <w:r w:rsidR="00F04BC7" w:rsidRPr="00F04BC7">
        <w:rPr>
          <w:noProof/>
          <w:vertAlign w:val="superscript"/>
        </w:rPr>
        <w:t>3</w:t>
      </w:r>
      <w:r w:rsidR="00703DFC">
        <w:fldChar w:fldCharType="end"/>
      </w:r>
      <w:r w:rsidR="00BA1F21">
        <w:t xml:space="preserve">.  To understand why ATG8a and ATG8b may differ, we evaluated </w:t>
      </w:r>
      <w:r w:rsidR="00AE720A">
        <w:t xml:space="preserve">the expression of these genes in </w:t>
      </w:r>
      <w:proofErr w:type="spellStart"/>
      <w:r w:rsidR="00AE720A">
        <w:t>RNAseq</w:t>
      </w:r>
      <w:proofErr w:type="spellEnd"/>
      <w:r w:rsidR="00AE720A">
        <w:t xml:space="preserve"> data from the </w:t>
      </w:r>
      <w:proofErr w:type="spellStart"/>
      <w:r w:rsidR="00AE720A">
        <w:t>modENCODE</w:t>
      </w:r>
      <w:proofErr w:type="spellEnd"/>
      <w:r w:rsidR="00AE720A">
        <w:t xml:space="preserve"> consortium.  According to this expression data, </w:t>
      </w:r>
      <w:r w:rsidR="00AE720A" w:rsidRPr="00AE720A">
        <w:rPr>
          <w:i/>
        </w:rPr>
        <w:t>At8a</w:t>
      </w:r>
      <w:r w:rsidR="00AE720A">
        <w:t xml:space="preserve"> is widely expressed at higher in several tissues relative to </w:t>
      </w:r>
      <w:r w:rsidR="00AE720A" w:rsidRPr="00AE720A">
        <w:rPr>
          <w:i/>
        </w:rPr>
        <w:t>At8b</w:t>
      </w:r>
      <w:r w:rsidR="00AE720A">
        <w:t>, including muscle tissues</w:t>
      </w:r>
      <w:r w:rsidR="009B3194">
        <w:fldChar w:fldCharType="begin" w:fldLock="1"/>
      </w:r>
      <w:r w:rsidR="009A6007">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"&lt;sup&gt;26&lt;/sup&gt;" }, "properties" : { "noteIndex" : 0 }, "schema" : "https://github.com/citation-style-language/schema/raw/master/csl-citation.json" }</w:instrText>
      </w:r>
      <w:r w:rsidR="009B3194">
        <w:fldChar w:fldCharType="separate"/>
      </w:r>
      <w:r w:rsidR="00EA6FC3" w:rsidRPr="00EA6FC3">
        <w:rPr>
          <w:noProof/>
          <w:vertAlign w:val="superscript"/>
        </w:rPr>
        <w:t>26</w:t>
      </w:r>
      <w:r w:rsidR="009B3194">
        <w:fldChar w:fldCharType="end"/>
      </w:r>
      <w:r w:rsidR="00AE720A">
        <w:t xml:space="preserve">.  </w:t>
      </w:r>
      <w:r w:rsidR="00AE720A">
        <w:rPr>
          <w:i/>
        </w:rPr>
        <w:t>Atg8b</w:t>
      </w:r>
      <w:r w:rsidR="00AE720A">
        <w:t xml:space="preserve"> </w:t>
      </w:r>
      <w:r w:rsidR="00587B0F">
        <w:t>has much more limited expression, and is at lower levels in the fly tissues tested.</w:t>
      </w:r>
      <w:r w:rsidR="009B3194">
        <w:t xml:space="preserve">  This may explain the stronger reductions in lifespan in the muscle </w:t>
      </w:r>
      <w:r w:rsidR="009B3194">
        <w:rPr>
          <w:i/>
        </w:rPr>
        <w:t>Atg8a</w:t>
      </w:r>
      <w:r w:rsidR="009B3194">
        <w:t xml:space="preserve"> knockdown flies.</w:t>
      </w:r>
    </w:p>
    <w:p w14:paraId="13598F87" w14:textId="77777777" w:rsidR="002021EB" w:rsidRDefault="002021EB" w:rsidP="002021EB">
      <w:pPr>
        <w:pStyle w:val="Heading1"/>
      </w:pPr>
      <w:r>
        <w:t xml:space="preserve">Discussion </w:t>
      </w:r>
    </w:p>
    <w:p w14:paraId="18F99757" w14:textId="05448529" w:rsidR="00CB1C98" w:rsidRDefault="0092334C" w:rsidP="000B139C">
      <w:r>
        <w:t xml:space="preserve">In this </w:t>
      </w:r>
      <w:proofErr w:type="gramStart"/>
      <w:r>
        <w:t>study</w:t>
      </w:r>
      <w:proofErr w:type="gramEnd"/>
      <w:r>
        <w:t xml:space="preserve">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proofErr w:type="spellStart"/>
      <w:r w:rsidR="00F82FED" w:rsidRPr="00F82FED">
        <w:rPr>
          <w:i/>
        </w:rPr>
        <w:t>Tagln-Cre</w:t>
      </w:r>
      <w:proofErr w:type="spellEnd"/>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9A6007">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"&lt;sup&gt;27&lt;/sup&gt;"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9A6007">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"&lt;sup&gt;28&lt;/sup&gt;"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7DF11E1B" w14:textId="6574A628" w:rsidR="0025688C"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Pr="00CB1C98">
        <w:fldChar w:fldCharType="separate"/>
      </w:r>
      <w:r w:rsidR="003B76F9" w:rsidRPr="003B76F9">
        <w:rPr>
          <w:noProof/>
          <w:vertAlign w:val="superscript"/>
        </w:rPr>
        <w:t>6–11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9A6007">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"&lt;sup&gt;29,30&lt;/sup&gt;" }, "properties" : { "noteIndex" : 0 }, "schema" : "https://github.com/citation-style-language/schema/raw/master/csl-citation.json" }</w:instrText>
      </w:r>
      <w:r w:rsidR="004243D2">
        <w:fldChar w:fldCharType="separate"/>
      </w:r>
      <w:r w:rsidR="00EA6FC3" w:rsidRPr="00EA6FC3">
        <w:rPr>
          <w:noProof/>
          <w:vertAlign w:val="superscript"/>
        </w:rPr>
        <w:t>29,30</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9A6007">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"&lt;sup&gt;30\u201336&lt;/sup&gt;" }, "properties" : { "noteIndex" : 0 }, "schema" : "https://github.com/citation-style-language/schema/raw/master/csl-citation.json" }</w:instrText>
      </w:r>
      <w:r w:rsidRPr="00CB1C98">
        <w:fldChar w:fldCharType="separate"/>
      </w:r>
      <w:r w:rsidR="00EA6FC3" w:rsidRPr="00EA6FC3">
        <w:rPr>
          <w:noProof/>
          <w:vertAlign w:val="superscript"/>
        </w:rPr>
        <w:t>30–36</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9A6007">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"&lt;sup&gt;37\u201339&lt;/sup&gt;" }, "properties" : { "noteIndex" : 0 }, "schema" : "https://github.com/citation-style-language/schema/raw/master/csl-citation.json" }</w:instrText>
      </w:r>
      <w:r w:rsidR="00814DE4" w:rsidRPr="00CB1C98">
        <w:fldChar w:fldCharType="separate"/>
      </w:r>
      <w:r w:rsidR="00EA6FC3" w:rsidRPr="00EA6FC3">
        <w:rPr>
          <w:noProof/>
          <w:vertAlign w:val="superscript"/>
        </w:rPr>
        <w:t>37–39</w:t>
      </w:r>
      <w:r w:rsidR="00814DE4" w:rsidRPr="00CB1C98">
        <w:fldChar w:fldCharType="end"/>
      </w:r>
      <w:r w:rsidR="00814DE4" w:rsidRPr="00CB1C98">
        <w:t xml:space="preserve">.  </w:t>
      </w:r>
    </w:p>
    <w:p w14:paraId="4185775B" w14:textId="77777777" w:rsidR="0025688C" w:rsidRDefault="0025688C" w:rsidP="00814DE4"/>
    <w:p w14:paraId="305D54DB" w14:textId="534059BC" w:rsidR="00CB1C98" w:rsidRDefault="009B6F2D" w:rsidP="00CB1C98">
      <w:r>
        <w:t xml:space="preserve">One potential mechanism linking TORC1 to aging could be protein overproduction.  TORC1 plays a key role in protein homeostasis, through inhibiting autophagy and </w:t>
      </w:r>
      <w:proofErr w:type="spellStart"/>
      <w:r>
        <w:t>proteosomal</w:t>
      </w:r>
      <w:proofErr w:type="spellEnd"/>
      <w:r>
        <w:t xml:space="preserve"> </w:t>
      </w:r>
      <w:r w:rsidR="00A268CE">
        <w:t>degradation</w:t>
      </w:r>
      <w:r>
        <w:t xml:space="preserve"> while promoting protein synthesis in both flies and mice. </w:t>
      </w:r>
      <w:r w:rsidR="0025688C">
        <w:t>Drosophila</w:t>
      </w:r>
      <w:r w:rsidR="00814DE4" w:rsidRPr="00CB1C98">
        <w:t xml:space="preserve"> studies have implicated improved muscle </w:t>
      </w:r>
      <w:proofErr w:type="spellStart"/>
      <w:r w:rsidR="00814DE4" w:rsidRPr="00CB1C98">
        <w:t>proteostasis</w:t>
      </w:r>
      <w:proofErr w:type="spellEnd"/>
      <w:r w:rsidR="00814DE4" w:rsidRPr="00CB1C98">
        <w:t xml:space="preserve"> as a key </w:t>
      </w:r>
      <w:r w:rsidR="00814DE4">
        <w:t xml:space="preserve">element </w:t>
      </w:r>
      <w:r w:rsidR="00B155E0">
        <w:t>coordinating</w:t>
      </w:r>
      <w:r w:rsidR="00814DE4" w:rsidRPr="00CB1C98">
        <w:t xml:space="preserve"> lifespan extension</w:t>
      </w:r>
      <w:r w:rsidR="00814DE4" w:rsidRPr="00CB1C98">
        <w:fldChar w:fldCharType="begin" w:fldLock="1"/>
      </w:r>
      <w:r w:rsidR="009A6007">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"&lt;sup&gt;40&lt;/sup&gt;"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w:t>
      </w:r>
      <w:proofErr w:type="spellStart"/>
      <w:r w:rsidR="00731DA6">
        <w:t>proteostatsis</w:t>
      </w:r>
      <w:proofErr w:type="spellEnd"/>
      <w:r w:rsidR="00731DA6">
        <w:t xml:space="preserve"> </w:t>
      </w:r>
      <w:r w:rsidR="00B155E0">
        <w:t>may</w:t>
      </w:r>
      <w:r w:rsidR="00731DA6">
        <w:t xml:space="preserve"> also underlie the lifespan-restricting effects of high protein diets</w:t>
      </w:r>
      <w:r w:rsidR="006F2B7D">
        <w:fldChar w:fldCharType="begin" w:fldLock="1"/>
      </w:r>
      <w:r w:rsidR="009A6007">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"id" : "ITEM-2", "itemData" : { "DOI" : "10.1016/j.cmet.2014.02.006", "ISBN" : "1550-4131", "ISSN" : "19327420", "PMID" : "24606898", "abstract" : "Mice and humans with growth hormone receptor/IGF-1 deficiencies display major reductions in age-related diseases. Because protein restriction reduces GHR-IGF-1 activity, we examined links between protein intake and mortality. Respondents aged 50-65 reporting high protein intake had a 75% increase in overall mortality and a 4-fold increase in cancer death risk during the following 18 years. These associations were either abolished or attenuated if the proteins were plant derived. Conversely, high protein intake was associated with reduced cancer and overall mortality in respondents over 65, but a 5-fold increase in diabetes mortality across all ages. Mouse studies confirmed the effect of high protein intake and GHR-IGF-1 signaling on the incidence and progression of breast and melanoma tumors, but also the detrimental effects of a low protein diet in the very old. These results suggest that low protein intake during middle age followed by moderate to high protein consumption in old adults may optimize healthspan and longevity. ?? 2014 Elsevier Inc.", "author" : [ { "dropping-particle" : "", "family" : "Levine", "given" : "Morgan\u00a0E. E.", "non-dropping-particle" : "", "parse-names" : false, "suffix" : "" }, { "dropping-particle" : "", "family" : "Suarez", "given" : "Jorge\u00a0A. A.", "non-dropping-particle" : "", "parse-names" : false, "suffix" : "" }, { "dropping-particle" : "", "family" : "Brandhorst", "given" : "Sebastian", "non-dropping-particle" : "", "parse-names" : false, "suffix" : "" }, { "dropping-particle" : "", "family" : "Balasubramanian", "given" : "Priya", "non-dropping-particle" : "", "parse-names" : false, "suffix" : "" }, { "dropping-particle" : "", "family" : "Cheng", "given" : "Chia-Wei Wei", "non-dropping-particle" : "", "parse-names" : false, "suffix" : "" }, { "dropping-particle" : "", "family" : "Madia", "given" : "Federica", "non-dropping-particle" : "", "parse-names" : false, "suffix" : "" }, { "dropping-particle" : "", "family" : "Fontana", "given" : "Luigi", "non-dropping-particle" : "", "parse-names" : false, "suffix" : "" }, { "dropping-particle" : "", "family" : "Mirisola", "given" : "Mario\u00a0G. G.", "non-dropping-particle" : "", "parse-names" : false, "suffix" : "" }, { "dropping-particle" : "", "family" : "Guevara-Aguirre", "given" : "Jaime", "non-dropping-particle" : "", "parse-names" : false, "suffix" : "" }, { "dropping-particle" : "", "family" : "Wan", "given" : "Junxiang", "non-dropping-particle" : "", "parse-names" : false, "suffix" : "" }, { "dropping-particle" : "", "family" : "Passarino", "given" : "Giuseppe", "non-dropping-particle" : "", "parse-names" : false, "suffix" : "" }, { "dropping-particle" : "", "family" : "Kennedy", "given" : "Brian\u00a0K. K.", "non-dropping-particle" : "", "parse-names" : false, "suffix" : "" }, { "dropping-particle" : "", "family" : "Wei", "given" : "Min", "non-dropping-particle" : "", "parse-names" : false, "suffix" : "" }, { "dropping-particle" : "", "family" : "Cohen", "given" : "Pinchas", "non-dropping-particle" : "", "parse-names" : false, "suffix" : "" }, { "dropping-particle" : "", "family" : "Crimmins", "given" : "Eileen\u00a0M. M.", "non-dropping-particle" : "", "parse-names" : false, "suffix" : "" }, { "dropping-particle" : "", "family" : "Longo", "given" : "Valter\u00a0D. D.", "non-dropping-particle" : "", "parse-names" : false, "suffix" : "" } ], "container-title" : "Cell Metabolism", "id" : "ITEM-2", "issue" : "3", "issued" : { "date-parts" : [ [ "2014" ] ] }, "page" : "407-417", "publisher" : "Elsevier Inc.", "title" : "Low protein intake is associated with a major reduction in IGF-1, cancer, and overall mortality in the 65 and younger but not older population", "type" : "article-journal", "volume" : "19" }, "uris" : [ "http://www.mendeley.com/documents/?uuid=f3863ac5-fd73-4202-8eb9-b7c580c46b18" ] } ], "mendeley" : { "formattedCitation" : "&lt;sup&gt;41,42&lt;/sup&gt;", "plainTextFormattedCitation" : "41,42", "previouslyFormattedCitation" : "&lt;sup&gt;41&lt;/sup&gt;" }, "properties" : { "noteIndex" : 0 }, "schema" : "https://github.com/citation-style-language/schema/raw/master/csl-citation.json" }</w:instrText>
      </w:r>
      <w:r w:rsidR="006F2B7D">
        <w:fldChar w:fldCharType="separate"/>
      </w:r>
      <w:r w:rsidR="009A6007" w:rsidRPr="009A6007">
        <w:rPr>
          <w:noProof/>
          <w:vertAlign w:val="superscript"/>
        </w:rPr>
        <w:t>41,42</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p>
    <w:p w14:paraId="5A9759C1" w14:textId="77777777" w:rsidR="004E4FCA" w:rsidRDefault="004E4FCA" w:rsidP="004E4FCA">
      <w:pPr>
        <w:pStyle w:val="Heading1"/>
      </w:pPr>
      <w:r>
        <w:t>Acknowledgements</w:t>
      </w:r>
    </w:p>
    <w:p w14:paraId="1CD35E14" w14:textId="3932DF67" w:rsidR="00984EF2" w:rsidRPr="00C937F0" w:rsidRDefault="00984EF2" w:rsidP="00984EF2">
      <w:r>
        <w:t xml:space="preserve">The authors would like to thank the members of the Bridges, </w:t>
      </w:r>
      <w:proofErr w:type="spellStart"/>
      <w:r>
        <w:t>Saltiel</w:t>
      </w:r>
      <w:proofErr w:type="spellEnd"/>
      <w:r>
        <w:t>,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5"/>
      <w:r>
        <w:t xml:space="preserve"> </w:t>
      </w:r>
      <w:commentRangeEnd w:id="5"/>
      <w:r>
        <w:rPr>
          <w:rStyle w:val="CommentReference"/>
        </w:rPr>
        <w:commentReference w:id="5"/>
      </w:r>
      <w:r>
        <w:t>)</w:t>
      </w:r>
      <w:r w:rsidR="00620634">
        <w:t xml:space="preserve"> and the UTHSC Drosophila Transgenic Core</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6C9BB596" w14:textId="1BAA52F7" w:rsidR="009A6007" w:rsidRPr="009A6007" w:rsidRDefault="00490316" w:rsidP="009A6007">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9A6007" w:rsidRPr="009A6007">
        <w:rPr>
          <w:rFonts w:ascii="Garamond" w:eastAsia="Times New Roman" w:hAnsi="Garamond" w:cs="Times New Roman"/>
          <w:noProof/>
        </w:rPr>
        <w:t xml:space="preserve">1. </w:t>
      </w:r>
      <w:r w:rsidR="009A6007" w:rsidRPr="009A6007">
        <w:rPr>
          <w:rFonts w:ascii="Garamond" w:eastAsia="Times New Roman" w:hAnsi="Garamond" w:cs="Times New Roman"/>
          <w:noProof/>
        </w:rPr>
        <w:tab/>
        <w:t xml:space="preserve">Efeyan A, Comb WC, Sabatini DM. Nutrient-sensing mechanisms and pathways. Nature 2015; 517:302–10. </w:t>
      </w:r>
    </w:p>
    <w:p w14:paraId="2C922D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 </w:t>
      </w:r>
      <w:r w:rsidRPr="009A6007">
        <w:rPr>
          <w:rFonts w:ascii="Garamond" w:eastAsia="Times New Roman" w:hAnsi="Garamond" w:cs="Times New Roman"/>
          <w:noProof/>
        </w:rPr>
        <w:tab/>
        <w:t xml:space="preserve">Cornu M, Albert V, Hall MN. mTOR in aging, metabolism, and cancer. Curr Opin Genet Dev 2013; 23:53–62. </w:t>
      </w:r>
    </w:p>
    <w:p w14:paraId="7EDE267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 </w:t>
      </w:r>
      <w:r w:rsidRPr="009A6007">
        <w:rPr>
          <w:rFonts w:ascii="Garamond" w:eastAsia="Times New Roman" w:hAnsi="Garamond" w:cs="Times New Roman"/>
          <w:noProof/>
        </w:rPr>
        <w:tab/>
        <w:t xml:space="preserve">Bjedov I, Toivonen JM, Kerr F, Slack C, Jacobson J, Foley A, Partridge L. Mechanisms of life span extension by rapamycin in the fruit fly Drosophila melanogaster. Cell Metab 2010; 11:35–46. </w:t>
      </w:r>
    </w:p>
    <w:p w14:paraId="2B75C07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 </w:t>
      </w:r>
      <w:r w:rsidRPr="009A6007">
        <w:rPr>
          <w:rFonts w:ascii="Garamond" w:eastAsia="Times New Roman" w:hAnsi="Garamond" w:cs="Times New Roman"/>
          <w:noProof/>
        </w:rPr>
        <w:tab/>
        <w:t xml:space="preserve">Harrison DE, Strong R, Sharp ZD, Nelson JF, Astle CM, Flurkey K, Nadon NL, Wilkinson JE, Frenkel K, Carter CS, et al. Rapamycin fed late in life extends lifespan in genetically heterogeneous mice. Nature 2009; 460:392–5. </w:t>
      </w:r>
    </w:p>
    <w:p w14:paraId="5F65D2D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5. </w:t>
      </w:r>
      <w:r w:rsidRPr="009A6007">
        <w:rPr>
          <w:rFonts w:ascii="Garamond" w:eastAsia="Times New Roman" w:hAnsi="Garamond" w:cs="Times New Roman"/>
          <w:noProof/>
        </w:rPr>
        <w:tab/>
        <w:t xml:space="preserve">Kapahi P, Zid BM, Harper T, Koslover D, Sapin V, Benzer S. Regulation of lifespan in Drosophila by modulation of genes in the TOR signaling pathway. Curr Biol 2004; 14:885–90. </w:t>
      </w:r>
    </w:p>
    <w:p w14:paraId="6057AAF2"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6. </w:t>
      </w:r>
      <w:r w:rsidRPr="009A6007">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1E46025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7. </w:t>
      </w:r>
      <w:r w:rsidRPr="009A6007">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7ED5C50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8. </w:t>
      </w:r>
      <w:r w:rsidRPr="009A6007">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69F4D1E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9. </w:t>
      </w:r>
      <w:r w:rsidRPr="009A6007">
        <w:rPr>
          <w:rFonts w:ascii="Garamond" w:eastAsia="Times New Roman" w:hAnsi="Garamond" w:cs="Times New Roman"/>
          <w:noProof/>
        </w:rPr>
        <w:tab/>
        <w:t xml:space="preserve">Gale CR, Martyn CN, Cooper C, Sayer AA. Grip strength, body composition, and mortality. Int J Epidemiol 2007; 36:228–35. </w:t>
      </w:r>
    </w:p>
    <w:p w14:paraId="7025201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10. </w:t>
      </w:r>
      <w:r w:rsidRPr="009A6007">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5B4E2E9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11. </w:t>
      </w:r>
      <w:r w:rsidRPr="009A6007">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615EFF7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12. </w:t>
      </w:r>
      <w:r w:rsidRPr="009A6007">
        <w:rPr>
          <w:rFonts w:ascii="Garamond" w:eastAsia="Times New Roman" w:hAnsi="Garamond" w:cs="Times New Roman"/>
          <w:noProof/>
        </w:rPr>
        <w:tab/>
        <w:t xml:space="preserve">Ozcan U, Ozcan L, Yilmaz E, Düvel K, Sahin M, Manning BD, Hotamisligil GS. Loss of the Tuberous Sclerosis Complex Tumor Suppressors Triggers the Unfolded Protein Response to Regulate Insulin Signaling and Apoptosis. Mol Cell 2008; 29:541–51. </w:t>
      </w:r>
    </w:p>
    <w:p w14:paraId="147C896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13. </w:t>
      </w:r>
      <w:r w:rsidRPr="009A6007">
        <w:rPr>
          <w:rFonts w:ascii="Garamond" w:eastAsia="Times New Roman" w:hAnsi="Garamond" w:cs="Times New Roman"/>
          <w:noProof/>
        </w:rPr>
        <w:tab/>
        <w:t xml:space="preserve">Bentzinger CF, Lin S, Romanino K, Castets P, Guridi M, Summermatter S, Handschin C, Tintignac LA, Hall MN, Rüegg MA. Differential response of skeletal muscles to mTORC1 signaling during atrophy and hypertrophy. Skelet Muscle 2013; 3:6. </w:t>
      </w:r>
    </w:p>
    <w:p w14:paraId="08AFD4D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14. </w:t>
      </w:r>
      <w:r w:rsidRPr="009A6007">
        <w:rPr>
          <w:rFonts w:ascii="Garamond" w:eastAsia="Times New Roman" w:hAnsi="Garamond" w:cs="Times New Roman"/>
          <w:noProof/>
        </w:rPr>
        <w:tab/>
        <w:t xml:space="preserve">Laplante M, Sabatini DM. mTORC1 activates SREBP-1c and uncouples lipogenesis from gluconeogenesis. Proc Natl Acad Sci U S A 2010; 107:3281–2. </w:t>
      </w:r>
    </w:p>
    <w:p w14:paraId="5C85EEB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15. </w:t>
      </w:r>
      <w:r w:rsidRPr="009A6007">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1923A07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16. </w:t>
      </w:r>
      <w:r w:rsidRPr="009A6007">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06CF179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17. </w:t>
      </w:r>
      <w:r w:rsidRPr="009A6007">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51C813E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18. </w:t>
      </w:r>
      <w:r w:rsidRPr="009A6007">
        <w:rPr>
          <w:rFonts w:ascii="Garamond" w:eastAsia="Times New Roman" w:hAnsi="Garamond" w:cs="Times New Roman"/>
          <w:noProof/>
        </w:rPr>
        <w:tab/>
        <w:t xml:space="preserve">R Core Team. R: A Language and Environment for Statistical Computing. 2013; </w:t>
      </w:r>
    </w:p>
    <w:p w14:paraId="03B16DC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19. </w:t>
      </w:r>
      <w:r w:rsidRPr="009A6007">
        <w:rPr>
          <w:rFonts w:ascii="Garamond" w:eastAsia="Times New Roman" w:hAnsi="Garamond" w:cs="Times New Roman"/>
          <w:noProof/>
        </w:rPr>
        <w:tab/>
        <w:t xml:space="preserve">Therneau TM, Grambsch PM. Modeling Survival Data: Extending the Cox Model. New York, NY: Springer New York; 2000. </w:t>
      </w:r>
    </w:p>
    <w:p w14:paraId="48CD166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20. </w:t>
      </w:r>
      <w:r w:rsidRPr="009A6007">
        <w:rPr>
          <w:rFonts w:ascii="Garamond" w:eastAsia="Times New Roman" w:hAnsi="Garamond" w:cs="Times New Roman"/>
          <w:noProof/>
        </w:rPr>
        <w:tab/>
        <w:t xml:space="preserve">Therneau T. A Package for Survival Analysis in S. R package version. Survival (Lond).2012; </w:t>
      </w:r>
    </w:p>
    <w:p w14:paraId="7EE04B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21. </w:t>
      </w:r>
      <w:r w:rsidRPr="009A6007">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7DC5D2CB"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22. </w:t>
      </w:r>
      <w:r w:rsidRPr="009A6007">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2934A6D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23. </w:t>
      </w:r>
      <w:r w:rsidRPr="009A6007">
        <w:rPr>
          <w:rFonts w:ascii="Garamond" w:eastAsia="Times New Roman" w:hAnsi="Garamond" w:cs="Times New Roman"/>
          <w:noProof/>
        </w:rPr>
        <w:tab/>
        <w:t xml:space="preserve">Hatfield I, Harvey I, Yates ER, Redd JR, Reiter LT, Bridges D. The role of TORC1 in muscle development in Drosophila. Sci Rep 2015; 5:9676. </w:t>
      </w:r>
    </w:p>
    <w:p w14:paraId="63F0572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24. </w:t>
      </w:r>
      <w:r w:rsidRPr="009A6007">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164C21A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25. </w:t>
      </w:r>
      <w:r w:rsidRPr="009A6007">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01B2C24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26. </w:t>
      </w:r>
      <w:r w:rsidRPr="009A6007">
        <w:rPr>
          <w:rFonts w:ascii="Garamond" w:eastAsia="Times New Roman" w:hAnsi="Garamond" w:cs="Times New Roman"/>
          <w:noProof/>
        </w:rPr>
        <w:tab/>
        <w:t xml:space="preserve">Brown JB, Boley N, Eisman R, May GE, Stoiber MH, Duff MO, Booth BW, Wen J, Park S, Suzuki AM, et al. Diversity and dynamics of the Drosophila transcriptome. Nature 2014; 512:1–7. </w:t>
      </w:r>
    </w:p>
    <w:p w14:paraId="41D3FEC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27. </w:t>
      </w:r>
      <w:r w:rsidRPr="009A6007">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7CE0E73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28. </w:t>
      </w:r>
      <w:r w:rsidRPr="009A6007">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5B13F7A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29. </w:t>
      </w:r>
      <w:r w:rsidRPr="009A6007">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2811DD6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30. </w:t>
      </w:r>
      <w:r w:rsidRPr="009A6007">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5067705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31. </w:t>
      </w:r>
      <w:r w:rsidRPr="009A6007">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2B4C9A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32. </w:t>
      </w:r>
      <w:r w:rsidRPr="009A6007">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34C5BC3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33. </w:t>
      </w:r>
      <w:r w:rsidRPr="009A6007">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20D2BB0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34. </w:t>
      </w:r>
      <w:r w:rsidRPr="009A6007">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4F5E2A6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35. </w:t>
      </w:r>
      <w:r w:rsidRPr="009A6007">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A8E6F7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36. </w:t>
      </w:r>
      <w:r w:rsidRPr="009A6007">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7557EA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37. </w:t>
      </w:r>
      <w:r w:rsidRPr="009A6007">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48D48CA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38. </w:t>
      </w:r>
      <w:r w:rsidRPr="009A6007">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1D24CD9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39. </w:t>
      </w:r>
      <w:r w:rsidRPr="009A6007">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27EFFB6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40. </w:t>
      </w:r>
      <w:r w:rsidRPr="009A6007">
        <w:rPr>
          <w:rFonts w:ascii="Garamond" w:eastAsia="Times New Roman" w:hAnsi="Garamond" w:cs="Times New Roman"/>
          <w:noProof/>
        </w:rPr>
        <w:tab/>
        <w:t xml:space="preserve">Demontis F, Perrimon N. FOXO/4E-BP signaling in Drosophila muscles regulates organism-wide proteostasis during aging. Cell 2010; 143:813–25. </w:t>
      </w:r>
    </w:p>
    <w:p w14:paraId="3C8CD804"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41. </w:t>
      </w:r>
      <w:r w:rsidRPr="009A6007">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0247E860" w14:textId="77777777" w:rsidR="009A6007" w:rsidRPr="009A6007" w:rsidRDefault="009A6007" w:rsidP="009A6007">
      <w:pPr>
        <w:widowControl w:val="0"/>
        <w:autoSpaceDE w:val="0"/>
        <w:autoSpaceDN w:val="0"/>
        <w:adjustRightInd w:val="0"/>
        <w:ind w:left="640" w:hanging="640"/>
        <w:rPr>
          <w:rFonts w:ascii="Garamond" w:hAnsi="Garamond"/>
          <w:noProof/>
        </w:rPr>
      </w:pPr>
      <w:r w:rsidRPr="009A6007">
        <w:rPr>
          <w:rFonts w:ascii="Garamond" w:eastAsia="Times New Roman" w:hAnsi="Garamond" w:cs="Times New Roman"/>
          <w:noProof/>
        </w:rPr>
        <w:t xml:space="preserve">42. </w:t>
      </w:r>
      <w:r w:rsidRPr="009A6007">
        <w:rPr>
          <w:rFonts w:ascii="Garamond" w:eastAsia="Times New Roman" w:hAnsi="Garamond" w:cs="Times New Roman"/>
          <w:noProof/>
        </w:rPr>
        <w:tab/>
        <w:t xml:space="preserve">Levine MEE, Suarez JAA, Brandhorst S, Balasubramanian P, Cheng C-WW, Madia F, Fontana L, Mirisola MGG, Guevara-Aguirre J, Wan J, et al. Low protein intake is associated with a major reduction in IGF-1, cancer, and overall mortality in the 65 and younger but not older population. Cell Metab 2014; 19:407–17. </w:t>
      </w:r>
    </w:p>
    <w:p w14:paraId="1CA06D1E" w14:textId="66BF6B78" w:rsidR="00510F88" w:rsidRPr="00510F88" w:rsidRDefault="00490316" w:rsidP="009A6007">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6-10-25T19:52:00Z" w:initials="DB">
    <w:p w14:paraId="72743FAD" w14:textId="6D0A386B" w:rsidR="003B76F9" w:rsidRDefault="003B76F9">
      <w:pPr>
        <w:pStyle w:val="CommentText"/>
      </w:pPr>
      <w:r>
        <w:rPr>
          <w:rStyle w:val="CommentReference"/>
        </w:rPr>
        <w:annotationRef/>
      </w:r>
      <w:r>
        <w:t>Dave: check that these are all longitudinal studies</w:t>
      </w:r>
    </w:p>
  </w:comment>
  <w:comment w:id="2" w:author="Dave Bridges" w:date="2016-02-17T15:53:00Z" w:initials="DB">
    <w:p w14:paraId="5186E898" w14:textId="428716C4" w:rsidR="004243D2" w:rsidRDefault="004243D2">
      <w:pPr>
        <w:pStyle w:val="CommentText"/>
      </w:pPr>
      <w:r>
        <w:rPr>
          <w:rStyle w:val="CommentReference"/>
        </w:rPr>
        <w:annotationRef/>
      </w:r>
      <w:proofErr w:type="spellStart"/>
      <w:r w:rsidR="00BB41A8">
        <w:t>JeAnna</w:t>
      </w:r>
      <w:proofErr w:type="spellEnd"/>
      <w:r w:rsidR="00BB41A8">
        <w:t>: confirm</w:t>
      </w:r>
      <w:r>
        <w:t xml:space="preserve"> food for UM animal core</w:t>
      </w:r>
    </w:p>
  </w:comment>
  <w:comment w:id="3" w:author="Dave Bridges" w:date="2016-12-31T08:18:00Z" w:initials="DB">
    <w:p w14:paraId="60FD268E" w14:textId="77138980" w:rsidR="00501D40" w:rsidRDefault="00501D40">
      <w:pPr>
        <w:pStyle w:val="CommentText"/>
      </w:pPr>
      <w:r>
        <w:rPr>
          <w:rStyle w:val="CommentReference"/>
        </w:rPr>
        <w:annotationRef/>
      </w:r>
      <w:r>
        <w:t>Needs recipe</w:t>
      </w:r>
    </w:p>
  </w:comment>
  <w:comment w:id="4" w:author="Dave Bridges" w:date="2016-02-17T16:20:00Z" w:initials="DB">
    <w:p w14:paraId="5333D16D" w14:textId="1E68CEE5" w:rsidR="004243D2" w:rsidRDefault="004243D2">
      <w:pPr>
        <w:pStyle w:val="CommentText"/>
      </w:pPr>
      <w:r>
        <w:rPr>
          <w:rStyle w:val="CommentReference"/>
        </w:rPr>
        <w:annotationRef/>
      </w:r>
      <w:r>
        <w:t>Need catalog numbers</w:t>
      </w:r>
      <w:r w:rsidR="00E86A9C">
        <w:t xml:space="preserve"> and maybe include RRIDs</w:t>
      </w:r>
    </w:p>
  </w:comment>
  <w:comment w:id="5"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43FAD" w15:done="0"/>
  <w15:commentEx w15:paraId="5186E898" w15:done="0"/>
  <w15:commentEx w15:paraId="60FD268E" w15:done="0"/>
  <w15:commentEx w15:paraId="5333D16D"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071BC" w14:textId="77777777" w:rsidR="00523548" w:rsidRDefault="00523548" w:rsidP="00510F88">
      <w:r>
        <w:separator/>
      </w:r>
    </w:p>
  </w:endnote>
  <w:endnote w:type="continuationSeparator" w:id="0">
    <w:p w14:paraId="7CCCFB94" w14:textId="77777777" w:rsidR="00523548" w:rsidRDefault="00523548"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E2527" w14:textId="77777777" w:rsidR="00523548" w:rsidRDefault="00523548" w:rsidP="00510F88">
      <w:r>
        <w:separator/>
      </w:r>
    </w:p>
  </w:footnote>
  <w:footnote w:type="continuationSeparator" w:id="0">
    <w:p w14:paraId="63B470DF" w14:textId="77777777" w:rsidR="00523548" w:rsidRDefault="00523548" w:rsidP="00510F88">
      <w:r>
        <w:continuationSeparator/>
      </w:r>
    </w:p>
  </w:footnote>
  <w:footnote w:id="1">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2">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3">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4">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5">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6">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7">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1215A"/>
    <w:rsid w:val="00077A6D"/>
    <w:rsid w:val="000A64F4"/>
    <w:rsid w:val="000B139C"/>
    <w:rsid w:val="001055BB"/>
    <w:rsid w:val="001341E2"/>
    <w:rsid w:val="00136D82"/>
    <w:rsid w:val="00167EA6"/>
    <w:rsid w:val="002003D4"/>
    <w:rsid w:val="002021EB"/>
    <w:rsid w:val="00212D38"/>
    <w:rsid w:val="0025688C"/>
    <w:rsid w:val="00291985"/>
    <w:rsid w:val="002B3D9F"/>
    <w:rsid w:val="002B6CFE"/>
    <w:rsid w:val="002D3F0E"/>
    <w:rsid w:val="00335A63"/>
    <w:rsid w:val="0034064A"/>
    <w:rsid w:val="003675EC"/>
    <w:rsid w:val="003742DE"/>
    <w:rsid w:val="003B0C75"/>
    <w:rsid w:val="003B76F9"/>
    <w:rsid w:val="0041032E"/>
    <w:rsid w:val="00421A3E"/>
    <w:rsid w:val="004243D2"/>
    <w:rsid w:val="004333C7"/>
    <w:rsid w:val="00442B86"/>
    <w:rsid w:val="00467300"/>
    <w:rsid w:val="004744D9"/>
    <w:rsid w:val="00490316"/>
    <w:rsid w:val="004E4FCA"/>
    <w:rsid w:val="00501D40"/>
    <w:rsid w:val="00510F88"/>
    <w:rsid w:val="00523548"/>
    <w:rsid w:val="00537E3B"/>
    <w:rsid w:val="00587B0F"/>
    <w:rsid w:val="005B4E17"/>
    <w:rsid w:val="00620634"/>
    <w:rsid w:val="0067086A"/>
    <w:rsid w:val="006A7CAB"/>
    <w:rsid w:val="006A7EEF"/>
    <w:rsid w:val="006F2B7D"/>
    <w:rsid w:val="00703BEF"/>
    <w:rsid w:val="00703DFC"/>
    <w:rsid w:val="0071388A"/>
    <w:rsid w:val="00731DA6"/>
    <w:rsid w:val="007348F0"/>
    <w:rsid w:val="007A5FBA"/>
    <w:rsid w:val="00814DE4"/>
    <w:rsid w:val="00832132"/>
    <w:rsid w:val="00840F60"/>
    <w:rsid w:val="008C020D"/>
    <w:rsid w:val="008E3571"/>
    <w:rsid w:val="008E6553"/>
    <w:rsid w:val="0092334C"/>
    <w:rsid w:val="00923401"/>
    <w:rsid w:val="00941196"/>
    <w:rsid w:val="00941925"/>
    <w:rsid w:val="00965029"/>
    <w:rsid w:val="00984EF2"/>
    <w:rsid w:val="009A6007"/>
    <w:rsid w:val="009B3194"/>
    <w:rsid w:val="009B6F2D"/>
    <w:rsid w:val="009D18DB"/>
    <w:rsid w:val="00A03E5F"/>
    <w:rsid w:val="00A268CE"/>
    <w:rsid w:val="00A34EF3"/>
    <w:rsid w:val="00A4361E"/>
    <w:rsid w:val="00A46FDD"/>
    <w:rsid w:val="00A63434"/>
    <w:rsid w:val="00A7362C"/>
    <w:rsid w:val="00A75300"/>
    <w:rsid w:val="00AA06CE"/>
    <w:rsid w:val="00AC04C1"/>
    <w:rsid w:val="00AC4E5F"/>
    <w:rsid w:val="00AC7513"/>
    <w:rsid w:val="00AD0153"/>
    <w:rsid w:val="00AE720A"/>
    <w:rsid w:val="00AF0331"/>
    <w:rsid w:val="00AF73B4"/>
    <w:rsid w:val="00B155E0"/>
    <w:rsid w:val="00B20079"/>
    <w:rsid w:val="00B57BCA"/>
    <w:rsid w:val="00B756F2"/>
    <w:rsid w:val="00BA1F21"/>
    <w:rsid w:val="00BB41A8"/>
    <w:rsid w:val="00BE1F90"/>
    <w:rsid w:val="00BE5F2D"/>
    <w:rsid w:val="00C167B8"/>
    <w:rsid w:val="00C21557"/>
    <w:rsid w:val="00C45ACD"/>
    <w:rsid w:val="00C937F0"/>
    <w:rsid w:val="00CB1C98"/>
    <w:rsid w:val="00CC0A2D"/>
    <w:rsid w:val="00CC52BC"/>
    <w:rsid w:val="00CE5F71"/>
    <w:rsid w:val="00CF26EC"/>
    <w:rsid w:val="00D71604"/>
    <w:rsid w:val="00DB6289"/>
    <w:rsid w:val="00E05E0F"/>
    <w:rsid w:val="00E1298D"/>
    <w:rsid w:val="00E14D2A"/>
    <w:rsid w:val="00E558C2"/>
    <w:rsid w:val="00E86A9C"/>
    <w:rsid w:val="00E902C6"/>
    <w:rsid w:val="00E93522"/>
    <w:rsid w:val="00EA5D37"/>
    <w:rsid w:val="00EA6FC3"/>
    <w:rsid w:val="00EA7BF1"/>
    <w:rsid w:val="00EE2946"/>
    <w:rsid w:val="00F03805"/>
    <w:rsid w:val="00F04BC7"/>
    <w:rsid w:val="00F22320"/>
    <w:rsid w:val="00F81BF8"/>
    <w:rsid w:val="00F82FED"/>
    <w:rsid w:val="00F83DF2"/>
    <w:rsid w:val="00F91467"/>
    <w:rsid w:val="00FA24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E9FC11-5050-3844-B280-3F1D2378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26650</Words>
  <Characters>151908</Characters>
  <Application>Microsoft Macintosh Word</Application>
  <DocSecurity>0</DocSecurity>
  <Lines>1265</Lines>
  <Paragraphs>356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178202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47</cp:revision>
  <dcterms:created xsi:type="dcterms:W3CDTF">2016-02-17T21:22:00Z</dcterms:created>
  <dcterms:modified xsi:type="dcterms:W3CDTF">2016-12-31T13:19:00Z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