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014253" w14:textId="77777777" w:rsidR="00537E3B" w:rsidRDefault="00510F88" w:rsidP="00510F88">
      <w:pPr>
        <w:pStyle w:val="Title"/>
      </w:pPr>
      <w:r w:rsidRPr="00510F88">
        <w:t>Activation of mTORC1 and Suppression of Autophagy in Muscle Tissue Shortens Lifespan in Mice and Flies</w:t>
      </w:r>
    </w:p>
    <w:p w14:paraId="575A596B" w14:textId="7B55C55F" w:rsidR="00510F88" w:rsidRDefault="00510F88" w:rsidP="00510F88">
      <w:r>
        <w:t>Isabelle Hatfield</w:t>
      </w:r>
      <w:r>
        <w:rPr>
          <w:rStyle w:val="FootnoteReference"/>
        </w:rPr>
        <w:footnoteReference w:id="1"/>
      </w:r>
      <w:r>
        <w:t>, Erika Yates</w:t>
      </w:r>
      <w:r>
        <w:rPr>
          <w:rStyle w:val="FootnoteReference"/>
        </w:rPr>
        <w:t>1</w:t>
      </w:r>
      <w:r>
        <w:t>, Erin J. Stephenson</w:t>
      </w:r>
      <w:r w:rsidRPr="00510F88">
        <w:rPr>
          <w:vertAlign w:val="superscript"/>
        </w:rPr>
        <w:t>1</w:t>
      </w:r>
      <w:r w:rsidR="002003D4">
        <w:t xml:space="preserve">, </w:t>
      </w:r>
      <w:proofErr w:type="spellStart"/>
      <w:r w:rsidR="002003D4">
        <w:t>Kalei</w:t>
      </w:r>
      <w:r>
        <w:t>gh</w:t>
      </w:r>
      <w:proofErr w:type="spellEnd"/>
      <w:r>
        <w:t xml:space="preserve"> Fisher</w:t>
      </w:r>
      <w:r>
        <w:rPr>
          <w:rStyle w:val="FootnoteReference"/>
        </w:rPr>
        <w:footnoteReference w:id="2"/>
      </w:r>
      <w:r>
        <w:t xml:space="preserve">, </w:t>
      </w:r>
      <w:proofErr w:type="spellStart"/>
      <w:r>
        <w:t>Binbin</w:t>
      </w:r>
      <w:proofErr w:type="spellEnd"/>
      <w:r>
        <w:t xml:space="preserve"> Lu</w:t>
      </w:r>
      <w:r>
        <w:rPr>
          <w:vertAlign w:val="superscript"/>
        </w:rPr>
        <w:t>2</w:t>
      </w:r>
      <w:r>
        <w:t>, Alan R. Saltiel</w:t>
      </w:r>
      <w:r w:rsidR="002021EB" w:rsidRPr="002021EB">
        <w:rPr>
          <w:vertAlign w:val="superscript"/>
        </w:rPr>
        <w:t>2</w:t>
      </w:r>
      <w:r w:rsidR="002021EB">
        <w:rPr>
          <w:vertAlign w:val="superscript"/>
        </w:rPr>
        <w:t>,</w:t>
      </w:r>
      <w:r w:rsidR="002021EB">
        <w:rPr>
          <w:rStyle w:val="FootnoteReference"/>
        </w:rPr>
        <w:footnoteReference w:id="3"/>
      </w:r>
      <w:r w:rsidR="002021EB">
        <w:t>,</w:t>
      </w:r>
      <w:r>
        <w:t xml:space="preserve"> Lawrence T. Reiter</w:t>
      </w:r>
      <w:r>
        <w:rPr>
          <w:rStyle w:val="FootnoteReference"/>
        </w:rPr>
        <w:footnoteReference w:id="4"/>
      </w:r>
      <w:r w:rsidR="002021EB" w:rsidRPr="002021EB">
        <w:rPr>
          <w:vertAlign w:val="superscript"/>
        </w:rPr>
        <w:t>,</w:t>
      </w:r>
      <w:r w:rsidR="002021EB">
        <w:rPr>
          <w:rStyle w:val="FootnoteReference"/>
        </w:rPr>
        <w:footnoteReference w:id="5"/>
      </w:r>
      <w:r>
        <w:t xml:space="preserve"> and Dave Bridges</w:t>
      </w:r>
      <w:r w:rsidR="002021EB">
        <w:rPr>
          <w:rStyle w:val="FootnoteReference"/>
        </w:rPr>
        <w:t>1,2,5,</w:t>
      </w:r>
      <w:r w:rsidR="002021EB">
        <w:rPr>
          <w:rStyle w:val="FootnoteReference"/>
        </w:rPr>
        <w:footnoteReference w:id="6"/>
      </w:r>
    </w:p>
    <w:p w14:paraId="40255409" w14:textId="77777777" w:rsidR="00510F88" w:rsidRDefault="00510F88" w:rsidP="00510F88"/>
    <w:p w14:paraId="7315A1E7" w14:textId="77777777" w:rsidR="002021EB" w:rsidRDefault="002021EB" w:rsidP="00510F88"/>
    <w:p w14:paraId="1FF10372" w14:textId="77777777" w:rsidR="002021EB" w:rsidRDefault="002021EB" w:rsidP="002021EB">
      <w:pPr>
        <w:pStyle w:val="Heading1"/>
      </w:pPr>
      <w:r>
        <w:t>Abstract</w:t>
      </w:r>
    </w:p>
    <w:p w14:paraId="7C1DEEDF" w14:textId="77777777" w:rsidR="002021EB" w:rsidRDefault="002021EB" w:rsidP="002021EB">
      <w:pPr>
        <w:pStyle w:val="Heading1"/>
      </w:pPr>
    </w:p>
    <w:p w14:paraId="2361E5A3" w14:textId="77777777" w:rsidR="002021EB" w:rsidRDefault="002021EB" w:rsidP="002021EB">
      <w:pPr>
        <w:pStyle w:val="Heading1"/>
      </w:pPr>
      <w:r>
        <w:t>Introduction</w:t>
      </w:r>
    </w:p>
    <w:p w14:paraId="7DB3652B" w14:textId="77777777" w:rsidR="002021EB" w:rsidRDefault="002021EB" w:rsidP="002021EB">
      <w:pPr>
        <w:pStyle w:val="Heading1"/>
      </w:pPr>
    </w:p>
    <w:p w14:paraId="663D2359" w14:textId="77777777" w:rsidR="002021EB" w:rsidRPr="002021EB" w:rsidRDefault="002021EB" w:rsidP="002021EB">
      <w:pPr>
        <w:pStyle w:val="Heading1"/>
      </w:pPr>
      <w:r w:rsidRPr="002021EB">
        <w:t>Methods and Materials</w:t>
      </w:r>
    </w:p>
    <w:p w14:paraId="5281E991" w14:textId="77777777" w:rsidR="002021EB" w:rsidRDefault="00832132" w:rsidP="00832132">
      <w:pPr>
        <w:pStyle w:val="Heading2"/>
      </w:pPr>
      <w:r>
        <w:t>Animal Housing and Procedures</w:t>
      </w:r>
    </w:p>
    <w:p w14:paraId="5CEA5084" w14:textId="77777777" w:rsidR="00832132" w:rsidRDefault="00832132" w:rsidP="004E4FCA">
      <w:proofErr w:type="spellStart"/>
      <w:r>
        <w:t>Floxed</w:t>
      </w:r>
      <w:proofErr w:type="spellEnd"/>
      <w:r>
        <w:t xml:space="preserve"> </w:t>
      </w:r>
      <w:r>
        <w:rPr>
          <w:i/>
        </w:rPr>
        <w:t xml:space="preserve">Tsc1 </w:t>
      </w:r>
      <w:r>
        <w:t xml:space="preserve">alleles </w:t>
      </w:r>
      <w:r w:rsidR="004E4FCA">
        <w:t>(</w:t>
      </w:r>
      <w:r w:rsidR="004E4FCA" w:rsidRPr="004E4FCA">
        <w:t>Tsc1</w:t>
      </w:r>
      <w:r w:rsidR="004E4FCA" w:rsidRPr="004E4FCA">
        <w:rPr>
          <w:i/>
          <w:vertAlign w:val="superscript"/>
        </w:rPr>
        <w:t>tm1Djk</w:t>
      </w:r>
      <w:r w:rsidR="004E4FCA" w:rsidRPr="004E4FCA">
        <w:t>/J</w:t>
      </w:r>
      <w:r w:rsidR="004E4FCA">
        <w:fldChar w:fldCharType="begin" w:fldLock="1"/>
      </w:r>
      <w:r w:rsidR="00490316">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"&lt;sup&gt;1&lt;/sup&gt;", "plainTextFormattedCitation" : "1", "previouslyFormattedCitation" : "&lt;sup&gt;1&lt;/sup&gt;" }, "properties" : { "noteIndex" : 0 }, "schema" : "https://github.com/citation-style-language/schema/raw/master/csl-citation.json" }</w:instrText>
      </w:r>
      <w:r w:rsidR="004E4FCA">
        <w:fldChar w:fldCharType="separate"/>
      </w:r>
      <w:r w:rsidR="004E4FCA" w:rsidRPr="004E4FCA">
        <w:rPr>
          <w:noProof/>
          <w:vertAlign w:val="superscript"/>
        </w:rPr>
        <w:t>1</w:t>
      </w:r>
      <w:r w:rsidR="004E4FCA">
        <w:fldChar w:fldCharType="end"/>
      </w:r>
      <w:r w:rsidR="004E4FCA">
        <w:t xml:space="preserve"> from the Jackson Laboratory) </w:t>
      </w:r>
      <w:r>
        <w:t xml:space="preserve">were crossed with </w:t>
      </w:r>
      <w:proofErr w:type="spellStart"/>
      <w:r>
        <w:rPr>
          <w:i/>
        </w:rPr>
        <w:t>Ckmm-Cre</w:t>
      </w:r>
      <w:proofErr w:type="spellEnd"/>
      <w:r>
        <w:rPr>
          <w:i/>
        </w:rPr>
        <w:t xml:space="preserve"> </w:t>
      </w:r>
      <w:r w:rsidR="004E4FCA">
        <w:t>driver mice (</w:t>
      </w:r>
      <w:r w:rsidR="004E4FCA" w:rsidRPr="004E4FCA">
        <w:t>FVB-</w:t>
      </w:r>
      <w:proofErr w:type="spellStart"/>
      <w:r w:rsidR="004E4FCA" w:rsidRPr="004E4FCA">
        <w:t>Tg</w:t>
      </w:r>
      <w:proofErr w:type="spellEnd"/>
      <w:r w:rsidR="004E4FCA" w:rsidRPr="004E4FCA">
        <w:t>(</w:t>
      </w:r>
      <w:proofErr w:type="spellStart"/>
      <w:r w:rsidR="004E4FCA" w:rsidRPr="00490316">
        <w:rPr>
          <w:i/>
        </w:rPr>
        <w:t>Ckmm</w:t>
      </w:r>
      <w:r w:rsidR="00490316" w:rsidRPr="00490316">
        <w:rPr>
          <w:i/>
        </w:rPr>
        <w:t>-</w:t>
      </w:r>
      <w:r w:rsidR="004E4FCA" w:rsidRPr="00490316">
        <w:rPr>
          <w:i/>
        </w:rPr>
        <w:t>cre</w:t>
      </w:r>
      <w:proofErr w:type="spellEnd"/>
      <w:r w:rsidR="004E4FCA" w:rsidRPr="004E4FCA">
        <w:t>)5Khn/J</w:t>
      </w:r>
      <w:r w:rsidR="00490316">
        <w:fldChar w:fldCharType="begin" w:fldLock="1"/>
      </w:r>
      <w:r w:rsidR="00490316">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"&lt;sup&gt;2&lt;/sup&gt;", "plainTextFormattedCitation" : "2", "previouslyFormattedCitation" : "&lt;sup&gt;2&lt;/sup&gt;" }, "properties" : { "noteIndex" : 0 }, "schema" : "https://github.com/citation-style-language/schema/raw/master/csl-citation.json" }</w:instrText>
      </w:r>
      <w:r w:rsidR="00490316">
        <w:fldChar w:fldCharType="separate"/>
      </w:r>
      <w:r w:rsidR="00490316" w:rsidRPr="00490316">
        <w:rPr>
          <w:noProof/>
          <w:vertAlign w:val="superscript"/>
        </w:rPr>
        <w:t>2</w:t>
      </w:r>
      <w:r w:rsidR="00490316">
        <w:fldChar w:fldCharType="end"/>
      </w:r>
      <w:r w:rsidR="004E4FCA">
        <w:t xml:space="preserve"> from the Jackson Laboratory) </w:t>
      </w:r>
      <w:r>
        <w:t xml:space="preserve">to generate animals that were heterozygous for the </w:t>
      </w:r>
      <w:proofErr w:type="spellStart"/>
      <w:r>
        <w:t>floxed</w:t>
      </w:r>
      <w:proofErr w:type="spellEnd"/>
      <w:r>
        <w:t xml:space="preserve"> allele, and either </w:t>
      </w:r>
      <w:proofErr w:type="spellStart"/>
      <w:r>
        <w:t>hemizygous</w:t>
      </w:r>
      <w:proofErr w:type="spellEnd"/>
      <w:r>
        <w:t xml:space="preserve"> for the </w:t>
      </w:r>
      <w:proofErr w:type="spellStart"/>
      <w:r w:rsidRPr="00490316">
        <w:rPr>
          <w:i/>
        </w:rPr>
        <w:t>Cre</w:t>
      </w:r>
      <w:proofErr w:type="spellEnd"/>
      <w:r>
        <w:t xml:space="preserve"> allele or wild-type at this locus.  These mice were used to generate progeny </w:t>
      </w:r>
      <w:r w:rsidR="004E4FCA">
        <w:t>that</w:t>
      </w:r>
      <w:r>
        <w:t xml:space="preserve"> were </w:t>
      </w:r>
      <w:proofErr w:type="gramStart"/>
      <w:r>
        <w:t>wild-type</w:t>
      </w:r>
      <w:proofErr w:type="gramEnd"/>
      <w:r>
        <w:t xml:space="preserve"> at both the Tsc1 and </w:t>
      </w:r>
      <w:proofErr w:type="spellStart"/>
      <w:r>
        <w:t>Cre</w:t>
      </w:r>
      <w:proofErr w:type="spellEnd"/>
      <w:r>
        <w:t xml:space="preserve"> loci, homozygous at the </w:t>
      </w:r>
      <w:r w:rsidRPr="00832132">
        <w:rPr>
          <w:i/>
        </w:rPr>
        <w:t>Tsc1</w:t>
      </w:r>
      <w:r>
        <w:t xml:space="preserve"> loci (</w:t>
      </w:r>
      <w:proofErr w:type="spellStart"/>
      <w:r>
        <w:t>floxed</w:t>
      </w:r>
      <w:proofErr w:type="spellEnd"/>
      <w:r>
        <w:t xml:space="preserve"> only), </w:t>
      </w:r>
      <w:proofErr w:type="spellStart"/>
      <w:r>
        <w:t>hemizygous</w:t>
      </w:r>
      <w:proofErr w:type="spellEnd"/>
      <w:r>
        <w:t xml:space="preserve"> at the </w:t>
      </w:r>
      <w:proofErr w:type="spellStart"/>
      <w:r>
        <w:t>Cre</w:t>
      </w:r>
      <w:proofErr w:type="spellEnd"/>
      <w:r>
        <w:t xml:space="preserve"> loci (transgene only) or </w:t>
      </w:r>
      <w:r w:rsidRPr="00832132">
        <w:rPr>
          <w:i/>
        </w:rPr>
        <w:t>Tsc1</w:t>
      </w:r>
      <w:r>
        <w:rPr>
          <w:vertAlign w:val="superscript"/>
        </w:rPr>
        <w:t>fl/</w:t>
      </w:r>
      <w:proofErr w:type="spellStart"/>
      <w:r>
        <w:rPr>
          <w:vertAlign w:val="superscript"/>
        </w:rPr>
        <w:t>fl</w:t>
      </w:r>
      <w:proofErr w:type="spellEnd"/>
      <w:r>
        <w:t xml:space="preserve">, </w:t>
      </w:r>
      <w:proofErr w:type="spellStart"/>
      <w:r w:rsidRPr="00832132">
        <w:rPr>
          <w:i/>
        </w:rPr>
        <w:t>Ckmm-Cre</w:t>
      </w:r>
      <w:r w:rsidRPr="00832132">
        <w:rPr>
          <w:vertAlign w:val="superscript"/>
        </w:rPr>
        <w:t>Tg</w:t>
      </w:r>
      <w:proofErr w:type="spellEnd"/>
      <w:r w:rsidRPr="00832132">
        <w:rPr>
          <w:vertAlign w:val="superscript"/>
        </w:rPr>
        <w:t>/+</w:t>
      </w:r>
      <w:r>
        <w:t xml:space="preserve">.  Animals were housed in a 12h light/dark cycle animal facility with ad libitum access to food (Harlan </w:t>
      </w:r>
      <w:commentRangeStart w:id="0"/>
      <w:proofErr w:type="spellStart"/>
      <w:r>
        <w:t>Teklad</w:t>
      </w:r>
      <w:commentRangeEnd w:id="0"/>
      <w:proofErr w:type="spellEnd"/>
      <w:r w:rsidR="004E4FCA">
        <w:rPr>
          <w:rStyle w:val="CommentReference"/>
        </w:rPr>
        <w:commentReference w:id="0"/>
      </w:r>
      <w:r w:rsidR="004E4FCA">
        <w:t>) and water according to procedures approved by the University of Michigan University Committee on Use and Care of Animals.</w:t>
      </w:r>
      <w:r w:rsidR="00490316">
        <w:t xml:space="preserve">  Animals were allowed to die naturally, or were euthanized at the advice of veterinary staff. </w:t>
      </w:r>
    </w:p>
    <w:p w14:paraId="241FC6ED" w14:textId="77777777" w:rsidR="00490316" w:rsidRDefault="00490316" w:rsidP="00490316">
      <w:pPr>
        <w:pStyle w:val="Heading2"/>
      </w:pPr>
      <w:r>
        <w:t>Drosophila Breeding and Maintenance</w:t>
      </w:r>
    </w:p>
    <w:p w14:paraId="2FFFA96E" w14:textId="18EF9C54" w:rsidR="00703BEF" w:rsidRDefault="00490316" w:rsidP="00490316">
      <w:r>
        <w:t xml:space="preserve">Fly stocks (see Table 1) were purchased from the Bloomington Stock </w:t>
      </w:r>
      <w:proofErr w:type="spellStart"/>
      <w:r>
        <w:t>cCnter</w:t>
      </w:r>
      <w:proofErr w:type="spellEnd"/>
      <w:r>
        <w:t xml:space="preserve"> and maintained and were raised at 25</w:t>
      </w:r>
      <w:r w:rsidRPr="00490316">
        <w:t>C</w:t>
      </w:r>
      <w:r>
        <w:t xml:space="preserve"> on standard corn meal food.  </w:t>
      </w:r>
      <w:r w:rsidR="00703BEF">
        <w:t>For</w:t>
      </w:r>
      <w:r w:rsidRPr="00490316">
        <w:t xml:space="preserve"> crosses, virgin females were collected from the GAL4 driver strains. Ten virgin females were used per cross. Males with the appropriate genotype were chosen from each of the lines and crossed to male UAS-</w:t>
      </w:r>
      <w:proofErr w:type="spellStart"/>
      <w:r w:rsidRPr="00490316">
        <w:t>TRiP</w:t>
      </w:r>
      <w:proofErr w:type="spellEnd"/>
      <w:r w:rsidRPr="00490316">
        <w:t>-</w:t>
      </w:r>
      <w:proofErr w:type="spellStart"/>
      <w:r w:rsidRPr="00490316">
        <w:t>shRNA</w:t>
      </w:r>
      <w:proofErr w:type="spellEnd"/>
      <w:r w:rsidRPr="00490316">
        <w:t xml:space="preserve"> lines as well as a UAS-</w:t>
      </w:r>
      <w:proofErr w:type="spellStart"/>
      <w:r w:rsidRPr="00490316">
        <w:t>TRiP</w:t>
      </w:r>
      <w:proofErr w:type="spellEnd"/>
      <w:r w:rsidRPr="00490316">
        <w:t xml:space="preserve"> control which contains the genom</w:t>
      </w:r>
      <w:r>
        <w:t>ic insertion site but no shRNA</w:t>
      </w:r>
      <w:r>
        <w:fldChar w:fldCharType="begin" w:fldLock="1"/>
      </w:r>
      <w:r w:rsidR="00AC7513">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Pr="00490316">
        <w:rPr>
          <w:noProof/>
          <w:vertAlign w:val="superscript"/>
        </w:rPr>
        <w:t>3</w:t>
      </w:r>
      <w:r>
        <w:fldChar w:fldCharType="end"/>
      </w:r>
      <w:r w:rsidRPr="00490316">
        <w:t xml:space="preserve">
. Flies were maintained in a humi</w:t>
      </w:r>
      <w:r w:rsidR="00703BEF">
        <w:t>dified (50–60%)
incubator at 25</w:t>
      </w:r>
      <w:r w:rsidRPr="00490316">
        <w:t xml:space="preserve">C. Ten days after each cross the F1 progeny began to </w:t>
      </w:r>
      <w:proofErr w:type="spellStart"/>
      <w:r w:rsidRPr="00490316">
        <w:t>eclose</w:t>
      </w:r>
      <w:proofErr w:type="spellEnd"/>
      <w:r w:rsidRPr="00490316">
        <w:t xml:space="preserve"> and adults were sorted according to phenotype and gender. </w:t>
      </w:r>
      <w:r w:rsidR="002003D4">
        <w:t xml:space="preserve">Flies bearing the balancer markers were discarded from the analysis.  </w:t>
      </w:r>
      <w:r w:rsidR="00703BEF">
        <w:t>S</w:t>
      </w:r>
      <w:r w:rsidRPr="00490316">
        <w:t xml:space="preserve">orted flies were put into new vials, with males and females separated </w:t>
      </w:r>
      <w:r w:rsidRPr="00490316">
        <w:lastRenderedPageBreak/>
        <w:t xml:space="preserve">and with 5–10 flies in each vial. </w:t>
      </w:r>
      <w:r w:rsidR="00703BEF">
        <w:t xml:space="preserve">Flies were transferred to fresh food twice weekly with deaths noted from each cross.  The person handling the flies was blinded to the </w:t>
      </w:r>
      <w:r w:rsidR="002003D4">
        <w:t>genotype</w:t>
      </w:r>
      <w:r w:rsidR="00703BEF">
        <w:t xml:space="preserve"> of the </w:t>
      </w:r>
      <w:r w:rsidR="002003D4">
        <w:t>flies</w:t>
      </w:r>
      <w:r w:rsidR="00703BEF">
        <w:t>.</w:t>
      </w:r>
    </w:p>
    <w:p w14:paraId="7E13A5D1" w14:textId="726D2227" w:rsidR="00703BEF" w:rsidRDefault="002003D4" w:rsidP="002003D4">
      <w:pPr>
        <w:pStyle w:val="Heading2"/>
      </w:pPr>
      <w:r>
        <w:t>Western Blotting</w:t>
      </w:r>
    </w:p>
    <w:p w14:paraId="5FC416F2" w14:textId="5F507FAF" w:rsidR="002003D4" w:rsidRPr="002003D4" w:rsidRDefault="002003D4" w:rsidP="002003D4">
      <w:r>
        <w:t>Muscle samples (20-50</w:t>
      </w:r>
      <w:r w:rsidR="00AC7513">
        <w:t xml:space="preserve"> </w:t>
      </w:r>
      <w:proofErr w:type="spellStart"/>
      <w:r w:rsidR="00AC7513">
        <w:t>ug</w:t>
      </w:r>
      <w:proofErr w:type="spellEnd"/>
      <w:r>
        <w:t xml:space="preserve">) were lysed in 20 </w:t>
      </w:r>
      <w:proofErr w:type="spellStart"/>
      <w:r>
        <w:t>uL</w:t>
      </w:r>
      <w:proofErr w:type="spellEnd"/>
      <w:r>
        <w:t xml:space="preserve">/mg of RIPA buffer using a </w:t>
      </w:r>
      <w:proofErr w:type="spellStart"/>
      <w:r>
        <w:t>Qialyser</w:t>
      </w:r>
      <w:proofErr w:type="spellEnd"/>
      <w:r>
        <w:t xml:space="preserve"> (5 minutes at 30 Hz).  After centrifugation </w:t>
      </w:r>
      <w:r w:rsidR="00AC7513">
        <w:t>(15 minutes at 14 000 RPM), lysates were boiled in a final concentration of 1X SDS-PAGE sample buffer (</w:t>
      </w:r>
      <w:proofErr w:type="spellStart"/>
      <w:r w:rsidR="00AC7513">
        <w:t>BioRad</w:t>
      </w:r>
      <w:proofErr w:type="spellEnd"/>
      <w:r w:rsidR="00AC7513">
        <w:t xml:space="preserve">).  Proteins were separated on pre-cast gradient gels from </w:t>
      </w:r>
      <w:proofErr w:type="spellStart"/>
      <w:r w:rsidR="00AC7513">
        <w:t>BioRad</w:t>
      </w:r>
      <w:proofErr w:type="spellEnd"/>
      <w:r w:rsidR="00AC7513">
        <w:t xml:space="preserve"> and transferred to nitrocellulose membranes.  After blocking in 2% bovine serum albumin (Fisher), proteins were probed with anti-LC3, anti-pS6K, total S6K, anti-pS6 and anti-S6 antibodies.  Secondary antibodies were </w:t>
      </w:r>
      <w:proofErr w:type="spellStart"/>
      <w:r w:rsidR="00AC7513">
        <w:t>alexa</w:t>
      </w:r>
      <w:proofErr w:type="spellEnd"/>
      <w:r w:rsidR="00AC7513">
        <w:t xml:space="preserve"> 680/700 conjugated anti-mouse and anti-rabbit secondary antibodies and blots were visualized via a </w:t>
      </w:r>
      <w:proofErr w:type="spellStart"/>
      <w:r w:rsidR="00AC7513">
        <w:t>LiCOR</w:t>
      </w:r>
      <w:proofErr w:type="spellEnd"/>
      <w:r w:rsidR="00AC7513">
        <w:t xml:space="preserve"> Odyssey system.  Quantification was performed using </w:t>
      </w:r>
      <w:proofErr w:type="spellStart"/>
      <w:r w:rsidR="00AC7513">
        <w:t>ImageStudio</w:t>
      </w:r>
      <w:proofErr w:type="spellEnd"/>
      <w:r w:rsidR="00AC7513">
        <w:t xml:space="preserve"> Lite (</w:t>
      </w:r>
      <w:proofErr w:type="spellStart"/>
      <w:r w:rsidR="00AC7513">
        <w:t>LiCOR</w:t>
      </w:r>
      <w:proofErr w:type="spellEnd"/>
      <w:r w:rsidR="00AC7513">
        <w:t>).</w:t>
      </w:r>
    </w:p>
    <w:p w14:paraId="52CD405B" w14:textId="77777777" w:rsidR="00703BEF" w:rsidRDefault="00703BEF" w:rsidP="00703BEF">
      <w:pPr>
        <w:pStyle w:val="Heading2"/>
      </w:pPr>
      <w:r>
        <w:t>Statistics</w:t>
      </w:r>
    </w:p>
    <w:p w14:paraId="2E3F3883" w14:textId="3B13F434" w:rsidR="00AC7513" w:rsidRPr="00AC7513" w:rsidRDefault="00AC7513" w:rsidP="00AC7513">
      <w:r>
        <w:t>All statistical tests were performed using the R software package</w:t>
      </w:r>
      <w:r>
        <w:fldChar w:fldCharType="begin" w:fldLock="1"/>
      </w:r>
      <w:r w:rsidR="0034064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Pr="00AC7513">
        <w:rPr>
          <w:noProof/>
          <w:vertAlign w:val="superscript"/>
        </w:rPr>
        <w:t>4</w:t>
      </w:r>
      <w:r>
        <w:fldChar w:fldCharType="end"/>
      </w:r>
      <w:r>
        <w:t xml:space="preserve">.  </w:t>
      </w:r>
      <w:r w:rsidR="0034064A">
        <w:t>For pairwise tests, normality was tested via Shapiro-</w:t>
      </w:r>
      <w:proofErr w:type="spellStart"/>
      <w:r w:rsidR="0034064A">
        <w:t>Wilk</w:t>
      </w:r>
      <w:proofErr w:type="spellEnd"/>
      <w:r w:rsidR="0034064A">
        <w:t xml:space="preserve"> tests, and equal variance was tested using </w:t>
      </w:r>
      <w:proofErr w:type="spellStart"/>
      <w:r w:rsidR="0034064A">
        <w:t>Levene’s</w:t>
      </w:r>
      <w:proofErr w:type="spellEnd"/>
      <w:r w:rsidR="0034064A">
        <w:t xml:space="preserve"> test.  Based on these results</w:t>
      </w:r>
      <w:proofErr w:type="gramStart"/>
      <w:r w:rsidR="0034064A">
        <w:t>, either</w:t>
      </w:r>
      <w:proofErr w:type="gramEnd"/>
      <w:r w:rsidR="0034064A">
        <w:t xml:space="preserve"> Wilcoxon tests, Student’s </w:t>
      </w:r>
      <w:r w:rsidR="0034064A" w:rsidRPr="0034064A">
        <w:rPr>
          <w:i/>
        </w:rPr>
        <w:t>t</w:t>
      </w:r>
      <w:r w:rsidR="0034064A">
        <w:t xml:space="preserve"> or Welch’s </w:t>
      </w:r>
      <w:r w:rsidR="0034064A" w:rsidRPr="0034064A">
        <w:rPr>
          <w:i/>
        </w:rPr>
        <w:t>t</w:t>
      </w:r>
      <w:r w:rsidR="0034064A">
        <w:t xml:space="preserve">-tests were performed.  </w:t>
      </w:r>
      <w:r>
        <w:t>For survival analyses and cox p</w:t>
      </w:r>
      <w:bookmarkStart w:id="1" w:name="_GoBack"/>
      <w:bookmarkEnd w:id="1"/>
      <w:r>
        <w:t>roportional hazard tests, the survival package was used</w:t>
      </w:r>
      <w:r w:rsidR="0034064A">
        <w:t xml:space="preserve"> (version 2.38-3)</w:t>
      </w:r>
      <w:r w:rsidR="0034064A">
        <w:fldChar w:fldCharType="begin" w:fldLock="1"/>
      </w:r>
      <w:r w:rsidR="0034064A">
        <w:instrText>ADDIN CSL_CITATION { "citationItems" : [ { "id" : "ITEM-1", "itemData" : { "DOI" : "10.1007/978-1-4757-3294-8", "ISBN" : "978-1-4419-3161-0", "author" : [ { "dropping-particle" : "", "family" : "Therneau", "given" : "Terry M.", "non-dropping-particle" : "", "parse-names" : false, "suffix" : "" }, { "dropping-particle" : "", "family" : "Grambsch", "given" : "Patricia M.", "non-dropping-particle" : "", "parse-names" : false, "suffix" : "" } ], "collection-title" : "Statistics for Biology and Health", "id" : "ITEM-1", "issued" : { "date-parts" : [ [ "2000" ] ] }, "publisher" : "Springer New York", "publisher-place" : "New York, NY", "title" : "Modeling Survival Data: Extending the Cox Model", "type" : "book" }, "uris" : [ "http://www.mendeley.com/documents/?uuid=99db4f8c-9747-4162-9113-2b3776c05f5b" ] }, { "id" : "ITEM-2", "itemData" : { "ISBN" : "0471252182", "abstract" : "survival analysis: descriptive statistics, two-sample tests, parametric accelerated failure models, Cox model. Delayed entry (truncation) allowed for all models; interval censoring for parametric models. Case-cohort designs.", "author" : [ { "dropping-particle" : "", "family" : "Therneau", "given" : "Terry", "non-dropping-particle" : "", "parse-names" : false, "suffix" : "" } ], "container-title" : "Survival", "id" : "ITEM-2", "issued" : { "date-parts" : [ [ "2012" ] ] }, "title" : "A Package for Survival Analysis in S. R package version", "type" : "article" }, "uris" : [ "http://www.mendeley.com/documents/?uuid=940d1321-21f4-4843-992d-c2a4cb00ebbd" ] } ], "mendeley" : { "formattedCitation" : "&lt;sup&gt;5,6&lt;/sup&gt;", "plainTextFormattedCitation" : "5,6" }, "properties" : { "noteIndex" : 0 }, "schema" : "https://github.com/citation-style-language/schema/raw/master/csl-citation.json" }</w:instrText>
      </w:r>
      <w:r w:rsidR="0034064A">
        <w:fldChar w:fldCharType="separate"/>
      </w:r>
      <w:r w:rsidR="0034064A" w:rsidRPr="0034064A">
        <w:rPr>
          <w:noProof/>
          <w:vertAlign w:val="superscript"/>
        </w:rPr>
        <w:t>5,6</w:t>
      </w:r>
      <w:r w:rsidR="0034064A">
        <w:fldChar w:fldCharType="end"/>
      </w:r>
      <w:r w:rsidR="0034064A">
        <w:t xml:space="preserve">.  All raw data and reproducible code is available at </w:t>
      </w:r>
      <w:r w:rsidR="0034064A" w:rsidRPr="0034064A">
        <w:t>http://bridgeslab.github.io/DrosophilaMuscleFunction</w:t>
      </w:r>
    </w:p>
    <w:p w14:paraId="272ABF99" w14:textId="77777777" w:rsidR="002021EB" w:rsidRDefault="002021EB" w:rsidP="002021EB">
      <w:pPr>
        <w:pStyle w:val="Heading1"/>
      </w:pPr>
      <w:r>
        <w:t>Results</w:t>
      </w:r>
    </w:p>
    <w:p w14:paraId="2E051092" w14:textId="77777777" w:rsidR="002021EB" w:rsidRPr="00832132" w:rsidRDefault="00832132" w:rsidP="00832132">
      <w:pPr>
        <w:pStyle w:val="Heading2"/>
      </w:pPr>
      <w:r>
        <w:t xml:space="preserve">Deletion of </w:t>
      </w:r>
      <w:r>
        <w:rPr>
          <w:i/>
        </w:rPr>
        <w:t>Tsc1</w:t>
      </w:r>
      <w:r>
        <w:t xml:space="preserve"> in muscle tissue causes shortened lifespan</w:t>
      </w:r>
    </w:p>
    <w:p w14:paraId="13598F87" w14:textId="77777777" w:rsidR="002021EB" w:rsidRDefault="002021EB" w:rsidP="002021EB">
      <w:pPr>
        <w:pStyle w:val="Heading1"/>
      </w:pPr>
      <w:r>
        <w:t xml:space="preserve">Discussion </w:t>
      </w:r>
    </w:p>
    <w:p w14:paraId="6DE3E364" w14:textId="77777777" w:rsidR="004E4FCA" w:rsidRDefault="004E4FCA" w:rsidP="004E4FCA"/>
    <w:p w14:paraId="5A9759C1" w14:textId="77777777" w:rsidR="004E4FCA" w:rsidRDefault="004E4FCA" w:rsidP="004E4FCA">
      <w:pPr>
        <w:pStyle w:val="Heading1"/>
      </w:pPr>
      <w:r>
        <w:t>Acknowledgements</w:t>
      </w:r>
    </w:p>
    <w:p w14:paraId="7B5B26A3" w14:textId="77777777" w:rsidR="004E4FCA" w:rsidRPr="004E4FCA" w:rsidRDefault="004E4FCA" w:rsidP="004E4FCA">
      <w:pPr>
        <w:pStyle w:val="Heading1"/>
      </w:pPr>
      <w:r>
        <w:t>References</w:t>
      </w:r>
    </w:p>
    <w:p w14:paraId="35C8BD62" w14:textId="049666BA" w:rsidR="0034064A" w:rsidRPr="0034064A" w:rsidRDefault="00490316" w:rsidP="0034064A">
      <w:pPr>
        <w:widowControl w:val="0"/>
        <w:autoSpaceDE w:val="0"/>
        <w:autoSpaceDN w:val="0"/>
        <w:adjustRightInd w:val="0"/>
        <w:ind w:left="640" w:hanging="640"/>
        <w:rPr>
          <w:rFonts w:ascii="Garamond" w:hAnsi="Garamond"/>
          <w:noProof/>
        </w:rPr>
      </w:pPr>
      <w:r>
        <w:fldChar w:fldCharType="begin" w:fldLock="1"/>
      </w:r>
      <w:r>
        <w:instrText xml:space="preserve">ADDIN Mendeley Bibliography CSL_BIBLIOGRAPHY </w:instrText>
      </w:r>
      <w:r>
        <w:fldChar w:fldCharType="separate"/>
      </w:r>
      <w:r w:rsidR="0034064A" w:rsidRPr="0034064A">
        <w:rPr>
          <w:rFonts w:ascii="Garamond" w:hAnsi="Garamond"/>
          <w:noProof/>
        </w:rPr>
        <w:t xml:space="preserve">1. </w:t>
      </w:r>
      <w:r w:rsidR="0034064A" w:rsidRPr="0034064A">
        <w:rPr>
          <w:rFonts w:ascii="Garamond" w:hAnsi="Garamond"/>
          <w:noProof/>
        </w:rPr>
        <w:tab/>
        <w:t xml:space="preserve">Kwiatkowski DJ, Zhang H, Bandura JL, Heiberger KM, Glogauer M, el-Hashemite N, Onda H. A mouse model of TSC1 reveals sex-dependent lethality from liver hemangiomas, and up-regulation of p70S6 kinase activity in Tsc1 null cells. Hum Mol Genet 2002; 11:525–34. </w:t>
      </w:r>
    </w:p>
    <w:p w14:paraId="71162A6C" w14:textId="77777777" w:rsidR="0034064A" w:rsidRPr="0034064A" w:rsidRDefault="0034064A" w:rsidP="0034064A">
      <w:pPr>
        <w:widowControl w:val="0"/>
        <w:autoSpaceDE w:val="0"/>
        <w:autoSpaceDN w:val="0"/>
        <w:adjustRightInd w:val="0"/>
        <w:ind w:left="640" w:hanging="640"/>
        <w:rPr>
          <w:rFonts w:ascii="Garamond" w:hAnsi="Garamond"/>
          <w:noProof/>
        </w:rPr>
      </w:pPr>
      <w:r w:rsidRPr="0034064A">
        <w:rPr>
          <w:rFonts w:ascii="Garamond" w:hAnsi="Garamond"/>
          <w:noProof/>
        </w:rPr>
        <w:t xml:space="preserve">2. </w:t>
      </w:r>
      <w:r w:rsidRPr="0034064A">
        <w:rPr>
          <w:rFonts w:ascii="Garamond" w:hAnsi="Garamond"/>
          <w:noProof/>
        </w:rPr>
        <w:tab/>
        <w:t xml:space="preserve">Brüning JC, Michael MD, Winnay JN, Hayashi T, Hörsch D, Accili D, Goodyear LJ, Kahn CR. A Muscle-Specific Insulin Receptor Knockout Exhibits Features of the Metabolic Syndrome of NIDDM without Altering Glucose Tolerance. Mol Cell 1998; 2:559–69. </w:t>
      </w:r>
    </w:p>
    <w:p w14:paraId="7A66588F" w14:textId="77777777" w:rsidR="0034064A" w:rsidRPr="0034064A" w:rsidRDefault="0034064A" w:rsidP="0034064A">
      <w:pPr>
        <w:widowControl w:val="0"/>
        <w:autoSpaceDE w:val="0"/>
        <w:autoSpaceDN w:val="0"/>
        <w:adjustRightInd w:val="0"/>
        <w:ind w:left="640" w:hanging="640"/>
        <w:rPr>
          <w:rFonts w:ascii="Garamond" w:hAnsi="Garamond"/>
          <w:noProof/>
        </w:rPr>
      </w:pPr>
      <w:r w:rsidRPr="0034064A">
        <w:rPr>
          <w:rFonts w:ascii="Garamond" w:hAnsi="Garamond"/>
          <w:noProof/>
        </w:rPr>
        <w:t xml:space="preserve">3. </w:t>
      </w:r>
      <w:r w:rsidRPr="0034064A">
        <w:rPr>
          <w:rFonts w:ascii="Garamond" w:hAnsi="Garamond"/>
          <w:noProof/>
        </w:rPr>
        <w:tab/>
        <w:t xml:space="preserve">Ni J, Zhou R, Czech B, Liu L, Holderbaum L, Yang-Zhou D, Shim H, Tao R, Handler D, Karpowicz P, et al. A genome-scale shRNA resource for transgenic RNAi in Drosophila. Nat Methods 2011; 8:405–7. </w:t>
      </w:r>
    </w:p>
    <w:p w14:paraId="4360525F" w14:textId="77777777" w:rsidR="0034064A" w:rsidRPr="0034064A" w:rsidRDefault="0034064A" w:rsidP="0034064A">
      <w:pPr>
        <w:widowControl w:val="0"/>
        <w:autoSpaceDE w:val="0"/>
        <w:autoSpaceDN w:val="0"/>
        <w:adjustRightInd w:val="0"/>
        <w:ind w:left="640" w:hanging="640"/>
        <w:rPr>
          <w:rFonts w:ascii="Garamond" w:hAnsi="Garamond"/>
          <w:noProof/>
        </w:rPr>
      </w:pPr>
      <w:r w:rsidRPr="0034064A">
        <w:rPr>
          <w:rFonts w:ascii="Garamond" w:hAnsi="Garamond"/>
          <w:noProof/>
        </w:rPr>
        <w:t xml:space="preserve">4. </w:t>
      </w:r>
      <w:r w:rsidRPr="0034064A">
        <w:rPr>
          <w:rFonts w:ascii="Garamond" w:hAnsi="Garamond"/>
          <w:noProof/>
        </w:rPr>
        <w:tab/>
        <w:t xml:space="preserve">R Core Team. R: A Language and Environment for Statistical Computing. 2013; </w:t>
      </w:r>
    </w:p>
    <w:p w14:paraId="6144DA0E" w14:textId="77777777" w:rsidR="0034064A" w:rsidRPr="0034064A" w:rsidRDefault="0034064A" w:rsidP="0034064A">
      <w:pPr>
        <w:widowControl w:val="0"/>
        <w:autoSpaceDE w:val="0"/>
        <w:autoSpaceDN w:val="0"/>
        <w:adjustRightInd w:val="0"/>
        <w:ind w:left="640" w:hanging="640"/>
        <w:rPr>
          <w:rFonts w:ascii="Garamond" w:hAnsi="Garamond"/>
          <w:noProof/>
        </w:rPr>
      </w:pPr>
      <w:r w:rsidRPr="0034064A">
        <w:rPr>
          <w:rFonts w:ascii="Garamond" w:hAnsi="Garamond"/>
          <w:noProof/>
        </w:rPr>
        <w:t xml:space="preserve">5. </w:t>
      </w:r>
      <w:r w:rsidRPr="0034064A">
        <w:rPr>
          <w:rFonts w:ascii="Garamond" w:hAnsi="Garamond"/>
          <w:noProof/>
        </w:rPr>
        <w:tab/>
        <w:t xml:space="preserve">Therneau TM, Grambsch PM. Modeling Survival Data: Extending the Cox Model. New York, NY: Springer New York; 2000. </w:t>
      </w:r>
    </w:p>
    <w:p w14:paraId="296E393B" w14:textId="77777777" w:rsidR="0034064A" w:rsidRPr="0034064A" w:rsidRDefault="0034064A" w:rsidP="0034064A">
      <w:pPr>
        <w:widowControl w:val="0"/>
        <w:autoSpaceDE w:val="0"/>
        <w:autoSpaceDN w:val="0"/>
        <w:adjustRightInd w:val="0"/>
        <w:ind w:left="640" w:hanging="640"/>
        <w:rPr>
          <w:rFonts w:ascii="Garamond" w:hAnsi="Garamond"/>
          <w:noProof/>
        </w:rPr>
      </w:pPr>
      <w:r w:rsidRPr="0034064A">
        <w:rPr>
          <w:rFonts w:ascii="Garamond" w:hAnsi="Garamond"/>
          <w:noProof/>
        </w:rPr>
        <w:t xml:space="preserve">6. </w:t>
      </w:r>
      <w:r w:rsidRPr="0034064A">
        <w:rPr>
          <w:rFonts w:ascii="Garamond" w:hAnsi="Garamond"/>
          <w:noProof/>
        </w:rPr>
        <w:tab/>
        <w:t xml:space="preserve">Therneau T. A Package for Survival Analysis in S. R package version. Survival (Lond).2012; </w:t>
      </w:r>
    </w:p>
    <w:p w14:paraId="1CA06D1E" w14:textId="0BF558BF" w:rsidR="00510F88" w:rsidRPr="00510F88" w:rsidRDefault="00490316" w:rsidP="0034064A">
      <w:pPr>
        <w:widowControl w:val="0"/>
        <w:autoSpaceDE w:val="0"/>
        <w:autoSpaceDN w:val="0"/>
        <w:adjustRightInd w:val="0"/>
        <w:ind w:left="640" w:hanging="640"/>
      </w:pPr>
      <w:r>
        <w:fldChar w:fldCharType="end"/>
      </w:r>
    </w:p>
    <w:sectPr w:rsidR="00510F88" w:rsidRPr="00510F88" w:rsidSect="00E14D2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6-02-17T15:53:00Z" w:initials="DB">
    <w:p w14:paraId="5186E898" w14:textId="77777777" w:rsidR="0034064A" w:rsidRDefault="0034064A">
      <w:pPr>
        <w:pStyle w:val="CommentText"/>
      </w:pPr>
      <w:r>
        <w:rPr>
          <w:rStyle w:val="CommentReference"/>
        </w:rPr>
        <w:annotationRef/>
      </w:r>
      <w:r>
        <w:t>Find food for UM animal core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474A4" w14:textId="77777777" w:rsidR="0034064A" w:rsidRDefault="0034064A" w:rsidP="00510F88">
      <w:r>
        <w:separator/>
      </w:r>
    </w:p>
  </w:endnote>
  <w:endnote w:type="continuationSeparator" w:id="0">
    <w:p w14:paraId="6E916FB0" w14:textId="77777777" w:rsidR="0034064A" w:rsidRDefault="0034064A" w:rsidP="0051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56C9B" w14:textId="77777777" w:rsidR="0034064A" w:rsidRDefault="0034064A" w:rsidP="00510F88">
      <w:r>
        <w:separator/>
      </w:r>
    </w:p>
  </w:footnote>
  <w:footnote w:type="continuationSeparator" w:id="0">
    <w:p w14:paraId="203C1222" w14:textId="77777777" w:rsidR="0034064A" w:rsidRDefault="0034064A" w:rsidP="00510F88">
      <w:r>
        <w:continuationSeparator/>
      </w:r>
    </w:p>
  </w:footnote>
  <w:footnote w:id="1">
    <w:p w14:paraId="14C8D38D" w14:textId="77777777" w:rsidR="0034064A" w:rsidRDefault="0034064A">
      <w:pPr>
        <w:pStyle w:val="FootnoteText"/>
      </w:pPr>
      <w:r>
        <w:rPr>
          <w:rStyle w:val="FootnoteReference"/>
        </w:rPr>
        <w:footnoteRef/>
      </w:r>
      <w:r>
        <w:t xml:space="preserve"> Department of Physiology, University of Tennessee Health Science Center</w:t>
      </w:r>
    </w:p>
  </w:footnote>
  <w:footnote w:id="2">
    <w:p w14:paraId="776885BC" w14:textId="77777777" w:rsidR="0034064A" w:rsidRDefault="0034064A" w:rsidP="00510F88">
      <w:pPr>
        <w:pStyle w:val="FootnoteText"/>
      </w:pPr>
      <w:r>
        <w:rPr>
          <w:rStyle w:val="FootnoteReference"/>
        </w:rPr>
        <w:footnoteRef/>
      </w:r>
      <w:r>
        <w:t xml:space="preserve"> Life Sciences Institute, University of Michigan, Ann Arbor</w:t>
      </w:r>
    </w:p>
  </w:footnote>
  <w:footnote w:id="3">
    <w:p w14:paraId="7FDF825E" w14:textId="77777777" w:rsidR="0034064A" w:rsidRDefault="0034064A">
      <w:pPr>
        <w:pStyle w:val="FootnoteText"/>
      </w:pPr>
      <w:r>
        <w:rPr>
          <w:rStyle w:val="FootnoteReference"/>
        </w:rPr>
        <w:footnoteRef/>
      </w:r>
      <w:r>
        <w:t xml:space="preserve"> Division of Endocrinology and Metabolism, University of California San Diego</w:t>
      </w:r>
    </w:p>
  </w:footnote>
  <w:footnote w:id="4">
    <w:p w14:paraId="3C9940C4" w14:textId="77777777" w:rsidR="0034064A" w:rsidRDefault="0034064A" w:rsidP="00510F88">
      <w:pPr>
        <w:pStyle w:val="FootnoteText"/>
      </w:pPr>
      <w:r>
        <w:rPr>
          <w:rStyle w:val="FootnoteReference"/>
        </w:rPr>
        <w:footnoteRef/>
      </w:r>
      <w:r>
        <w:t xml:space="preserve"> Department of Neurology, University of Tennessee Health Science Center</w:t>
      </w:r>
    </w:p>
  </w:footnote>
  <w:footnote w:id="5">
    <w:p w14:paraId="5E567957" w14:textId="77777777" w:rsidR="0034064A" w:rsidRDefault="0034064A">
      <w:pPr>
        <w:pStyle w:val="FootnoteText"/>
      </w:pPr>
      <w:r>
        <w:rPr>
          <w:rStyle w:val="FootnoteReference"/>
        </w:rPr>
        <w:footnoteRef/>
      </w:r>
      <w:r>
        <w:t xml:space="preserve"> Department of Pediatrics, University of Tennessee Health Science Center</w:t>
      </w:r>
    </w:p>
  </w:footnote>
  <w:footnote w:id="6">
    <w:p w14:paraId="3679EC27" w14:textId="77777777" w:rsidR="0034064A" w:rsidRDefault="0034064A">
      <w:pPr>
        <w:pStyle w:val="FootnoteText"/>
      </w:pPr>
      <w:r>
        <w:rPr>
          <w:rStyle w:val="FootnoteReference"/>
        </w:rPr>
        <w:footnoteRef/>
      </w:r>
      <w:r>
        <w:t xml:space="preserve"> Corresponding Author: dbridge9@uthsc.edu</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BC"/>
    <w:rsid w:val="002003D4"/>
    <w:rsid w:val="002021EB"/>
    <w:rsid w:val="0034064A"/>
    <w:rsid w:val="00490316"/>
    <w:rsid w:val="004E4FCA"/>
    <w:rsid w:val="00510F88"/>
    <w:rsid w:val="00537E3B"/>
    <w:rsid w:val="00703BEF"/>
    <w:rsid w:val="00832132"/>
    <w:rsid w:val="00A34EF3"/>
    <w:rsid w:val="00AC7513"/>
    <w:rsid w:val="00CC52BC"/>
    <w:rsid w:val="00E14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3EB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1EB"/>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832132"/>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F88"/>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510F88"/>
    <w:rPr>
      <w:rFonts w:asciiTheme="majorHAnsi" w:eastAsiaTheme="majorEastAsia" w:hAnsiTheme="majorHAnsi" w:cstheme="majorBidi"/>
      <w:color w:val="343437" w:themeColor="text2" w:themeShade="BF"/>
      <w:spacing w:val="5"/>
      <w:kern w:val="28"/>
      <w:sz w:val="52"/>
      <w:szCs w:val="52"/>
    </w:rPr>
  </w:style>
  <w:style w:type="paragraph" w:styleId="FootnoteText">
    <w:name w:val="footnote text"/>
    <w:basedOn w:val="Normal"/>
    <w:link w:val="FootnoteTextChar"/>
    <w:uiPriority w:val="99"/>
    <w:unhideWhenUsed/>
    <w:rsid w:val="00510F88"/>
  </w:style>
  <w:style w:type="character" w:customStyle="1" w:styleId="FootnoteTextChar">
    <w:name w:val="Footnote Text Char"/>
    <w:basedOn w:val="DefaultParagraphFont"/>
    <w:link w:val="FootnoteText"/>
    <w:uiPriority w:val="99"/>
    <w:rsid w:val="00510F88"/>
  </w:style>
  <w:style w:type="character" w:styleId="FootnoteReference">
    <w:name w:val="footnote reference"/>
    <w:basedOn w:val="DefaultParagraphFont"/>
    <w:uiPriority w:val="99"/>
    <w:unhideWhenUsed/>
    <w:rsid w:val="00510F88"/>
    <w:rPr>
      <w:vertAlign w:val="superscript"/>
    </w:rPr>
  </w:style>
  <w:style w:type="character" w:styleId="Hyperlink">
    <w:name w:val="Hyperlink"/>
    <w:basedOn w:val="DefaultParagraphFont"/>
    <w:uiPriority w:val="99"/>
    <w:unhideWhenUsed/>
    <w:rsid w:val="002021EB"/>
    <w:rPr>
      <w:color w:val="67AABF" w:themeColor="hyperlink"/>
      <w:u w:val="single"/>
    </w:rPr>
  </w:style>
  <w:style w:type="character" w:customStyle="1" w:styleId="Heading1Char">
    <w:name w:val="Heading 1 Char"/>
    <w:basedOn w:val="DefaultParagraphFont"/>
    <w:link w:val="Heading1"/>
    <w:uiPriority w:val="9"/>
    <w:rsid w:val="002021EB"/>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832132"/>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4E4FCA"/>
    <w:rPr>
      <w:sz w:val="18"/>
      <w:szCs w:val="18"/>
    </w:rPr>
  </w:style>
  <w:style w:type="paragraph" w:styleId="CommentText">
    <w:name w:val="annotation text"/>
    <w:basedOn w:val="Normal"/>
    <w:link w:val="CommentTextChar"/>
    <w:uiPriority w:val="99"/>
    <w:semiHidden/>
    <w:unhideWhenUsed/>
    <w:rsid w:val="004E4FCA"/>
  </w:style>
  <w:style w:type="character" w:customStyle="1" w:styleId="CommentTextChar">
    <w:name w:val="Comment Text Char"/>
    <w:basedOn w:val="DefaultParagraphFont"/>
    <w:link w:val="CommentText"/>
    <w:uiPriority w:val="99"/>
    <w:semiHidden/>
    <w:rsid w:val="004E4FCA"/>
  </w:style>
  <w:style w:type="paragraph" w:styleId="CommentSubject">
    <w:name w:val="annotation subject"/>
    <w:basedOn w:val="CommentText"/>
    <w:next w:val="CommentText"/>
    <w:link w:val="CommentSubjectChar"/>
    <w:uiPriority w:val="99"/>
    <w:semiHidden/>
    <w:unhideWhenUsed/>
    <w:rsid w:val="004E4FCA"/>
    <w:rPr>
      <w:b/>
      <w:bCs/>
      <w:sz w:val="20"/>
      <w:szCs w:val="20"/>
    </w:rPr>
  </w:style>
  <w:style w:type="character" w:customStyle="1" w:styleId="CommentSubjectChar">
    <w:name w:val="Comment Subject Char"/>
    <w:basedOn w:val="CommentTextChar"/>
    <w:link w:val="CommentSubject"/>
    <w:uiPriority w:val="99"/>
    <w:semiHidden/>
    <w:rsid w:val="004E4FCA"/>
    <w:rPr>
      <w:b/>
      <w:bCs/>
      <w:sz w:val="20"/>
      <w:szCs w:val="20"/>
    </w:rPr>
  </w:style>
  <w:style w:type="paragraph" w:styleId="BalloonText">
    <w:name w:val="Balloon Text"/>
    <w:basedOn w:val="Normal"/>
    <w:link w:val="BalloonTextChar"/>
    <w:uiPriority w:val="99"/>
    <w:semiHidden/>
    <w:unhideWhenUsed/>
    <w:rsid w:val="004E4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FC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1EB"/>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832132"/>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F88"/>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510F88"/>
    <w:rPr>
      <w:rFonts w:asciiTheme="majorHAnsi" w:eastAsiaTheme="majorEastAsia" w:hAnsiTheme="majorHAnsi" w:cstheme="majorBidi"/>
      <w:color w:val="343437" w:themeColor="text2" w:themeShade="BF"/>
      <w:spacing w:val="5"/>
      <w:kern w:val="28"/>
      <w:sz w:val="52"/>
      <w:szCs w:val="52"/>
    </w:rPr>
  </w:style>
  <w:style w:type="paragraph" w:styleId="FootnoteText">
    <w:name w:val="footnote text"/>
    <w:basedOn w:val="Normal"/>
    <w:link w:val="FootnoteTextChar"/>
    <w:uiPriority w:val="99"/>
    <w:unhideWhenUsed/>
    <w:rsid w:val="00510F88"/>
  </w:style>
  <w:style w:type="character" w:customStyle="1" w:styleId="FootnoteTextChar">
    <w:name w:val="Footnote Text Char"/>
    <w:basedOn w:val="DefaultParagraphFont"/>
    <w:link w:val="FootnoteText"/>
    <w:uiPriority w:val="99"/>
    <w:rsid w:val="00510F88"/>
  </w:style>
  <w:style w:type="character" w:styleId="FootnoteReference">
    <w:name w:val="footnote reference"/>
    <w:basedOn w:val="DefaultParagraphFont"/>
    <w:uiPriority w:val="99"/>
    <w:unhideWhenUsed/>
    <w:rsid w:val="00510F88"/>
    <w:rPr>
      <w:vertAlign w:val="superscript"/>
    </w:rPr>
  </w:style>
  <w:style w:type="character" w:styleId="Hyperlink">
    <w:name w:val="Hyperlink"/>
    <w:basedOn w:val="DefaultParagraphFont"/>
    <w:uiPriority w:val="99"/>
    <w:unhideWhenUsed/>
    <w:rsid w:val="002021EB"/>
    <w:rPr>
      <w:color w:val="67AABF" w:themeColor="hyperlink"/>
      <w:u w:val="single"/>
    </w:rPr>
  </w:style>
  <w:style w:type="character" w:customStyle="1" w:styleId="Heading1Char">
    <w:name w:val="Heading 1 Char"/>
    <w:basedOn w:val="DefaultParagraphFont"/>
    <w:link w:val="Heading1"/>
    <w:uiPriority w:val="9"/>
    <w:rsid w:val="002021EB"/>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832132"/>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4E4FCA"/>
    <w:rPr>
      <w:sz w:val="18"/>
      <w:szCs w:val="18"/>
    </w:rPr>
  </w:style>
  <w:style w:type="paragraph" w:styleId="CommentText">
    <w:name w:val="annotation text"/>
    <w:basedOn w:val="Normal"/>
    <w:link w:val="CommentTextChar"/>
    <w:uiPriority w:val="99"/>
    <w:semiHidden/>
    <w:unhideWhenUsed/>
    <w:rsid w:val="004E4FCA"/>
  </w:style>
  <w:style w:type="character" w:customStyle="1" w:styleId="CommentTextChar">
    <w:name w:val="Comment Text Char"/>
    <w:basedOn w:val="DefaultParagraphFont"/>
    <w:link w:val="CommentText"/>
    <w:uiPriority w:val="99"/>
    <w:semiHidden/>
    <w:rsid w:val="004E4FCA"/>
  </w:style>
  <w:style w:type="paragraph" w:styleId="CommentSubject">
    <w:name w:val="annotation subject"/>
    <w:basedOn w:val="CommentText"/>
    <w:next w:val="CommentText"/>
    <w:link w:val="CommentSubjectChar"/>
    <w:uiPriority w:val="99"/>
    <w:semiHidden/>
    <w:unhideWhenUsed/>
    <w:rsid w:val="004E4FCA"/>
    <w:rPr>
      <w:b/>
      <w:bCs/>
      <w:sz w:val="20"/>
      <w:szCs w:val="20"/>
    </w:rPr>
  </w:style>
  <w:style w:type="character" w:customStyle="1" w:styleId="CommentSubjectChar">
    <w:name w:val="Comment Subject Char"/>
    <w:basedOn w:val="CommentTextChar"/>
    <w:link w:val="CommentSubject"/>
    <w:uiPriority w:val="99"/>
    <w:semiHidden/>
    <w:rsid w:val="004E4FCA"/>
    <w:rPr>
      <w:b/>
      <w:bCs/>
      <w:sz w:val="20"/>
      <w:szCs w:val="20"/>
    </w:rPr>
  </w:style>
  <w:style w:type="paragraph" w:styleId="BalloonText">
    <w:name w:val="Balloon Text"/>
    <w:basedOn w:val="Normal"/>
    <w:link w:val="BalloonTextChar"/>
    <w:uiPriority w:val="99"/>
    <w:semiHidden/>
    <w:unhideWhenUsed/>
    <w:rsid w:val="004E4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FC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2320</Words>
  <Characters>13227</Characters>
  <Application>Microsoft Macintosh Word</Application>
  <DocSecurity>0</DocSecurity>
  <Lines>110</Lines>
  <Paragraphs>31</Paragraphs>
  <ScaleCrop>false</ScaleCrop>
  <Company>UT-HSC</Company>
  <LinksUpToDate>false</LinksUpToDate>
  <CharactersWithSpaces>15516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cp:revision>
  <dcterms:created xsi:type="dcterms:W3CDTF">2016-02-17T21:22:00Z</dcterms:created>
  <dcterms:modified xsi:type="dcterms:W3CDTF">2016-02-17T22:19:00Z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http://www.zotero.org/styles/autophagy</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