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510F88" w:rsidP="00510F88">
      <w:pPr>
        <w:pStyle w:val="Title"/>
      </w:pPr>
      <w:r w:rsidRPr="00510F88">
        <w:t>Activation of mTORC1 and Suppression of Autophagy in Muscle Shortens Lifespan in Mice and Flies</w:t>
      </w:r>
    </w:p>
    <w:p w14:paraId="575A596B" w14:textId="79226E75" w:rsidR="00510F88" w:rsidRPr="00A46FDD" w:rsidRDefault="00510F88" w:rsidP="00510F88">
      <w:pPr>
        <w:rPr>
          <w:vertAlign w:val="superscript"/>
        </w:rPr>
      </w:pPr>
      <w:r>
        <w:t>Isabelle Hatfield</w:t>
      </w:r>
      <w:r w:rsidRPr="00AF0331">
        <w:rPr>
          <w:rStyle w:val="FootnoteReference"/>
        </w:rPr>
        <w:footnoteReference w:id="1"/>
      </w:r>
      <w:r>
        <w:t>, Erin J. Stephenson</w:t>
      </w:r>
      <w:r w:rsidRPr="00510F88">
        <w:rPr>
          <w:vertAlign w:val="superscript"/>
        </w:rPr>
        <w:t>1</w:t>
      </w:r>
      <w:r w:rsidR="00A46FDD">
        <w:rPr>
          <w:vertAlign w:val="superscript"/>
        </w:rPr>
        <w:t>,</w:t>
      </w:r>
      <w:r w:rsidR="00A46FDD" w:rsidRPr="00AF0331">
        <w:rPr>
          <w:rStyle w:val="FootnoteReference"/>
        </w:rPr>
        <w:footnoteReference w:id="2"/>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3"/>
      </w:r>
      <w:r>
        <w:t xml:space="preserve">, </w:t>
      </w:r>
      <w:r w:rsidR="00A46FDD">
        <w:t>JeAnna R. Redd</w:t>
      </w:r>
      <w:r w:rsidR="00A46FDD">
        <w:rPr>
          <w:vertAlign w:val="superscript"/>
        </w:rPr>
        <w:t>1,</w:t>
      </w:r>
      <w:r w:rsidR="00A46FDD" w:rsidRPr="00AF0331">
        <w:rPr>
          <w:rStyle w:val="FootnoteReference"/>
        </w:rPr>
        <w:footnoteReference w:id="4"/>
      </w:r>
      <w:r w:rsidR="00A46FDD">
        <w:t xml:space="preserve"> , </w:t>
      </w:r>
      <w:r>
        <w:t>Binbin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5"/>
      </w:r>
      <w:r w:rsidR="002021EB">
        <w:t>,</w:t>
      </w:r>
      <w:r>
        <w:t xml:space="preserve"> Lawrence T. Reiter</w:t>
      </w:r>
      <w:r w:rsidRPr="00AF0331">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7"/>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5DF5F66A" w:rsidR="00832132" w:rsidRDefault="00832132" w:rsidP="004E4FCA">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6F2B7D">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0"/>
      <w:r>
        <w:t>Teklad</w:t>
      </w:r>
      <w:commentRangeEnd w:id="0"/>
      <w:r w:rsidR="004E4FCA">
        <w:rPr>
          <w:rStyle w:val="CommentReference"/>
        </w:rPr>
        <w:commentReference w:id="0"/>
      </w:r>
      <w:r w:rsidR="004E4FCA">
        <w:t>) and water according to procedures approved by the University of Michigan University Committee on Use and Care of Animals.</w:t>
      </w:r>
      <w:r w:rsidR="00490316">
        <w:t xml:space="preserve">  </w:t>
      </w:r>
      <w:r w:rsidR="00AD0153">
        <w:t xml:space="preserve">For molecular analyses, animals </w:t>
      </w:r>
      <w:r w:rsidR="00AD0153">
        <w:t xml:space="preserve">at approximately 5 months </w:t>
      </w:r>
      <w:r w:rsidR="00AD0153">
        <w:t xml:space="preserve">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4E2D03F5" w:rsidR="00703BEF" w:rsidRDefault="00490316" w:rsidP="00490316">
      <w:r>
        <w:t xml:space="preserve">Fly stocks were purchased from </w:t>
      </w:r>
      <w:r w:rsidR="00C937F0">
        <w:t xml:space="preserve">the Bloomington Stock </w:t>
      </w:r>
      <w:r>
        <w:t>C</w:t>
      </w:r>
      <w:r w:rsidR="00C937F0">
        <w:t>e</w:t>
      </w:r>
      <w:r>
        <w:t xml:space="preserve">nter </w:t>
      </w:r>
      <w:r w:rsidR="00C167B8">
        <w:t xml:space="preserve">(see Table 1) </w:t>
      </w:r>
      <w:r>
        <w:t>and maintained at 25</w:t>
      </w:r>
      <w:r w:rsidRPr="00490316">
        <w:t>C</w:t>
      </w:r>
      <w:r>
        <w:t xml:space="preserve"> on standard corn meal food.  </w:t>
      </w:r>
      <w:r w:rsidR="00703BEF">
        <w:t>For</w:t>
      </w:r>
      <w:r w:rsidRPr="00490316">
        <w:t xml:space="preserve"> crosses, virgin females were collected from the GAL4 driver strains. Ten females </w:t>
      </w:r>
      <w:r w:rsidR="00C167B8">
        <w:t>and 3-4 m</w:t>
      </w:r>
      <w:r w:rsidRPr="00490316">
        <w:t xml:space="preserve">ales with the appropriate genotype were chosen from each UAS-TRiP-shRNA lines as well as a UAS-TRiP </w:t>
      </w:r>
      <w:r w:rsidRPr="00490316">
        <w:lastRenderedPageBreak/>
        <w:t>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eclose and adults were </w:t>
      </w:r>
      <w:r w:rsidR="00C167B8">
        <w:t xml:space="preserve">separated and </w:t>
      </w:r>
      <w:r w:rsidRPr="00490316">
        <w:t xml:space="preserve">sorted according to </w:t>
      </w:r>
      <w:r w:rsidR="00C167B8">
        <w:t>visible markers</w:t>
      </w:r>
      <w:r w:rsidRPr="00490316">
        <w:t xml:space="preserve"> and gender</w:t>
      </w:r>
      <w:r w:rsidR="00C167B8">
        <w:t xml:space="preserve"> </w:t>
      </w:r>
      <w:r w:rsidR="00C167B8" w:rsidRPr="00490316">
        <w:t>with 5–10 flies in each vial</w:t>
      </w:r>
      <w:r w:rsidRPr="00490316">
        <w:t xml:space="preserve">. </w:t>
      </w:r>
      <w:r w:rsidR="002003D4">
        <w:t xml:space="preserve">Flies bearing the balancer markers were discarded from the analysis.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49BBD63" w:rsidR="002003D4" w:rsidRPr="002003D4" w:rsidRDefault="002003D4" w:rsidP="002003D4">
      <w:r>
        <w:t>Muscle samples</w:t>
      </w:r>
      <w:r w:rsidR="00B756F2">
        <w:t xml:space="preserve"> from </w:t>
      </w:r>
      <w:r w:rsidR="009D18DB">
        <w:t>5 month</w:t>
      </w:r>
      <w:r w:rsidR="00B756F2">
        <w:t xml:space="preserve"> old mice</w:t>
      </w:r>
      <w:r>
        <w:t xml:space="preserve"> (20-50</w:t>
      </w:r>
      <w:r w:rsidR="00AC7513">
        <w:t xml:space="preserve"> ug</w:t>
      </w:r>
      <w:r>
        <w:t xml:space="preserve">) were lysed in 20 uL/mg of RIPA buffer using a Qialyser (5 minutes at 30 Hz).  After centrifugation </w:t>
      </w:r>
      <w:r w:rsidR="00AC7513">
        <w:t xml:space="preserve">(15 minutes at 14 000 RPM), lysates were boiled in a final concentration of 1X SDS-PAGE sample buffer (BioRad).  Proteins were separated on pre-cast gradient gels from BioRad and transferred to nitrocellulose membranes.  After blocking in 2% bovine serum albumin (Fisher), </w:t>
      </w:r>
      <w:r w:rsidR="00DB6289">
        <w:t>blots</w:t>
      </w:r>
      <w:r w:rsidR="00AC7513">
        <w:t xml:space="preserve"> were probed </w:t>
      </w:r>
      <w:commentRangeStart w:id="1"/>
      <w:r w:rsidR="00AC7513">
        <w:t>with anti-LC3, anti-pS6K, total S6K, anti-pS6 and anti-S6 antibodies</w:t>
      </w:r>
      <w:commentRangeEnd w:id="1"/>
      <w:r w:rsidR="00984EF2">
        <w:rPr>
          <w:rStyle w:val="CommentReference"/>
        </w:rPr>
        <w:commentReference w:id="1"/>
      </w:r>
      <w:r w:rsidR="00AC7513">
        <w:t>.  Secondary antibodies were a</w:t>
      </w:r>
      <w:r w:rsidR="00DB6289">
        <w:t>=A</w:t>
      </w:r>
      <w:r w:rsidR="00AC7513">
        <w:t>lexa 680/700 conjugated anti-mouse and anti-rabbit secondary antibodies</w:t>
      </w:r>
      <w:r w:rsidR="00DB6289">
        <w:t xml:space="preserve"> from Life Technologies.</w:t>
      </w:r>
      <w:r w:rsidR="00AC7513">
        <w:t xml:space="preserve"> </w:t>
      </w:r>
      <w:r w:rsidR="00DB6289">
        <w:t>Blots</w:t>
      </w:r>
      <w:r w:rsidR="00AC7513">
        <w:t xml:space="preserve">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2FFDBBDA" w:rsidR="00AC7513" w:rsidRPr="00AC7513" w:rsidRDefault="00AC7513" w:rsidP="00AC7513">
      <w:r>
        <w:t>All statistical tests were performed using the R software package</w:t>
      </w:r>
      <w:r>
        <w:fldChar w:fldCharType="begin" w:fldLock="1"/>
      </w:r>
      <w:r w:rsidR="006F2B7D">
        <w: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w:t>
      </w:r>
      <w:r w:rsidR="00923401">
        <w:t>P-values were adjusted for multiple hypothesis testing by the method of Benjamini and Hochberg</w:t>
      </w:r>
      <w:r w:rsidR="00923401">
        <w:fldChar w:fldCharType="begin" w:fldLock="1"/>
      </w:r>
      <w:r w:rsidR="002B6C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"&lt;sup&gt;7&lt;/sup&gt;", "plainTextFormattedCitation" : "7", "previouslyFormattedCitation" : "&lt;sup&gt;7&lt;/sup&gt;" }, "properties" : { "noteIndex" : 0 }, "schema" : "https://github.com/citation-style-language/schema/raw/master/csl-citation.json" }</w:instrText>
      </w:r>
      <w:r w:rsidR="00923401">
        <w:fldChar w:fldCharType="separate"/>
      </w:r>
      <w:r w:rsidR="00923401" w:rsidRPr="00923401">
        <w:rPr>
          <w:noProof/>
          <w:vertAlign w:val="superscript"/>
        </w:rPr>
        <w:t>7</w:t>
      </w:r>
      <w:r w:rsidR="00923401">
        <w:fldChar w:fldCharType="end"/>
      </w:r>
      <w:r w:rsidR="00923401">
        <w:t xml:space="preserve">.  </w:t>
      </w:r>
      <w:r w:rsidR="00C167B8">
        <w:t xml:space="preserve">With the exception of western blotting, the experimenter was blinded to the genotypes until data were analysed.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37DD82D6" w:rsidR="00620634" w:rsidRDefault="00620634" w:rsidP="00620634">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Cre line</w:t>
      </w:r>
      <w:r>
        <w:fldChar w:fldCharType="begin" w:fldLock="1"/>
      </w:r>
      <w:r w:rsidR="006F2B7D">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23401" w:rsidRPr="00923401">
        <w:rPr>
          <w:noProof/>
          <w:vertAlign w:val="superscript"/>
        </w:rPr>
        <w:t>8</w:t>
      </w:r>
      <w:r>
        <w:fldChar w:fldCharType="end"/>
      </w:r>
      <w:r>
        <w:t>.</w:t>
      </w:r>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Cre or floxed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were stored in formalin and sent for veterinary pathology, but no consistent cause of death was identified. </w:t>
      </w:r>
      <w:r w:rsidRPr="007A5FBA">
        <w:t>In animals with histologic evidence of lesions, the predominant process was neoplasia, and the specific etiology was lymphoma/lymphosarcoma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425649DA"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BA1F21">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"&lt;sup&gt;9&lt;/sup&gt;", "plainTextFormattedCitation" : "9", "previouslyFormattedCitation" : "&lt;sup&gt;9&lt;/sup&gt;" }, "properties" : { "noteIndex" : 0 }, "schema" : "https://github.com/citation-style-language/schema/raw/master/csl-citation.json" }</w:instrText>
      </w:r>
      <w:r w:rsidR="00442B86">
        <w:fldChar w:fldCharType="separate"/>
      </w:r>
      <w:r w:rsidR="00703DFC" w:rsidRPr="00703DFC">
        <w:rPr>
          <w:noProof/>
          <w:vertAlign w:val="superscript"/>
        </w:rPr>
        <w:t>9</w:t>
      </w:r>
      <w:r w:rsidR="00442B86">
        <w:fldChar w:fldCharType="end"/>
      </w:r>
      <w:r>
        <w:t>.  To te</w:t>
      </w:r>
      <w:r w:rsidR="00442B86">
        <w:t>st whether gain of function of d</w:t>
      </w:r>
      <w:r>
        <w:t>TORC1 decreases lifespan in flies, we used the UAS-shRNA/GAL4 system to knock</w:t>
      </w:r>
      <w:r w:rsidR="002D3F0E">
        <w:t xml:space="preserve"> </w:t>
      </w:r>
      <w:r>
        <w:t xml:space="preserve">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BA1F21">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"&lt;sup&gt;10&lt;/sup&gt;", "plainTextFormattedCitation" : "10", "previouslyFormattedCitation" : "&lt;sup&gt;10&lt;/sup&gt;" }, "properties" : { "noteIndex" : 0 }, "schema" : "https://github.com/citation-style-language/schema/raw/master/csl-citation.json" }</w:instrText>
      </w:r>
      <w:r w:rsidR="00442B86">
        <w:fldChar w:fldCharType="separate"/>
      </w:r>
      <w:r w:rsidR="00703DFC" w:rsidRPr="00703DFC">
        <w:rPr>
          <w:noProof/>
          <w:vertAlign w:val="superscript"/>
        </w:rPr>
        <w:t>10</w:t>
      </w:r>
      <w:r w:rsidR="00442B86">
        <w:fldChar w:fldCharType="end"/>
      </w:r>
      <w:r w:rsidR="0067086A">
        <w:t>.  As shown in Figure 2A-B</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1BBC86F7"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BA1F21">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"&lt;sup&gt;11&lt;/sup&gt;", "plainTextFormattedCitation" : "11", "previouslyFormattedCitation" : "&lt;sup&gt;11&lt;/sup&gt;" }, "properties" : { "noteIndex" : 0 }, "schema" : "https://github.com/citation-style-language/schema/raw/master/csl-citation.json" }</w:instrText>
      </w:r>
      <w:r w:rsidR="002B6CFE">
        <w:fldChar w:fldCharType="separate"/>
      </w:r>
      <w:r w:rsidR="00703DFC" w:rsidRPr="00703DFC">
        <w:rPr>
          <w:noProof/>
          <w:vertAlign w:val="superscript"/>
        </w:rPr>
        <w:t>11</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7A06EED4"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there </w:t>
      </w:r>
      <w:r w:rsidR="000A64F4">
        <w:t xml:space="preserve">was 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there was shortened lifespan in both </w:t>
      </w:r>
      <w:r w:rsidR="00E902C6">
        <w:t>fe</w:t>
      </w:r>
      <w:r w:rsidR="007348F0">
        <w:t>male</w:t>
      </w:r>
      <w:r w:rsidR="00E902C6">
        <w:t xml:space="preserve"> </w:t>
      </w:r>
      <w:r w:rsidR="007348F0">
        <w:t>(3.4 fold</w:t>
      </w:r>
      <w:r w:rsidR="00E902C6">
        <w:t xml:space="preserve">) </w:t>
      </w:r>
      <w:r w:rsidR="007348F0">
        <w:t>and female (</w:t>
      </w:r>
      <w:r w:rsidR="00E902C6">
        <w:t>2.9 fold)</w:t>
      </w:r>
      <w:r w:rsidR="007348F0">
        <w:t xml:space="preserve"> </w:t>
      </w:r>
      <w:r w:rsidR="007348F0">
        <w:rPr>
          <w:i/>
        </w:rPr>
        <w:t>Atg8a</w:t>
      </w:r>
      <w:r w:rsidR="007348F0">
        <w:t xml:space="preserve"> knockdown flies</w:t>
      </w:r>
      <w:r w:rsidR="00E902C6">
        <w:t xml:space="preserve"> (both with adjusted p-values &lt;0.0001)</w:t>
      </w:r>
      <w:r w:rsidR="007348F0">
        <w:t>.</w:t>
      </w:r>
      <w:r w:rsidR="00E902C6">
        <w:t xml:space="preserve">  While ATG5 is upstream of ATG8</w:t>
      </w:r>
      <w:r w:rsidR="00C45ACD">
        <w:t>, this result is consistent with findings</w:t>
      </w:r>
      <w:r w:rsidR="00CE5F71">
        <w:t xml:space="preserve"> showing that </w:t>
      </w:r>
      <w:r w:rsidR="00CE5F71">
        <w:rPr>
          <w:i/>
        </w:rPr>
        <w:t xml:space="preserve">Atg5 </w:t>
      </w:r>
      <w:r w:rsidR="00CE5F71">
        <w:t>knockdown in using a ubiquitous GAL4 promoter did not reduce lifespan</w:t>
      </w:r>
      <w:r w:rsidR="00BA1F21">
        <w:t>, but did sensitize the flies to starvation</w:t>
      </w:r>
      <w:r w:rsidR="00703DFC">
        <w:fldChar w:fldCharType="begin" w:fldLock="1"/>
      </w:r>
      <w:r w:rsidR="00BA1F21">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"&lt;sup&gt;12&lt;/sup&gt;", "plainTextFormattedCitation" : "12", "previouslyFormattedCitation" : "&lt;sup&gt;12&lt;/sup&gt;" }, "properties" : { "noteIndex" : 0 }, "schema" : "https://github.com/citation-style-language/schema/raw/master/csl-citation.json" }</w:instrText>
      </w:r>
      <w:r w:rsidR="00703DFC">
        <w:fldChar w:fldCharType="separate"/>
      </w:r>
      <w:r w:rsidR="00703DFC" w:rsidRPr="00703DFC">
        <w:rPr>
          <w:noProof/>
          <w:vertAlign w:val="superscript"/>
        </w:rPr>
        <w:t>12</w:t>
      </w:r>
      <w:r w:rsidR="00703DFC">
        <w:fldChar w:fldCharType="end"/>
      </w:r>
      <w:r w:rsidR="00BA1F21">
        <w:t xml:space="preserve">.  To understand why ATG8a and ATG8b may differ, we evaluated </w:t>
      </w:r>
      <w:r w:rsidR="00AE720A">
        <w:t xml:space="preserve">the expression of these genes in RNAseq data from the modENCODE consortium.  According to this expression data, </w:t>
      </w:r>
      <w:r w:rsidR="00AE720A" w:rsidRPr="00AE720A">
        <w:rPr>
          <w:i/>
        </w:rPr>
        <w:t>At8a</w:t>
      </w:r>
      <w:r w:rsidR="00AE720A">
        <w:t xml:space="preserve"> is widely expressed at higher in several tissues relative to </w:t>
      </w:r>
      <w:r w:rsidR="00AE720A" w:rsidRPr="00AE720A">
        <w:rPr>
          <w:i/>
        </w:rPr>
        <w:t>At8b</w:t>
      </w:r>
      <w:r w:rsidR="00AE720A">
        <w:t>, including muscle tissues</w:t>
      </w:r>
      <w:r w:rsidR="009B3194">
        <w:fldChar w:fldCharType="begin" w:fldLock="1"/>
      </w:r>
      <w:r w:rsidR="009B3194">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"&lt;sup&gt;13&lt;/sup&gt;", "plainTextFormattedCitation" : "13" }, "properties" : { "noteIndex" : 0 }, "schema" : "https://github.com/citation-style-language/schema/raw/master/csl-citation.json" }</w:instrText>
      </w:r>
      <w:r w:rsidR="009B3194">
        <w:fldChar w:fldCharType="separate"/>
      </w:r>
      <w:r w:rsidR="009B3194" w:rsidRPr="009B3194">
        <w:rPr>
          <w:noProof/>
          <w:vertAlign w:val="superscript"/>
        </w:rPr>
        <w:t>13</w:t>
      </w:r>
      <w:r w:rsidR="009B3194">
        <w:fldChar w:fldCharType="end"/>
      </w:r>
      <w:r w:rsidR="00AE720A">
        <w:t xml:space="preserve">.  </w:t>
      </w:r>
      <w:r w:rsidR="00AE720A">
        <w:rPr>
          <w:i/>
        </w:rPr>
        <w:t>Atg8b</w:t>
      </w:r>
      <w:r w:rsidR="00AE720A">
        <w:t xml:space="preserve"> </w:t>
      </w:r>
      <w:r w:rsidR="00587B0F">
        <w:t>has much more limited expression, and is at lower levels in the fly tissues tested.</w:t>
      </w:r>
      <w:r w:rsidR="009B3194">
        <w:t xml:space="preserve">  This may explain the stronger reductions in lifespan in</w:t>
      </w:r>
      <w:bookmarkStart w:id="2" w:name="_GoBack"/>
      <w:bookmarkEnd w:id="2"/>
      <w:r w:rsidR="009B3194">
        <w:t xml:space="preserve"> the muscle </w:t>
      </w:r>
      <w:r w:rsidR="009B3194">
        <w:rPr>
          <w:i/>
        </w:rPr>
        <w:t>Atg8a</w:t>
      </w:r>
      <w:r w:rsidR="009B3194">
        <w:t xml:space="preserve"> knockdown flies.</w:t>
      </w:r>
    </w:p>
    <w:p w14:paraId="13598F87" w14:textId="77777777" w:rsidR="002021EB" w:rsidRDefault="002021EB" w:rsidP="002021EB">
      <w:pPr>
        <w:pStyle w:val="Heading1"/>
      </w:pPr>
      <w:r>
        <w:t xml:space="preserve">Discussion </w:t>
      </w:r>
    </w:p>
    <w:p w14:paraId="18F99757" w14:textId="490BBA87" w:rsidR="00CB1C98" w:rsidRDefault="0092334C" w:rsidP="000B139C">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9B3194">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"&lt;sup&gt;14&lt;/sup&gt;", "plainTextFormattedCitation" : "14", "previouslyFormattedCitation" : "&lt;sup&gt;13&lt;/sup&gt;" }, "properties" : { "noteIndex" : 0 }, "schema" : "https://github.com/citation-style-language/schema/raw/master/csl-citation.json" }</w:instrText>
      </w:r>
      <w:r w:rsidR="004744D9">
        <w:fldChar w:fldCharType="separate"/>
      </w:r>
      <w:r w:rsidR="009B3194" w:rsidRPr="009B3194">
        <w:rPr>
          <w:noProof/>
          <w:vertAlign w:val="superscript"/>
        </w:rPr>
        <w:t>14</w:t>
      </w:r>
      <w:r w:rsidR="004744D9">
        <w:fldChar w:fldCharType="end"/>
      </w:r>
      <w:r w:rsidR="00F82FED" w:rsidRPr="00F82FED">
        <w:t xml:space="preserve"> or 6 months of age in the case of </w:t>
      </w:r>
      <w:r w:rsidR="00F82FED" w:rsidRPr="004744D9">
        <w:rPr>
          <w:i/>
        </w:rPr>
        <w:t>Myl-Cre</w:t>
      </w:r>
      <w:r w:rsidR="004744D9">
        <w:fldChar w:fldCharType="begin" w:fldLock="1"/>
      </w:r>
      <w:r w:rsidR="009B3194">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"&lt;sup&gt;15&lt;/sup&gt;", "plainTextFormattedCitation" : "15", "previouslyFormattedCitation" : "&lt;sup&gt;14&lt;/sup&gt;" }, "properties" : { "noteIndex" : 0 }, "schema" : "https://github.com/citation-style-language/schema/raw/master/csl-citation.json" }</w:instrText>
      </w:r>
      <w:r w:rsidR="004744D9">
        <w:fldChar w:fldCharType="separate"/>
      </w:r>
      <w:r w:rsidR="009B3194" w:rsidRPr="009B3194">
        <w:rPr>
          <w:noProof/>
          <w:vertAlign w:val="superscript"/>
        </w:rPr>
        <w:t>15</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7DF11E1B" w14:textId="479B0F20" w:rsidR="0025688C"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9B3194">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"&lt;sup&gt;16\u201321&lt;/sup&gt;", "plainTextFormattedCitation" : "16\u201321", "previouslyFormattedCitation" : "&lt;sup&gt;15\u201320&lt;/sup&gt;" }, "properties" : { "noteIndex" : 0 }, "schema" : "https://github.com/citation-style-language/schema/raw/master/csl-citation.json" }</w:instrText>
      </w:r>
      <w:r w:rsidRPr="00CB1C98">
        <w:fldChar w:fldCharType="separate"/>
      </w:r>
      <w:r w:rsidR="009B3194" w:rsidRPr="009B3194">
        <w:rPr>
          <w:noProof/>
          <w:vertAlign w:val="superscript"/>
        </w:rPr>
        <w:t>16–21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9B3194">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"&lt;sup&gt;22,23&lt;/sup&gt;", "plainTextFormattedCitation" : "22,23", "previouslyFormattedCitation" : "&lt;sup&gt;21,22&lt;/sup&gt;" }, "properties" : { "noteIndex" : 0 }, "schema" : "https://github.com/citation-style-language/schema/raw/master/csl-citation.json" }</w:instrText>
      </w:r>
      <w:r w:rsidR="004243D2">
        <w:fldChar w:fldCharType="separate"/>
      </w:r>
      <w:r w:rsidR="009B3194" w:rsidRPr="009B3194">
        <w:rPr>
          <w:noProof/>
          <w:vertAlign w:val="superscript"/>
        </w:rPr>
        <w:t>22,23</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9B3194">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"&lt;sup&gt;23\u201329&lt;/sup&gt;", "plainTextFormattedCitation" : "23\u201329", "previouslyFormattedCitation" : "&lt;sup&gt;22\u201328&lt;/sup&gt;" }, "properties" : { "noteIndex" : 0 }, "schema" : "https://github.com/citation-style-language/schema/raw/master/csl-citation.json" }</w:instrText>
      </w:r>
      <w:r w:rsidRPr="00CB1C98">
        <w:fldChar w:fldCharType="separate"/>
      </w:r>
      <w:r w:rsidR="009B3194" w:rsidRPr="009B3194">
        <w:rPr>
          <w:noProof/>
          <w:vertAlign w:val="superscript"/>
        </w:rPr>
        <w:t>23–29</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9B3194">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"&lt;sup&gt;30\u201332&lt;/sup&gt;", "plainTextFormattedCitation" : "30\u201332", "previouslyFormattedCitation" : "&lt;sup&gt;29\u201331&lt;/sup&gt;" }, "properties" : { "noteIndex" : 0 }, "schema" : "https://github.com/citation-style-language/schema/raw/master/csl-citation.json" }</w:instrText>
      </w:r>
      <w:r w:rsidR="00814DE4" w:rsidRPr="00CB1C98">
        <w:fldChar w:fldCharType="separate"/>
      </w:r>
      <w:r w:rsidR="009B3194" w:rsidRPr="009B3194">
        <w:rPr>
          <w:noProof/>
          <w:vertAlign w:val="superscript"/>
        </w:rPr>
        <w:t>30–32</w:t>
      </w:r>
      <w:r w:rsidR="00814DE4" w:rsidRPr="00CB1C98">
        <w:fldChar w:fldCharType="end"/>
      </w:r>
      <w:r w:rsidR="00814DE4" w:rsidRPr="00CB1C98">
        <w:t xml:space="preserve">.  </w:t>
      </w:r>
    </w:p>
    <w:p w14:paraId="4185775B" w14:textId="77777777" w:rsidR="0025688C" w:rsidRDefault="0025688C" w:rsidP="00814DE4"/>
    <w:p w14:paraId="305D54DB" w14:textId="7E9D35BF" w:rsidR="00CB1C98" w:rsidRDefault="009B6F2D" w:rsidP="00CB1C98">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9B3194">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"&lt;sup&gt;33&lt;/sup&gt;", "plainTextFormattedCitation" : "33", "previouslyFormattedCitation" : "&lt;sup&gt;32&lt;/sup&gt;" }, "properties" : { "noteIndex" : 0 }, "schema" : "https://github.com/citation-style-language/schema/raw/master/csl-citation.json" }</w:instrText>
      </w:r>
      <w:r w:rsidR="00814DE4" w:rsidRPr="00CB1C98">
        <w:fldChar w:fldCharType="separate"/>
      </w:r>
      <w:r w:rsidR="009B3194" w:rsidRPr="009B3194">
        <w:rPr>
          <w:noProof/>
          <w:vertAlign w:val="superscript"/>
        </w:rPr>
        <w:t>33</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9B3194">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"&lt;sup&gt;34&lt;/sup&gt;", "plainTextFormattedCitation" : "34", "previouslyFormattedCitation" : "&lt;sup&gt;33&lt;/sup&gt;" }, "properties" : { "noteIndex" : 0 }, "schema" : "https://github.com/citation-style-language/schema/raw/master/csl-citation.json" }</w:instrText>
      </w:r>
      <w:r w:rsidR="006F2B7D">
        <w:fldChar w:fldCharType="separate"/>
      </w:r>
      <w:r w:rsidR="009B3194" w:rsidRPr="009B3194">
        <w:rPr>
          <w:noProof/>
          <w:vertAlign w:val="superscript"/>
        </w:rPr>
        <w:t>34</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p>
    <w:p w14:paraId="5A9759C1" w14:textId="77777777" w:rsidR="004E4FCA" w:rsidRDefault="004E4FCA" w:rsidP="004E4FCA">
      <w:pPr>
        <w:pStyle w:val="Heading1"/>
      </w:pPr>
      <w:r>
        <w:t>Acknowledgements</w:t>
      </w:r>
    </w:p>
    <w:p w14:paraId="1CD35E14" w14:textId="3932DF67" w:rsidR="00984EF2" w:rsidRPr="00C937F0" w:rsidRDefault="00984EF2" w:rsidP="00984EF2">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3"/>
      <w:r>
        <w:t xml:space="preserve"> </w:t>
      </w:r>
      <w:commentRangeEnd w:id="3"/>
      <w:r>
        <w:rPr>
          <w:rStyle w:val="CommentReference"/>
        </w:rPr>
        <w:commentReference w:id="3"/>
      </w:r>
      <w:r>
        <w:t>)</w:t>
      </w:r>
      <w:r w:rsidR="00620634">
        <w:t xml:space="preserve"> and the UTHSC Drosophila Transgenic Core</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5E0BC269" w14:textId="3E5FD89F" w:rsidR="009B3194" w:rsidRPr="009B3194" w:rsidRDefault="00490316" w:rsidP="009B3194">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9B3194" w:rsidRPr="009B3194">
        <w:rPr>
          <w:rFonts w:ascii="Garamond" w:eastAsia="Times New Roman" w:hAnsi="Garamond" w:cs="Times New Roman"/>
          <w:noProof/>
        </w:rPr>
        <w:t xml:space="preserve">1. </w:t>
      </w:r>
      <w:r w:rsidR="009B3194" w:rsidRPr="009B3194">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042E14DC"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 </w:t>
      </w:r>
      <w:r w:rsidRPr="009B3194">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76E2DFCF"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3. </w:t>
      </w:r>
      <w:r w:rsidRPr="009B3194">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78B108A0"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4. </w:t>
      </w:r>
      <w:r w:rsidRPr="009B3194">
        <w:rPr>
          <w:rFonts w:ascii="Garamond" w:eastAsia="Times New Roman" w:hAnsi="Garamond" w:cs="Times New Roman"/>
          <w:noProof/>
        </w:rPr>
        <w:tab/>
        <w:t xml:space="preserve">R Core Team. R: A Language and Environment for Statistical Computing. 2013; </w:t>
      </w:r>
    </w:p>
    <w:p w14:paraId="3AA4C8DA"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5. </w:t>
      </w:r>
      <w:r w:rsidRPr="009B3194">
        <w:rPr>
          <w:rFonts w:ascii="Garamond" w:eastAsia="Times New Roman" w:hAnsi="Garamond" w:cs="Times New Roman"/>
          <w:noProof/>
        </w:rPr>
        <w:tab/>
        <w:t xml:space="preserve">Therneau TM, Grambsch PM. Modeling Survival Data: Extending the Cox Model. New York, NY: Springer New York; 2000. </w:t>
      </w:r>
    </w:p>
    <w:p w14:paraId="5EBA2E3B"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6. </w:t>
      </w:r>
      <w:r w:rsidRPr="009B3194">
        <w:rPr>
          <w:rFonts w:ascii="Garamond" w:eastAsia="Times New Roman" w:hAnsi="Garamond" w:cs="Times New Roman"/>
          <w:noProof/>
        </w:rPr>
        <w:tab/>
        <w:t xml:space="preserve">Therneau T. A Package for Survival Analysis in S. R package version. Survival (Lond).2012; </w:t>
      </w:r>
    </w:p>
    <w:p w14:paraId="278C81E0"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7. </w:t>
      </w:r>
      <w:r w:rsidRPr="009B3194">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545F2C31"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8. </w:t>
      </w:r>
      <w:r w:rsidRPr="009B3194">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622F2805"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9. </w:t>
      </w:r>
      <w:r w:rsidRPr="009B3194">
        <w:rPr>
          <w:rFonts w:ascii="Garamond" w:eastAsia="Times New Roman" w:hAnsi="Garamond" w:cs="Times New Roman"/>
          <w:noProof/>
        </w:rPr>
        <w:tab/>
        <w:t xml:space="preserve">Hatfield I, Harvey I, Yates ER, Redd JR, Reiter LT, Bridges D. The role of TORC1 in muscle development in Drosophila. Sci Rep 2015; 5:9676. </w:t>
      </w:r>
    </w:p>
    <w:p w14:paraId="461F27F3"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10. </w:t>
      </w:r>
      <w:r w:rsidRPr="009B3194">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344C70D7"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11. </w:t>
      </w:r>
      <w:r w:rsidRPr="009B3194">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7391C098"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12. </w:t>
      </w:r>
      <w:r w:rsidRPr="009B3194">
        <w:rPr>
          <w:rFonts w:ascii="Garamond" w:eastAsia="Times New Roman" w:hAnsi="Garamond" w:cs="Times New Roman"/>
          <w:noProof/>
        </w:rPr>
        <w:tab/>
        <w:t xml:space="preserve">Bjedov I, Toivonen JM, Kerr F, Slack C, Jacobson J, Foley A, Partridge L. Mechanisms of life span extension by rapamycin in the fruit fly Drosophila melanogaster. Cell Metab 2010; 11:35–46. </w:t>
      </w:r>
    </w:p>
    <w:p w14:paraId="399674EA"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13. </w:t>
      </w:r>
      <w:r w:rsidRPr="009B3194">
        <w:rPr>
          <w:rFonts w:ascii="Garamond" w:eastAsia="Times New Roman" w:hAnsi="Garamond" w:cs="Times New Roman"/>
          <w:noProof/>
        </w:rPr>
        <w:tab/>
        <w:t xml:space="preserve">Brown JB, Boley N, Eisman R, May GE, Stoiber MH, Duff MO, Booth BW, Wen J, Park S, Suzuki AM, et al. Diversity and dynamics of the Drosophila transcriptome. Nature 2014; 512:1–7. </w:t>
      </w:r>
    </w:p>
    <w:p w14:paraId="5C100BD9"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14. </w:t>
      </w:r>
      <w:r w:rsidRPr="009B3194">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6EA371AD"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15. </w:t>
      </w:r>
      <w:r w:rsidRPr="009B3194">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0F4CDEA1"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16. </w:t>
      </w:r>
      <w:r w:rsidRPr="009B3194">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130585CE"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17. </w:t>
      </w:r>
      <w:r w:rsidRPr="009B3194">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55EAF5F8"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18. </w:t>
      </w:r>
      <w:r w:rsidRPr="009B3194">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31EB0589"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19. </w:t>
      </w:r>
      <w:r w:rsidRPr="009B3194">
        <w:rPr>
          <w:rFonts w:ascii="Garamond" w:eastAsia="Times New Roman" w:hAnsi="Garamond" w:cs="Times New Roman"/>
          <w:noProof/>
        </w:rPr>
        <w:tab/>
        <w:t xml:space="preserve">Gale CR, Martyn CN, Cooper C, Sayer AA. Grip strength, body composition, and mortality. Int J Epidemiol 2007; 36:228–35. </w:t>
      </w:r>
    </w:p>
    <w:p w14:paraId="20401577"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20. </w:t>
      </w:r>
      <w:r w:rsidRPr="009B3194">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55842EA7"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21. </w:t>
      </w:r>
      <w:r w:rsidRPr="009B3194">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4AFE8DE4"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22. </w:t>
      </w:r>
      <w:r w:rsidRPr="009B3194">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229639C6"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23. </w:t>
      </w:r>
      <w:r w:rsidRPr="009B3194">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78332184"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24. </w:t>
      </w:r>
      <w:r w:rsidRPr="009B3194">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5C99B4D2"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25. </w:t>
      </w:r>
      <w:r w:rsidRPr="009B3194">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0FBABD79"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26. </w:t>
      </w:r>
      <w:r w:rsidRPr="009B3194">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0A0394FD"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27. </w:t>
      </w:r>
      <w:r w:rsidRPr="009B3194">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46777312"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28. </w:t>
      </w:r>
      <w:r w:rsidRPr="009B3194">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F86461D"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29. </w:t>
      </w:r>
      <w:r w:rsidRPr="009B3194">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0D3CB8CE"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30. </w:t>
      </w:r>
      <w:r w:rsidRPr="009B3194">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6D8A6A76"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31. </w:t>
      </w:r>
      <w:r w:rsidRPr="009B3194">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72231079"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32. </w:t>
      </w:r>
      <w:r w:rsidRPr="009B3194">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463BE978" w14:textId="77777777" w:rsidR="009B3194" w:rsidRPr="009B3194" w:rsidRDefault="009B3194" w:rsidP="009B3194">
      <w:pPr>
        <w:widowControl w:val="0"/>
        <w:autoSpaceDE w:val="0"/>
        <w:autoSpaceDN w:val="0"/>
        <w:adjustRightInd w:val="0"/>
        <w:ind w:left="640" w:hanging="640"/>
        <w:rPr>
          <w:rFonts w:ascii="Garamond" w:eastAsia="Times New Roman" w:hAnsi="Garamond" w:cs="Times New Roman"/>
          <w:noProof/>
        </w:rPr>
      </w:pPr>
      <w:r w:rsidRPr="009B3194">
        <w:rPr>
          <w:rFonts w:ascii="Garamond" w:eastAsia="Times New Roman" w:hAnsi="Garamond" w:cs="Times New Roman"/>
          <w:noProof/>
        </w:rPr>
        <w:t xml:space="preserve">33. </w:t>
      </w:r>
      <w:r w:rsidRPr="009B3194">
        <w:rPr>
          <w:rFonts w:ascii="Garamond" w:eastAsia="Times New Roman" w:hAnsi="Garamond" w:cs="Times New Roman"/>
          <w:noProof/>
        </w:rPr>
        <w:tab/>
        <w:t xml:space="preserve">Demontis F, Perrimon N. FOXO/4E-BP signaling in Drosophila muscles regulates organism-wide proteostasis during aging. Cell 2010; 143:813–25. </w:t>
      </w:r>
    </w:p>
    <w:p w14:paraId="03786FA6" w14:textId="77777777" w:rsidR="009B3194" w:rsidRPr="009B3194" w:rsidRDefault="009B3194" w:rsidP="009B3194">
      <w:pPr>
        <w:widowControl w:val="0"/>
        <w:autoSpaceDE w:val="0"/>
        <w:autoSpaceDN w:val="0"/>
        <w:adjustRightInd w:val="0"/>
        <w:ind w:left="640" w:hanging="640"/>
        <w:rPr>
          <w:rFonts w:ascii="Garamond" w:hAnsi="Garamond"/>
          <w:noProof/>
        </w:rPr>
      </w:pPr>
      <w:r w:rsidRPr="009B3194">
        <w:rPr>
          <w:rFonts w:ascii="Garamond" w:eastAsia="Times New Roman" w:hAnsi="Garamond" w:cs="Times New Roman"/>
          <w:noProof/>
        </w:rPr>
        <w:t xml:space="preserve">34. </w:t>
      </w:r>
      <w:r w:rsidRPr="009B3194">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1CA06D1E" w14:textId="7023D75F" w:rsidR="00510F88" w:rsidRPr="00510F88" w:rsidRDefault="00490316" w:rsidP="009B3194">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2-17T15:53:00Z" w:initials="DB">
    <w:p w14:paraId="5186E898" w14:textId="77777777" w:rsidR="004243D2" w:rsidRDefault="004243D2">
      <w:pPr>
        <w:pStyle w:val="CommentText"/>
      </w:pPr>
      <w:r>
        <w:rPr>
          <w:rStyle w:val="CommentReference"/>
        </w:rPr>
        <w:annotationRef/>
      </w:r>
      <w:r>
        <w:t>Find food for UM animal core</w:t>
      </w:r>
    </w:p>
  </w:comment>
  <w:comment w:id="1"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3"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6E898" w15:done="0"/>
  <w15:commentEx w15:paraId="5333D16D"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89F91" w14:textId="77777777" w:rsidR="00212D38" w:rsidRDefault="00212D38" w:rsidP="00510F88">
      <w:r>
        <w:separator/>
      </w:r>
    </w:p>
  </w:endnote>
  <w:endnote w:type="continuationSeparator" w:id="0">
    <w:p w14:paraId="6B3459DE" w14:textId="77777777" w:rsidR="00212D38" w:rsidRDefault="00212D38"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2CA3C" w14:textId="77777777" w:rsidR="00212D38" w:rsidRDefault="00212D38" w:rsidP="00510F88">
      <w:r>
        <w:separator/>
      </w:r>
    </w:p>
  </w:footnote>
  <w:footnote w:type="continuationSeparator" w:id="0">
    <w:p w14:paraId="750213E6" w14:textId="77777777" w:rsidR="00212D38" w:rsidRDefault="00212D38" w:rsidP="00510F88">
      <w:r>
        <w:continuationSeparator/>
      </w:r>
    </w:p>
  </w:footnote>
  <w:footnote w:id="1">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2">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3">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4">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5">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6">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7">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1215A"/>
    <w:rsid w:val="00077A6D"/>
    <w:rsid w:val="000A64F4"/>
    <w:rsid w:val="000B139C"/>
    <w:rsid w:val="001055BB"/>
    <w:rsid w:val="001341E2"/>
    <w:rsid w:val="00136D82"/>
    <w:rsid w:val="00167EA6"/>
    <w:rsid w:val="002003D4"/>
    <w:rsid w:val="002021EB"/>
    <w:rsid w:val="00212D38"/>
    <w:rsid w:val="0025688C"/>
    <w:rsid w:val="00291985"/>
    <w:rsid w:val="002B3D9F"/>
    <w:rsid w:val="002B6CFE"/>
    <w:rsid w:val="002D3F0E"/>
    <w:rsid w:val="00335A63"/>
    <w:rsid w:val="0034064A"/>
    <w:rsid w:val="003675EC"/>
    <w:rsid w:val="003B0C75"/>
    <w:rsid w:val="0041032E"/>
    <w:rsid w:val="00421A3E"/>
    <w:rsid w:val="004243D2"/>
    <w:rsid w:val="004333C7"/>
    <w:rsid w:val="00442B86"/>
    <w:rsid w:val="00467300"/>
    <w:rsid w:val="004744D9"/>
    <w:rsid w:val="00490316"/>
    <w:rsid w:val="004E4FCA"/>
    <w:rsid w:val="00510F88"/>
    <w:rsid w:val="00537E3B"/>
    <w:rsid w:val="00587B0F"/>
    <w:rsid w:val="00620634"/>
    <w:rsid w:val="0067086A"/>
    <w:rsid w:val="006A7CAB"/>
    <w:rsid w:val="006A7EEF"/>
    <w:rsid w:val="006F2B7D"/>
    <w:rsid w:val="00703BEF"/>
    <w:rsid w:val="00703DFC"/>
    <w:rsid w:val="00731DA6"/>
    <w:rsid w:val="007348F0"/>
    <w:rsid w:val="007A5FBA"/>
    <w:rsid w:val="00814DE4"/>
    <w:rsid w:val="00832132"/>
    <w:rsid w:val="008E3571"/>
    <w:rsid w:val="0092334C"/>
    <w:rsid w:val="00923401"/>
    <w:rsid w:val="00941196"/>
    <w:rsid w:val="00941925"/>
    <w:rsid w:val="00965029"/>
    <w:rsid w:val="00984EF2"/>
    <w:rsid w:val="009B3194"/>
    <w:rsid w:val="009B6F2D"/>
    <w:rsid w:val="009D18DB"/>
    <w:rsid w:val="00A03E5F"/>
    <w:rsid w:val="00A268CE"/>
    <w:rsid w:val="00A34EF3"/>
    <w:rsid w:val="00A4361E"/>
    <w:rsid w:val="00A46FDD"/>
    <w:rsid w:val="00A63434"/>
    <w:rsid w:val="00A7362C"/>
    <w:rsid w:val="00A75300"/>
    <w:rsid w:val="00AC04C1"/>
    <w:rsid w:val="00AC4E5F"/>
    <w:rsid w:val="00AC7513"/>
    <w:rsid w:val="00AD0153"/>
    <w:rsid w:val="00AE720A"/>
    <w:rsid w:val="00AF0331"/>
    <w:rsid w:val="00AF73B4"/>
    <w:rsid w:val="00B155E0"/>
    <w:rsid w:val="00B20079"/>
    <w:rsid w:val="00B57BCA"/>
    <w:rsid w:val="00B756F2"/>
    <w:rsid w:val="00BA1F21"/>
    <w:rsid w:val="00BE1F90"/>
    <w:rsid w:val="00BE5F2D"/>
    <w:rsid w:val="00C167B8"/>
    <w:rsid w:val="00C21557"/>
    <w:rsid w:val="00C45ACD"/>
    <w:rsid w:val="00C937F0"/>
    <w:rsid w:val="00CB1C98"/>
    <w:rsid w:val="00CC0A2D"/>
    <w:rsid w:val="00CC52BC"/>
    <w:rsid w:val="00CE5F71"/>
    <w:rsid w:val="00CF26EC"/>
    <w:rsid w:val="00D71604"/>
    <w:rsid w:val="00DB6289"/>
    <w:rsid w:val="00E05E0F"/>
    <w:rsid w:val="00E14D2A"/>
    <w:rsid w:val="00E902C6"/>
    <w:rsid w:val="00E93522"/>
    <w:rsid w:val="00EA5D37"/>
    <w:rsid w:val="00EA7BF1"/>
    <w:rsid w:val="00EE2946"/>
    <w:rsid w:val="00F03805"/>
    <w:rsid w:val="00F81BF8"/>
    <w:rsid w:val="00F82FED"/>
    <w:rsid w:val="00F83DF2"/>
    <w:rsid w:val="00F91467"/>
    <w:rsid w:val="00FA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0CD8E4-1F1F-6E41-B960-6B065AE8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19510</Words>
  <Characters>111211</Characters>
  <Application>Microsoft Macintosh Word</Application>
  <DocSecurity>0</DocSecurity>
  <Lines>926</Lines>
  <Paragraphs>260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
      <vt:lpstr>Introduction</vt:lpstr>
      <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130461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39</cp:revision>
  <dcterms:created xsi:type="dcterms:W3CDTF">2016-02-17T21:22:00Z</dcterms:created>
  <dcterms:modified xsi:type="dcterms:W3CDTF">2016-10-23T17:10:00Z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