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14253" w14:textId="5025574A" w:rsidR="00537E3B" w:rsidRDefault="00510F88" w:rsidP="00510F88">
      <w:pPr>
        <w:pStyle w:val="Title"/>
      </w:pPr>
      <w:r w:rsidRPr="00510F88">
        <w:t>Activation of mTORC1 and Suppression of Autophagy in Muscle Shortens Lifespan in Mice and Flies</w:t>
      </w:r>
    </w:p>
    <w:p w14:paraId="575A596B" w14:textId="79226E75" w:rsidR="00510F88" w:rsidRPr="00A46FDD" w:rsidRDefault="00510F88" w:rsidP="00510F88">
      <w:pPr>
        <w:rPr>
          <w:vertAlign w:val="superscript"/>
        </w:rPr>
      </w:pPr>
      <w:r>
        <w:t>Isabelle Hatfield</w:t>
      </w:r>
      <w:r w:rsidRPr="00AF0331">
        <w:rPr>
          <w:rStyle w:val="FootnoteReference"/>
        </w:rPr>
        <w:footnoteReference w:id="1"/>
      </w:r>
      <w:r>
        <w:t>, Erin J. Stephenson</w:t>
      </w:r>
      <w:r w:rsidRPr="00510F88">
        <w:rPr>
          <w:vertAlign w:val="superscript"/>
        </w:rPr>
        <w:t>1</w:t>
      </w:r>
      <w:r w:rsidR="00A46FDD">
        <w:rPr>
          <w:vertAlign w:val="superscript"/>
        </w:rPr>
        <w:t>,</w:t>
      </w:r>
      <w:r w:rsidR="00A46FDD" w:rsidRPr="00AF0331">
        <w:rPr>
          <w:rStyle w:val="FootnoteReference"/>
        </w:rPr>
        <w:footnoteReference w:id="2"/>
      </w:r>
      <w:r w:rsidR="002003D4">
        <w:t xml:space="preserve">, </w:t>
      </w:r>
      <w:r w:rsidR="00A46FDD">
        <w:t>Erika Yates</w:t>
      </w:r>
      <w:r w:rsidR="00A46FDD">
        <w:rPr>
          <w:rStyle w:val="FootnoteReference"/>
        </w:rPr>
        <w:t>1</w:t>
      </w:r>
      <w:r w:rsidR="00A46FDD">
        <w:t xml:space="preserve">, </w:t>
      </w:r>
      <w:r w:rsidR="002003D4">
        <w:t>Kalei</w:t>
      </w:r>
      <w:r>
        <w:t>gh Fisher</w:t>
      </w:r>
      <w:r w:rsidRPr="00AF0331">
        <w:rPr>
          <w:rStyle w:val="FootnoteReference"/>
        </w:rPr>
        <w:footnoteReference w:id="3"/>
      </w:r>
      <w:r>
        <w:t xml:space="preserve">, </w:t>
      </w:r>
      <w:r w:rsidR="00A46FDD">
        <w:t>JeAnna R. Redd</w:t>
      </w:r>
      <w:r w:rsidR="00A46FDD">
        <w:rPr>
          <w:vertAlign w:val="superscript"/>
        </w:rPr>
        <w:t>1,</w:t>
      </w:r>
      <w:r w:rsidR="00A46FDD" w:rsidRPr="00AF0331">
        <w:rPr>
          <w:rStyle w:val="FootnoteReference"/>
        </w:rPr>
        <w:footnoteReference w:id="4"/>
      </w:r>
      <w:r w:rsidR="00A46FDD">
        <w:t xml:space="preserve"> , </w:t>
      </w:r>
      <w:r>
        <w:t>Binbin Lu</w:t>
      </w:r>
      <w:r>
        <w:rPr>
          <w:vertAlign w:val="superscript"/>
        </w:rPr>
        <w:t>2</w:t>
      </w:r>
      <w:r>
        <w:t>, Alan R. Saltiel</w:t>
      </w:r>
      <w:r w:rsidR="00A46FDD">
        <w:rPr>
          <w:vertAlign w:val="superscript"/>
        </w:rPr>
        <w:t>3</w:t>
      </w:r>
      <w:r w:rsidR="002021EB">
        <w:rPr>
          <w:vertAlign w:val="superscript"/>
        </w:rPr>
        <w:t>,</w:t>
      </w:r>
      <w:r w:rsidR="002021EB" w:rsidRPr="00AF0331">
        <w:rPr>
          <w:rStyle w:val="FootnoteReference"/>
        </w:rPr>
        <w:footnoteReference w:id="5"/>
      </w:r>
      <w:r w:rsidR="002021EB">
        <w:t>,</w:t>
      </w:r>
      <w:r>
        <w:t xml:space="preserve"> Lawrence T. Reiter</w:t>
      </w:r>
      <w:r w:rsidRPr="00AF0331">
        <w:rPr>
          <w:rStyle w:val="FootnoteReference"/>
        </w:rPr>
        <w:footnoteReference w:id="6"/>
      </w:r>
      <w:r w:rsidR="00A46FDD">
        <w:rPr>
          <w:vertAlign w:val="superscript"/>
        </w:rPr>
        <w:t>,2</w:t>
      </w:r>
      <w:r>
        <w:t xml:space="preserve"> and Dave Bridges</w:t>
      </w:r>
      <w:r w:rsidR="002021EB">
        <w:rPr>
          <w:rStyle w:val="FootnoteReference"/>
        </w:rPr>
        <w:t>1,</w:t>
      </w:r>
      <w:r w:rsidR="00A46FDD">
        <w:rPr>
          <w:rStyle w:val="FootnoteReference"/>
        </w:rPr>
        <w:t>2,3,4,</w:t>
      </w:r>
      <w:r w:rsidR="00A46FDD" w:rsidRPr="00AF0331">
        <w:rPr>
          <w:rStyle w:val="FootnoteReference"/>
        </w:rPr>
        <w:footnoteReference w:id="7"/>
      </w:r>
    </w:p>
    <w:p w14:paraId="40255409" w14:textId="77777777" w:rsidR="00510F88" w:rsidRDefault="00510F88" w:rsidP="00510F88"/>
    <w:p w14:paraId="7315A1E7" w14:textId="77777777" w:rsidR="002021EB" w:rsidRDefault="002021EB" w:rsidP="00510F88"/>
    <w:p w14:paraId="1FF10372" w14:textId="77777777" w:rsidR="002021EB" w:rsidRDefault="002021EB" w:rsidP="002021EB">
      <w:pPr>
        <w:pStyle w:val="Heading1"/>
      </w:pPr>
      <w:r>
        <w:t>Abstract</w:t>
      </w:r>
    </w:p>
    <w:p w14:paraId="7C1DEEDF" w14:textId="77777777" w:rsidR="002021EB" w:rsidRDefault="002021EB" w:rsidP="002021EB">
      <w:pPr>
        <w:pStyle w:val="Heading1"/>
      </w:pPr>
    </w:p>
    <w:p w14:paraId="2361E5A3" w14:textId="77777777" w:rsidR="002021EB" w:rsidRDefault="002021EB" w:rsidP="002021EB">
      <w:pPr>
        <w:pStyle w:val="Heading1"/>
      </w:pPr>
      <w:r>
        <w:t>Introduction</w:t>
      </w:r>
    </w:p>
    <w:p w14:paraId="7DB3652B" w14:textId="77777777" w:rsidR="002021EB" w:rsidRDefault="002021EB" w:rsidP="002021EB">
      <w:pPr>
        <w:pStyle w:val="Heading1"/>
      </w:pPr>
    </w:p>
    <w:p w14:paraId="663D2359" w14:textId="77777777" w:rsidR="002021EB" w:rsidRPr="002021EB" w:rsidRDefault="002021EB" w:rsidP="002021EB">
      <w:pPr>
        <w:pStyle w:val="Heading1"/>
      </w:pPr>
      <w:r w:rsidRPr="002021EB">
        <w:t>Methods and Materials</w:t>
      </w:r>
    </w:p>
    <w:p w14:paraId="5281E991" w14:textId="77777777" w:rsidR="002021EB" w:rsidRDefault="00832132" w:rsidP="00832132">
      <w:pPr>
        <w:pStyle w:val="Heading2"/>
      </w:pPr>
      <w:r>
        <w:t>Animal Housing and Procedures</w:t>
      </w:r>
    </w:p>
    <w:p w14:paraId="5CEA5084" w14:textId="5DF5F66A" w:rsidR="00832132" w:rsidRDefault="00832132" w:rsidP="004E4FCA">
      <w:r>
        <w:t xml:space="preserve">Floxed </w:t>
      </w:r>
      <w:r>
        <w:rPr>
          <w:i/>
        </w:rPr>
        <w:t xml:space="preserve">Tsc1 </w:t>
      </w:r>
      <w:r>
        <w:t xml:space="preserve">alleles </w:t>
      </w:r>
      <w:r w:rsidR="004E4FCA">
        <w:t>(</w:t>
      </w:r>
      <w:r w:rsidR="004E4FCA" w:rsidRPr="004E4FCA">
        <w:t>Tsc1</w:t>
      </w:r>
      <w:r w:rsidR="004E4FCA" w:rsidRPr="004E4FCA">
        <w:rPr>
          <w:i/>
          <w:vertAlign w:val="superscript"/>
        </w:rPr>
        <w:t>tm1Djk</w:t>
      </w:r>
      <w:r w:rsidR="004E4FCA" w:rsidRPr="004E4FCA">
        <w:t>/J</w:t>
      </w:r>
      <w:r w:rsidR="004E4FCA">
        <w:fldChar w:fldCharType="begin" w:fldLock="1"/>
      </w:r>
      <w:r w:rsidR="00490316">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"&lt;sup&gt;1&lt;/sup&gt;", "plainTextFormattedCitation" : "1", "previouslyFormattedCitation" : "&lt;sup&gt;1&lt;/sup&gt;" }, "properties" : { "noteIndex" : 0 }, "schema" : "https://github.com/citation-style-language/schema/raw/master/csl-citation.json" }</w:instrText>
      </w:r>
      <w:r w:rsidR="004E4FCA">
        <w:fldChar w:fldCharType="separate"/>
      </w:r>
      <w:r w:rsidR="004E4FCA" w:rsidRPr="004E4FCA">
        <w:rPr>
          <w:noProof/>
          <w:vertAlign w:val="superscript"/>
        </w:rPr>
        <w:t>1</w:t>
      </w:r>
      <w:r w:rsidR="004E4FCA">
        <w:fldChar w:fldCharType="end"/>
      </w:r>
      <w:r w:rsidR="004E4FCA">
        <w:t xml:space="preserve"> from the Jackson Laboratory) </w:t>
      </w:r>
      <w:r>
        <w:t xml:space="preserve">were crossed with </w:t>
      </w:r>
      <w:r>
        <w:rPr>
          <w:i/>
        </w:rPr>
        <w:t xml:space="preserve">Ckmm-Cre </w:t>
      </w:r>
      <w:r w:rsidR="004E4FCA">
        <w:t>driver mice (</w:t>
      </w:r>
      <w:r w:rsidR="004E4FCA" w:rsidRPr="004E4FCA">
        <w:t>FVB-Tg(</w:t>
      </w:r>
      <w:r w:rsidR="004E4FCA" w:rsidRPr="00490316">
        <w:rPr>
          <w:i/>
        </w:rPr>
        <w:t>Ckmm</w:t>
      </w:r>
      <w:r w:rsidR="00490316" w:rsidRPr="00490316">
        <w:rPr>
          <w:i/>
        </w:rPr>
        <w:t>-</w:t>
      </w:r>
      <w:r w:rsidR="004E4FCA" w:rsidRPr="00490316">
        <w:rPr>
          <w:i/>
        </w:rPr>
        <w:t>cre</w:t>
      </w:r>
      <w:r w:rsidR="004E4FCA" w:rsidRPr="004E4FCA">
        <w:t>)5Khn/J</w:t>
      </w:r>
      <w:r w:rsidR="00490316">
        <w:fldChar w:fldCharType="begin" w:fldLock="1"/>
      </w:r>
      <w:r w:rsidR="006F2B7D">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"&lt;sup&gt;2&lt;/sup&gt;", "plainTextFormattedCitation" : "2", "previouslyFormattedCitation" : "&lt;sup&gt;2&lt;/sup&gt;" }, "properties" : { "noteIndex" : 0 }, "schema" : "https://github.com/citation-style-language/schema/raw/master/csl-citation.json" }</w:instrText>
      </w:r>
      <w:r w:rsidR="00490316">
        <w:fldChar w:fldCharType="separate"/>
      </w:r>
      <w:r w:rsidR="00490316" w:rsidRPr="00490316">
        <w:rPr>
          <w:noProof/>
          <w:vertAlign w:val="superscript"/>
        </w:rPr>
        <w:t>2</w:t>
      </w:r>
      <w:r w:rsidR="00490316">
        <w:fldChar w:fldCharType="end"/>
      </w:r>
      <w:r w:rsidR="004E4FCA">
        <w:t xml:space="preserve"> from the Jackson Laboratory) </w:t>
      </w:r>
      <w:r>
        <w:t xml:space="preserve">to generate animals that were heterozygous for the floxed allele, and either hemizygous for the </w:t>
      </w:r>
      <w:r w:rsidRPr="00490316">
        <w:rPr>
          <w:i/>
        </w:rPr>
        <w:t>Cre</w:t>
      </w:r>
      <w:r>
        <w:t xml:space="preserve"> allele or wild-type at this locus.  These mice were used to </w:t>
      </w:r>
      <w:r w:rsidR="00AF0331">
        <w:t>generate</w:t>
      </w:r>
      <w:r w:rsidR="00CC0A2D">
        <w:t xml:space="preserve"> </w:t>
      </w:r>
      <w:r w:rsidR="006A7EEF">
        <w:t>littermates</w:t>
      </w:r>
      <w:r>
        <w:t xml:space="preserve"> </w:t>
      </w:r>
      <w:r w:rsidR="004E4FCA">
        <w:t>that</w:t>
      </w:r>
      <w:r>
        <w:t xml:space="preserve"> were wild-type at both the </w:t>
      </w:r>
      <w:r w:rsidRPr="006A7EEF">
        <w:rPr>
          <w:i/>
        </w:rPr>
        <w:t>Tsc1</w:t>
      </w:r>
      <w:r>
        <w:t xml:space="preserve"> and </w:t>
      </w:r>
      <w:r w:rsidRPr="006A7EEF">
        <w:rPr>
          <w:i/>
        </w:rPr>
        <w:t>Cre</w:t>
      </w:r>
      <w:r>
        <w:t xml:space="preserve"> loci</w:t>
      </w:r>
      <w:r w:rsidR="00136D82">
        <w:t xml:space="preserve"> (wild-type)</w:t>
      </w:r>
      <w:r>
        <w:t xml:space="preserve">, homozygous at the </w:t>
      </w:r>
      <w:r w:rsidRPr="00832132">
        <w:rPr>
          <w:i/>
        </w:rPr>
        <w:t>Tsc1</w:t>
      </w:r>
      <w:r>
        <w:t xml:space="preserve"> loci (floxed only), hemizygous at the Cre loci (transgene only) or </w:t>
      </w:r>
      <w:r w:rsidRPr="00832132">
        <w:rPr>
          <w:i/>
        </w:rPr>
        <w:t>Tsc1</w:t>
      </w:r>
      <w:r>
        <w:rPr>
          <w:vertAlign w:val="superscript"/>
        </w:rPr>
        <w:t>fl/fl</w:t>
      </w:r>
      <w:r>
        <w:t xml:space="preserve">, </w:t>
      </w:r>
      <w:r w:rsidRPr="00832132">
        <w:rPr>
          <w:i/>
        </w:rPr>
        <w:t>Ckmm-Cre</w:t>
      </w:r>
      <w:r w:rsidRPr="00832132">
        <w:rPr>
          <w:vertAlign w:val="superscript"/>
        </w:rPr>
        <w:t>Tg/+</w:t>
      </w:r>
      <w:r>
        <w:t xml:space="preserve">.  </w:t>
      </w:r>
      <w:r w:rsidR="00136D82">
        <w:t xml:space="preserve">Only male mice were used in this analysis.  </w:t>
      </w:r>
      <w:r>
        <w:t xml:space="preserve">Animals were housed in a 12h light/dark cycle animal facility with ad libitum access to food (Harlan </w:t>
      </w:r>
      <w:commentRangeStart w:id="0"/>
      <w:r>
        <w:t>Teklad</w:t>
      </w:r>
      <w:commentRangeEnd w:id="0"/>
      <w:r w:rsidR="004E4FCA">
        <w:rPr>
          <w:rStyle w:val="CommentReference"/>
        </w:rPr>
        <w:commentReference w:id="0"/>
      </w:r>
      <w:r w:rsidR="004E4FCA">
        <w:t>) and water according to procedures approved by the University of Michigan University Committee on Use and Care of Animals.</w:t>
      </w:r>
      <w:r w:rsidR="00490316">
        <w:t xml:space="preserve">  </w:t>
      </w:r>
      <w:r w:rsidR="00AD0153">
        <w:t xml:space="preserve">For molecular analyses, animals </w:t>
      </w:r>
      <w:r w:rsidR="00AD0153">
        <w:t xml:space="preserve">at approximately 5 months </w:t>
      </w:r>
      <w:r w:rsidR="00AD0153">
        <w:t xml:space="preserve">were fasted overnight then sacrifice via cervical dislocation under isoflurane-induced anesthesia.  </w:t>
      </w:r>
      <w:r w:rsidR="00EA7BF1">
        <w:t>For aging experiments, a</w:t>
      </w:r>
      <w:r w:rsidR="00490316">
        <w:t xml:space="preserve">nimals were allowed to die naturally, or were euthanized at the advice of veterinary staff. </w:t>
      </w:r>
      <w:r w:rsidR="00E93522">
        <w:t xml:space="preserve">  Animals were </w:t>
      </w:r>
      <w:r w:rsidR="00AC04C1">
        <w:t>stored in formalin with their visceral cavity opened until analysis by a veterinary pathologist.</w:t>
      </w:r>
    </w:p>
    <w:p w14:paraId="241FC6ED" w14:textId="77777777" w:rsidR="00490316" w:rsidRDefault="00490316" w:rsidP="00490316">
      <w:pPr>
        <w:pStyle w:val="Heading2"/>
      </w:pPr>
      <w:r>
        <w:t>Drosophila Breeding and Maintenance</w:t>
      </w:r>
    </w:p>
    <w:p w14:paraId="2FFFA96E" w14:textId="4E2D03F5" w:rsidR="00703BEF" w:rsidRDefault="00490316" w:rsidP="00490316">
      <w:r>
        <w:t xml:space="preserve">Fly stocks were purchased from </w:t>
      </w:r>
      <w:r w:rsidR="00C937F0">
        <w:t xml:space="preserve">the Bloomington Stock </w:t>
      </w:r>
      <w:r>
        <w:t>C</w:t>
      </w:r>
      <w:r w:rsidR="00C937F0">
        <w:t>e</w:t>
      </w:r>
      <w:r>
        <w:t xml:space="preserve">nter </w:t>
      </w:r>
      <w:r w:rsidR="00C167B8">
        <w:t xml:space="preserve">(see Table 1) </w:t>
      </w:r>
      <w:r>
        <w:t>and maintained at 25</w:t>
      </w:r>
      <w:r w:rsidRPr="00490316">
        <w:t>C</w:t>
      </w:r>
      <w:r>
        <w:t xml:space="preserve"> on standard corn meal food.  </w:t>
      </w:r>
      <w:r w:rsidR="00703BEF">
        <w:t>For</w:t>
      </w:r>
      <w:r w:rsidRPr="00490316">
        <w:t xml:space="preserve"> crosses, virgin females were collected from the GAL4 driver strains. Ten females </w:t>
      </w:r>
      <w:r w:rsidR="00C167B8">
        <w:t>and 3-4 m</w:t>
      </w:r>
      <w:r w:rsidRPr="00490316">
        <w:t xml:space="preserve">ales with the appropriate genotype were chosen from each UAS-TRiP-shRNA lines as well as a UAS-TRiP </w:t>
      </w:r>
      <w:r w:rsidRPr="00490316">
        <w:lastRenderedPageBreak/>
        <w:t>control which contains the genom</w:t>
      </w:r>
      <w:r>
        <w:t>ic insertion site but no shRNA</w:t>
      </w:r>
      <w:r>
        <w:fldChar w:fldCharType="begin" w:fldLock="1"/>
      </w:r>
      <w:r w:rsidR="00AC7513">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Pr="00490316">
        <w:rPr>
          <w:noProof/>
          <w:vertAlign w:val="superscript"/>
        </w:rPr>
        <w:t>3</w:t>
      </w:r>
      <w:r>
        <w:fldChar w:fldCharType="end"/>
      </w:r>
      <w:r w:rsidRPr="00490316">
        <w:t xml:space="preserve"> . Flies were maintained in a humi</w:t>
      </w:r>
      <w:r w:rsidR="00703BEF">
        <w:t>dified (50–60%) incubator at 25</w:t>
      </w:r>
      <w:r w:rsidRPr="00490316">
        <w:t xml:space="preserve">C. Ten days after each cross the F1 progeny began to eclose and adults were </w:t>
      </w:r>
      <w:r w:rsidR="00C167B8">
        <w:t xml:space="preserve">separated and </w:t>
      </w:r>
      <w:r w:rsidRPr="00490316">
        <w:t xml:space="preserve">sorted according to </w:t>
      </w:r>
      <w:r w:rsidR="00C167B8">
        <w:t>visible markers</w:t>
      </w:r>
      <w:r w:rsidRPr="00490316">
        <w:t xml:space="preserve"> and gender</w:t>
      </w:r>
      <w:r w:rsidR="00C167B8">
        <w:t xml:space="preserve"> </w:t>
      </w:r>
      <w:r w:rsidR="00C167B8" w:rsidRPr="00490316">
        <w:t>with 5–10 flies in each vial</w:t>
      </w:r>
      <w:r w:rsidRPr="00490316">
        <w:t xml:space="preserve">. </w:t>
      </w:r>
      <w:r w:rsidR="002003D4">
        <w:t xml:space="preserve">Flies bearing the balancer markers were discarded from the analysis. </w:t>
      </w:r>
      <w:r w:rsidR="00703BEF">
        <w:t xml:space="preserve">Flies were transferred to fresh food twice weekly with deaths noted from each cross.  The person handling the flies was blinded to the </w:t>
      </w:r>
      <w:r w:rsidR="002003D4">
        <w:t>genotype</w:t>
      </w:r>
      <w:r w:rsidR="00703BEF">
        <w:t xml:space="preserve"> of the </w:t>
      </w:r>
      <w:r w:rsidR="002003D4">
        <w:t>flies</w:t>
      </w:r>
      <w:r w:rsidR="00703BEF">
        <w:t>.</w:t>
      </w:r>
    </w:p>
    <w:p w14:paraId="7E13A5D1" w14:textId="726D2227" w:rsidR="00703BEF" w:rsidRDefault="002003D4" w:rsidP="002003D4">
      <w:pPr>
        <w:pStyle w:val="Heading2"/>
      </w:pPr>
      <w:r>
        <w:t>Western Blotting</w:t>
      </w:r>
    </w:p>
    <w:p w14:paraId="5FC416F2" w14:textId="349BBD63" w:rsidR="002003D4" w:rsidRPr="002003D4" w:rsidRDefault="002003D4" w:rsidP="002003D4">
      <w:r>
        <w:t>Muscle samples</w:t>
      </w:r>
      <w:r w:rsidR="00B756F2">
        <w:t xml:space="preserve"> from </w:t>
      </w:r>
      <w:r w:rsidR="009D18DB">
        <w:t>5 month</w:t>
      </w:r>
      <w:r w:rsidR="00B756F2">
        <w:t xml:space="preserve"> old mice</w:t>
      </w:r>
      <w:r>
        <w:t xml:space="preserve"> (20-50</w:t>
      </w:r>
      <w:r w:rsidR="00AC7513">
        <w:t xml:space="preserve"> ug</w:t>
      </w:r>
      <w:r>
        <w:t xml:space="preserve">) were lysed in 20 uL/mg of RIPA buffer using a Qialyser (5 minutes at 30 Hz).  After centrifugation </w:t>
      </w:r>
      <w:r w:rsidR="00AC7513">
        <w:t xml:space="preserve">(15 minutes at 14 000 RPM), lysates were boiled in a final concentration of 1X SDS-PAGE sample buffer (BioRad).  Proteins were separated on pre-cast gradient gels from BioRad and transferred to nitrocellulose membranes.  After blocking in 2% bovine serum albumin (Fisher), </w:t>
      </w:r>
      <w:r w:rsidR="00DB6289">
        <w:t>blots</w:t>
      </w:r>
      <w:r w:rsidR="00AC7513">
        <w:t xml:space="preserve"> were probed </w:t>
      </w:r>
      <w:commentRangeStart w:id="1"/>
      <w:r w:rsidR="00AC7513">
        <w:t>with anti-LC3, anti-pS6K, total S6K, anti-pS6 and anti-S6 antibodies</w:t>
      </w:r>
      <w:commentRangeEnd w:id="1"/>
      <w:r w:rsidR="00984EF2">
        <w:rPr>
          <w:rStyle w:val="CommentReference"/>
        </w:rPr>
        <w:commentReference w:id="1"/>
      </w:r>
      <w:r w:rsidR="00AC7513">
        <w:t>.  Secondary antibodies were a</w:t>
      </w:r>
      <w:r w:rsidR="00DB6289">
        <w:t>=A</w:t>
      </w:r>
      <w:r w:rsidR="00AC7513">
        <w:t>lexa 680/700 conjugated anti-mouse and anti-rabbit secondary antibodies</w:t>
      </w:r>
      <w:r w:rsidR="00DB6289">
        <w:t xml:space="preserve"> from Life Technologies.</w:t>
      </w:r>
      <w:r w:rsidR="00AC7513">
        <w:t xml:space="preserve"> </w:t>
      </w:r>
      <w:r w:rsidR="00DB6289">
        <w:t>Blots</w:t>
      </w:r>
      <w:r w:rsidR="00AC7513">
        <w:t xml:space="preserve"> were visualized via a LiCOR Odyssey system.  Quantification was performed using ImageStudio Lite (LiCOR).</w:t>
      </w:r>
    </w:p>
    <w:p w14:paraId="52CD405B" w14:textId="77777777" w:rsidR="00703BEF" w:rsidRDefault="00703BEF" w:rsidP="00703BEF">
      <w:pPr>
        <w:pStyle w:val="Heading2"/>
      </w:pPr>
      <w:r>
        <w:t>Statistics</w:t>
      </w:r>
    </w:p>
    <w:p w14:paraId="2E3F3883" w14:textId="2FFDBBDA" w:rsidR="00AC7513" w:rsidRPr="00AC7513" w:rsidRDefault="00AC7513" w:rsidP="00AC7513">
      <w:r>
        <w:t>All statistical tests were performed using the R software package</w:t>
      </w:r>
      <w:r>
        <w:fldChar w:fldCharType="begin" w:fldLock="1"/>
      </w:r>
      <w:r w:rsidR="006F2B7D">
        <w:instrText>ADDIN CSL_CITATION { "citationItems" : [ { "id" : "ITEM-1", "itemData" : { "author" : [ { "dropping-particle" : "", "family" : "R Core Team", "given" : "", "non-dropping-particle" : "", "parse-names" : false, "suffix" : "" } ], "genre" : "manual", "id" : "ITEM-1", "issued" : { "date-parts" : [ [ "2013" ] ] }, "publisher-place" : "Vienna, Austria", "title" : "R: A Language and Environment for Statistical Computing", "type" : "article-journal" }, "uris" : [ "http://www.mendeley.com/documents/?uuid=5eba6a98-a1fe-40e4-8a4d-45ddfbf1cd0c"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Pr="00AC7513">
        <w:rPr>
          <w:noProof/>
          <w:vertAlign w:val="superscript"/>
        </w:rPr>
        <w:t>4</w:t>
      </w:r>
      <w:r>
        <w:fldChar w:fldCharType="end"/>
      </w:r>
      <w:r>
        <w:t xml:space="preserve">.  </w:t>
      </w:r>
      <w:r w:rsidR="0034064A">
        <w:t>For pairwise tests, normality was tested via Shapiro-Wilk tests, and equal variance was tested using Levene’s t</w:t>
      </w:r>
      <w:r w:rsidR="00984EF2">
        <w:t xml:space="preserve">est.  Based on these results, </w:t>
      </w:r>
      <w:r w:rsidR="0034064A">
        <w:t xml:space="preserve">either Wilcoxon tests, Student’s </w:t>
      </w:r>
      <w:r w:rsidR="0034064A" w:rsidRPr="0034064A">
        <w:rPr>
          <w:i/>
        </w:rPr>
        <w:t>t</w:t>
      </w:r>
      <w:r w:rsidR="0034064A">
        <w:t xml:space="preserve"> or Welch’s </w:t>
      </w:r>
      <w:r w:rsidR="0034064A" w:rsidRPr="0034064A">
        <w:rPr>
          <w:i/>
        </w:rPr>
        <w:t>t</w:t>
      </w:r>
      <w:r w:rsidR="0034064A">
        <w:t xml:space="preserve">-tests were performed.  </w:t>
      </w:r>
      <w:r w:rsidR="006A7EEF">
        <w:t xml:space="preserve">For mouse studies, the three non-knockout genotypes (floxed allele alone, transgene alone and wild-type at both loci) were analyzed separately and then combined and labeled as “Controls” if not significantly different.  </w:t>
      </w:r>
      <w:r>
        <w:t>For survival analyses and cox proportional hazard tests, the survival package was used</w:t>
      </w:r>
      <w:r w:rsidR="0034064A">
        <w:t xml:space="preserve"> (version 2.38-3)</w:t>
      </w:r>
      <w:r w:rsidR="0034064A">
        <w:fldChar w:fldCharType="begin" w:fldLock="1"/>
      </w:r>
      <w:r w:rsidR="00620634">
        <w:instrText>ADDIN CSL_CITATION { "citationItems" : [ { "id" : "ITEM-1", "itemData" : { "DOI" : "10.1007/978-1-4757-3294-8", "ISBN" : "978-1-4419-3161-0", "author" : [ { "dropping-particle" : "", "family" : "Therneau", "given" : "Terry M.", "non-dropping-particle" : "", "parse-names" : false, "suffix" : "" }, { "dropping-particle" : "", "family" : "Grambsch", "given" : "Patricia M.", "non-dropping-particle" : "", "parse-names" : false, "suffix" : "" } ], "collection-title" : "Statistics for Biology and Health", "id" : "ITEM-1", "issued" : { "date-parts" : [ [ "2000" ] ] }, "publisher" : "Springer New York", "publisher-place" : "New York, NY", "title" : "Modeling Survival Data: Extending the Cox Model", "type" : "book" }, "uris" : [ "http://www.mendeley.com/documents/?uuid=99db4f8c-9747-4162-9113-2b3776c05f5b" ] }, { "id" : "ITEM-2", "itemData" : { "ISBN" : "0471252182", "abstract" : "survival analysis: descriptive statistics, two-sample tests, parametric accelerated failure models, Cox model. Delayed entry (truncation) allowed for all models; interval censoring for parametric models. Case-cohort designs.", "author" : [ { "dropping-particle" : "", "family" : "Therneau", "given" : "Terry", "non-dropping-particle" : "", "parse-names" : false, "suffix" : "" } ], "container-title" : "Survival", "id" : "ITEM-2", "issued" : { "date-parts" : [ [ "2012" ] ] }, "title" : "A Package for Survival Analysis in S. R package version", "type" : "article" }, "uris" : [ "http://www.mendeley.com/documents/?uuid=940d1321-21f4-4843-992d-c2a4cb00ebbd" ] } ], "mendeley" : { "formattedCitation" : "&lt;sup&gt;5,6&lt;/sup&gt;", "plainTextFormattedCitation" : "5,6", "previouslyFormattedCitation" : "&lt;sup&gt;5,6&lt;/sup&gt;" }, "properties" : { "noteIndex" : 0 }, "schema" : "https://github.com/citation-style-language/schema/raw/master/csl-citation.json" }</w:instrText>
      </w:r>
      <w:r w:rsidR="0034064A">
        <w:fldChar w:fldCharType="separate"/>
      </w:r>
      <w:r w:rsidR="0034064A" w:rsidRPr="0034064A">
        <w:rPr>
          <w:noProof/>
          <w:vertAlign w:val="superscript"/>
        </w:rPr>
        <w:t>5,6</w:t>
      </w:r>
      <w:r w:rsidR="0034064A">
        <w:fldChar w:fldCharType="end"/>
      </w:r>
      <w:r w:rsidR="0034064A">
        <w:t xml:space="preserve">.  </w:t>
      </w:r>
      <w:r w:rsidR="00923401">
        <w:t>P-values were adjusted for multiple hypothesis testing by the method of Benjamini and Hochberg</w:t>
      </w:r>
      <w:r w:rsidR="00923401">
        <w:fldChar w:fldCharType="begin" w:fldLock="1"/>
      </w:r>
      <w:r w:rsidR="002B6CFE">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"&lt;sup&gt;7&lt;/sup&gt;", "plainTextFormattedCitation" : "7", "previouslyFormattedCitation" : "&lt;sup&gt;7&lt;/sup&gt;" }, "properties" : { "noteIndex" : 0 }, "schema" : "https://github.com/citation-style-language/schema/raw/master/csl-citation.json" }</w:instrText>
      </w:r>
      <w:r w:rsidR="00923401">
        <w:fldChar w:fldCharType="separate"/>
      </w:r>
      <w:r w:rsidR="00923401" w:rsidRPr="00923401">
        <w:rPr>
          <w:noProof/>
          <w:vertAlign w:val="superscript"/>
        </w:rPr>
        <w:t>7</w:t>
      </w:r>
      <w:r w:rsidR="00923401">
        <w:fldChar w:fldCharType="end"/>
      </w:r>
      <w:r w:rsidR="00923401">
        <w:t xml:space="preserve">.  </w:t>
      </w:r>
      <w:r w:rsidR="00C167B8">
        <w:t xml:space="preserve">With the exception of western blotting, the experimenter was blinded to the genotypes until data were analysed.  </w:t>
      </w:r>
      <w:r w:rsidR="0034064A">
        <w:t xml:space="preserve">All raw data and reproducible code is available at </w:t>
      </w:r>
      <w:r w:rsidR="0034064A" w:rsidRPr="0034064A">
        <w:t>http://bridgeslab.github.io/DrosophilaMuscleFunction</w:t>
      </w:r>
    </w:p>
    <w:p w14:paraId="272ABF99" w14:textId="77777777" w:rsidR="002021EB" w:rsidRDefault="002021EB" w:rsidP="002021EB">
      <w:pPr>
        <w:pStyle w:val="Heading1"/>
      </w:pPr>
      <w:r>
        <w:t>Results</w:t>
      </w:r>
    </w:p>
    <w:p w14:paraId="2E051092" w14:textId="23B4DE69" w:rsidR="002021EB" w:rsidRDefault="00832132" w:rsidP="00832132">
      <w:pPr>
        <w:pStyle w:val="Heading2"/>
      </w:pPr>
      <w:r>
        <w:t xml:space="preserve">Deletion of </w:t>
      </w:r>
      <w:r>
        <w:rPr>
          <w:i/>
        </w:rPr>
        <w:t>Tsc1</w:t>
      </w:r>
      <w:r>
        <w:t xml:space="preserve"> in muscle tissue causes shortened lifespan</w:t>
      </w:r>
      <w:r w:rsidR="00620634">
        <w:t xml:space="preserve"> and increased autophagy</w:t>
      </w:r>
    </w:p>
    <w:p w14:paraId="2467EFB0" w14:textId="37DD82D6" w:rsidR="00620634" w:rsidRDefault="00620634" w:rsidP="00620634">
      <w:r>
        <w:t xml:space="preserve">To evaluate the effects of chronic mTORC1 elevation on aging in mice, we deleted the negative regulator of mTORC1, TSC1 via a floxed/Cre recombinase </w:t>
      </w:r>
      <w:r w:rsidR="00467300">
        <w:t>system.  As shown in Figure 1A</w:t>
      </w:r>
      <w:r>
        <w:t>, deletion of TSC1 causes elevations in mTORC1 activity in quadriceps from these animals as determined by increased phosphorylation of the mTORC1 targets S6K and S6.  To evaluate the effects of mTORC1 activation on autophagy in skeletal muscle, we evaluated the levels of LC3-I and II by western blo</w:t>
      </w:r>
      <w:r w:rsidR="00AF73B4">
        <w:t>tting.  As shown in Figures 1A-B</w:t>
      </w:r>
      <w:r>
        <w:t xml:space="preserve">, the LC3-II/I ratio is much lower in </w:t>
      </w:r>
      <w:r w:rsidRPr="00620634">
        <w:rPr>
          <w:i/>
        </w:rPr>
        <w:t>Tsc1</w:t>
      </w:r>
      <w:r>
        <w:t xml:space="preserve"> knockout quadriceps</w:t>
      </w:r>
      <w:r w:rsidR="00AF73B4">
        <w:t xml:space="preserve"> indicating reduced autophagy.  This is</w:t>
      </w:r>
      <w:r>
        <w:t xml:space="preserve"> consistent with previous reports using a different Cre line</w:t>
      </w:r>
      <w:r>
        <w:fldChar w:fldCharType="begin" w:fldLock="1"/>
      </w:r>
      <w:r w:rsidR="006F2B7D">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 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923401" w:rsidRPr="00923401">
        <w:rPr>
          <w:noProof/>
          <w:vertAlign w:val="superscript"/>
        </w:rPr>
        <w:t>8</w:t>
      </w:r>
      <w:r>
        <w:fldChar w:fldCharType="end"/>
      </w:r>
      <w:r>
        <w:t>.</w:t>
      </w:r>
    </w:p>
    <w:p w14:paraId="23BD8776" w14:textId="77777777" w:rsidR="00620634" w:rsidRDefault="00620634" w:rsidP="00620634"/>
    <w:p w14:paraId="2FF27A92" w14:textId="21BF7B3E" w:rsidR="00620634" w:rsidRPr="001341E2" w:rsidRDefault="00620634" w:rsidP="00620634">
      <w:r>
        <w:t>We next observed these animals without manipulation as they aged.  We observed increased signs of aging including hunched and scruffy appearances at an earlier age in the knockout animals but not any of the control littermates.</w:t>
      </w:r>
      <w:r w:rsidR="00167EA6">
        <w:t xml:space="preserve">  As shown in Figure 1C</w:t>
      </w:r>
      <w:r w:rsidR="006A7EEF">
        <w:t xml:space="preserve">, muscle-specific </w:t>
      </w:r>
      <w:r w:rsidR="006A7EEF">
        <w:rPr>
          <w:i/>
        </w:rPr>
        <w:t>Tsc1</w:t>
      </w:r>
      <w:r w:rsidR="006A7EEF">
        <w:t xml:space="preserve"> knockout mice died </w:t>
      </w:r>
      <w:r w:rsidR="00A4361E">
        <w:t>of natural causes at a higher rate.  Based on a Cox-proportional hazard model the hazard ratio was 4.17 compared to non-knockout littermates (p=2.0 x 10</w:t>
      </w:r>
      <w:r w:rsidR="00CC0A2D">
        <w:rPr>
          <w:vertAlign w:val="superscript"/>
        </w:rPr>
        <w:t>-5</w:t>
      </w:r>
      <w:r w:rsidR="00CC0A2D">
        <w:t>).</w:t>
      </w:r>
      <w:r w:rsidR="00167EA6">
        <w:t xml:space="preserve">  </w:t>
      </w:r>
      <w:r w:rsidR="001341E2">
        <w:t xml:space="preserve">To test whether the presence of the Cre or floxed </w:t>
      </w:r>
      <w:r w:rsidR="001341E2">
        <w:rPr>
          <w:i/>
        </w:rPr>
        <w:t>Tsc1</w:t>
      </w:r>
      <w:r w:rsidR="001341E2">
        <w:t xml:space="preserve"> allele alone mediated this effect, we evaluated each of these strains separately.  As shown in Figure 1D, all three non-knockout control strains had similar death rates</w:t>
      </w:r>
      <w:r w:rsidR="00A63434">
        <w:t xml:space="preserve"> (p=0.7</w:t>
      </w:r>
      <w:r w:rsidR="0001215A">
        <w:t>7)</w:t>
      </w:r>
      <w:bookmarkStart w:id="2" w:name="_GoBack"/>
      <w:bookmarkEnd w:id="2"/>
      <w:r w:rsidR="001341E2">
        <w:t xml:space="preserve">. </w:t>
      </w:r>
    </w:p>
    <w:p w14:paraId="369ACA08" w14:textId="77777777" w:rsidR="004744D9" w:rsidRDefault="004744D9" w:rsidP="00620634"/>
    <w:p w14:paraId="6B4574BD" w14:textId="175491D0" w:rsidR="004744D9" w:rsidRPr="004744D9" w:rsidRDefault="004744D9" w:rsidP="00620634">
      <w:r>
        <w:t xml:space="preserve">As previous reports implicated cardiac hypertrophy in cardiac muscle-specific knockout of </w:t>
      </w:r>
      <w:r>
        <w:rPr>
          <w:i/>
        </w:rPr>
        <w:t>Tsc1</w:t>
      </w:r>
      <w:r w:rsidR="00C21557">
        <w:fldChar w:fldCharType="begin" w:fldLock="1"/>
      </w:r>
      <w:r w:rsidR="006F2B7D">
        <w:instrText>ADDIN CSL_CITATION { "citationItems" : [ { "id" : "ITEM-1", "itemData" : { "DOI" : "10.1093/hmg/ddi039", "ISBN" : "6173559005", "ISSN" : "0964-6906", "PMID" : "15601645", "abstract" : "Tuberous sclerosis is a hamartoma syndrome due to mutations in TSC1 or TSC2 in which cardiac rhabdomyomas are seen in approximately 60% of patients. These lesions have an unusual natural history as they are usually most prominent immediately after birth and spontaneously resolve in most cases. To develop a mouse model of this lesion, we used a conditional, floxed allele of Tsc1 and a modified myosin light chain 2v allele in which cre recombinase expression occurs in ventricular myocytes. Mice with ventricular loss of Tsc1 had a median survival of 6 months and developed a dilated cardiomyopathy with the occurrence of scattered foci of enlarged ventricular myocytes. The enlarged cells were periodic acid-Schiff positive indicating the presence of excess glycogen and expressed elevated levels of phospho-S6, similar to findings in patient rhabdomyoma cells. The observations confirm that rhabdomyomas occur through a two hit mechanism of pathogenesis. However, the mice showed no evidence of fetal/neonatal demise, and there was no evidence of proliferation in the lesions. We propose that these differences are due to the timing of loss of Tsc1 in the ventricular myocytes and/or the truncated gestational period in the mouse compared with humans, during which progestational hormones may accentuate the growth of patient rhabdomyomas.", "author" : [ { "dropping-particle" : "", "family" : "Meikle", "given" : "Lynsey", "non-dropping-particle" : "", "parse-names" : false, "suffix" : "" }, { "dropping-particle" : "", "family" : "McMullen", "given" : "Julie R.", "non-dropping-particle" : "", "parse-names" : false, "suffix" : "" }, { "dropping-particle" : "", "family" : "Sherwood", "given" : "Megan C.", "non-dropping-particle" : "", "parse-names" : false, "suffix" : "" }, { "dropping-particle" : "", "family" : "Lader", "given" : "Alan S.", "non-dropping-particle" : "", "parse-names" : false, "suffix" : "" }, { "dropping-particle" : "", "family" : "Walker", "given" : "Victoria", "non-dropping-particle" : "", "parse-names" : false, "suffix" : "" }, { "dropping-particle" : "", "family" : "Chan", "given" : "Jennifer A.", "non-dropping-particle" : "", "parse-names" : false, "suffix" : "" }, { "dropping-particle" : "", "family" : "Kwiatkowski", "given" : "David J.", "non-dropping-particle" : "", "parse-names" : false, "suffix" : "" } ], "container-title" : "Human molecular genetics", "id" : "ITEM-1", "issue" : "3", "issued" : { "date-parts" : [ [ "2005", "2", "1" ] ] }, "note" : "From Duplicate 2 ( \n\n\nA mouse model of cardiac rhabdomyoma generated by loss of Tsc1 in ventricular myocytes.\n\n\n- Meikle, Lynsey; McMullen, Julie R; Sherwood, Megan C; Lader, Alan S; Walker, Victoria; Chan, Jennifer A; Kwiatkowski, David J )\n\n\n\n\n\n\n\n\n\n\nFrom Duplicate 4 (A mouse model of cardiac rhabdomyoma generated by loss of Tsc1 in ventricular myocytes. - Meikle, Lynsey; McMullen, Julie R; Sherwood, Megan C; Lader, Alan S; Walker, Victoria; Chan, Jennifer a; Kwiatkowski, David J.)\n\nFrom Duplicate 1 ( \n\nA mouse model of cardiac rhabdomyoma generated by loss of Tsc1 in ventricular myocytes.\n\n- Meikle, Lynsey; McMullen, Julie R; Sherwood, Megan C; Lader, Alan S; Walker, Victoria; Chan, Jennifer a; Kwiatkowski, David J )\n\n\n\n\n\n\n\n\nFrom Duplicate 2 ( \n\nA mouse model of cardiac rhabdomyoma generated by loss of Tsc1 in ventricular myocytes.\n\n- Meikle, Lynsey; McMullen, Julie R; Sherwood, Megan C; Lader, Alan S; Walker, Victoria; Chan, Jennifer a; Kwiatkowski, David J )\n\n\n\n\nFrom Duplicate 2 ( \n\n\nA mouse model of cardiac rhabdomyoma generated by loss of Tsc1 in ventricular myocytes.\n\n\n- Meikle, Lynsey; McMullen, Julie R; Sherwood, Megan C; Lader, Alan S; Walker, Victoria; Chan, Jennifer A; Kwiatkowski, David J )\n\n", "page" : "429-35", "title" : "A mouse model of cardiac rhabdomyoma generated by loss of Tsc1 in ventricular myocytes.", "type" : "article-journal", "volume" : "14" }, "uris" : [ "http://www.mendeley.com/documents/?uuid=fcf757da-3089-4d3d-b976-e1b6704b2c6d" ] }, { "id" : "ITEM-2", "itemData" : { "DOI" : "10.1093/hmg/ddq570", "ISSN" : "1460-2083", "PMID" : "21212099", "abstract" : "Constitutive activation of mammalian target of rapamycin complex 1 (mTORC1), a key kinase complex that regulates cell size and growth, is observed with inactivating mutations of either of the tuberous sclerosis complex (TSC) genes, Tsc1 and Tsc2. Tsc1 and Tsc2 are highly expressed in cardiovascular tissue but their functional role there is unknown. We generated a tissue-specific knock-out of Tsc1, using a conditional allele of Tsc1 and a cre recombinase allele regulated by the smooth muscle protein-22 (SM22) promoter (Tsc1c/cSM22cre+/-) to constitutively activate mTOR in cardiovascular tissue. Significant gene recombination (\u223c80%) occurred in the heart by embryonic day (E) 15, and reduction in Tsc1 expression with increased levels of phosphorylated S6 kinase (S6K) and S6 was observed, consistent with constitutive activation of mTORC1. Cardiac hypertrophy was evident by E15 with post-natal progression to heart weights of 142 \u00b1 24 mg in Tsc1c/cSM22cre+/- mice versus 65 \u00b1 14 mg in controls (P &lt; 0.01). Median survival of Tsc1c/cSM22cre+/- mice was 24 days, with none surviving beyond 6 weeks. Pathologic and echocardiographic analysis revealed severe biventricular hypertrophy without evidence of fibrosis or myocyte disarray, and significant reduction in the left ventricular end-diastolic diameter (P &lt; 0.001) and fractional index (P &lt; 0.001). Inhibition of mTORC1 by rapamycin resulted in prolonged survival of Tsc1c/cSM22cre+/- mice, with regression of ventricular hypertrophy. These data support a critical role for the Tsc1/Tsc2-mTORC1-S6K axis in the normal development of cardiovascular tissue and also suggest possible therapeutic potential of rapamycin in cardiac disorders where pathologic mTORC1 activation occurs.", "author" : [ { "dropping-particle" : "", "family" : "Malhowski", "given" : "Amy J", "non-dropping-particle" : "", "parse-names" : false, "suffix" : "" }, { "dropping-particle" : "", "family" : "Hira", "given" : "Haider", "non-dropping-particle" : "", "parse-names" : false, "suffix" : "" }, { "dropping-particle" : "", "family" : "Bashiruddin", "given" : "Sarah", "non-dropping-particle" : "", "parse-names" : false, "suffix" : "" }, { "dropping-particle" : "", "family" : "Warburton", "given" : "Rod", "non-dropping-particle" : "", "parse-names" : false, "suffix" : "" }, { "dropping-particle" : "", "family" : "Goto", "given" : "June", "non-dropping-particle" : "", "parse-names" : false, "suffix" : "" }, { "dropping-particle" : "", "family" : "Robert", "given" : "Blanton", "non-dropping-particle" : "", "parse-names" : false, "suffix" : "" }, { "dropping-particle" : "", "family" : "Kwiatkowski", "given" : "David J.", "non-dropping-particle" : "", "parse-names" : false, "suffix" : "" }, { "dropping-particle" : "", "family" : "Finlay", "given" : "Geraldine A", "non-dropping-particle" : "", "parse-names" : false, "suffix" : "" } ], "container-title" : "Human molecular genetics", "id" : "ITEM-2", "issue" : "7", "issued" : { "date-parts" : [ [ "2011", "4", "1" ] ] }, "page" : "1290-305", "title" : "Smooth muscle protein-22-mediated deletion of Tsc1 results in cardiac hypertrophy that is mTORC1-mediated and reversed by rapamycin.", "type" : "article-journal", "volume" : "20" }, "uris" : [ "http://www.mendeley.com/documents/?uuid=376ef40b-438b-412f-ba7c-ea53ee6b3e98" ] } ], "mendeley" : { "formattedCitation" : "&lt;sup&gt;9,10&lt;/sup&gt;", "plainTextFormattedCitation" : "9,10", "previouslyFormattedCitation" : "&lt;sup&gt;9,10&lt;/sup&gt;" }, "properties" : { "noteIndex" : 0 }, "schema" : "https://github.com/citation-style-language/schema/raw/master/csl-citation.json" }</w:instrText>
      </w:r>
      <w:r w:rsidR="00C21557">
        <w:fldChar w:fldCharType="separate"/>
      </w:r>
      <w:r w:rsidR="00C21557" w:rsidRPr="00C21557">
        <w:rPr>
          <w:noProof/>
          <w:vertAlign w:val="superscript"/>
        </w:rPr>
        <w:t>9,10</w:t>
      </w:r>
      <w:r w:rsidR="00C21557">
        <w:fldChar w:fldCharType="end"/>
      </w:r>
      <w:r>
        <w:t xml:space="preserve"> we evaluated</w:t>
      </w:r>
      <w:r w:rsidR="00C21557">
        <w:t xml:space="preserve"> cardiac mass and </w:t>
      </w:r>
      <w:commentRangeStart w:id="3"/>
      <w:r w:rsidR="00C21557">
        <w:t xml:space="preserve">histology </w:t>
      </w:r>
      <w:commentRangeEnd w:id="3"/>
      <w:r w:rsidR="00C21557">
        <w:rPr>
          <w:rStyle w:val="CommentReference"/>
        </w:rPr>
        <w:commentReference w:id="3"/>
      </w:r>
      <w:r w:rsidR="00C21557">
        <w:t>from these mice.  We did not observer any</w:t>
      </w:r>
      <w:r>
        <w:t xml:space="preserve"> </w:t>
      </w:r>
      <w:r w:rsidR="00C21557">
        <w:t xml:space="preserve">evidence of rhabdomyomas, as was present in previous reports, but we did observe </w:t>
      </w:r>
      <w:commentRangeStart w:id="4"/>
      <w:r w:rsidR="00C21557">
        <w:t xml:space="preserve">increased cardiac mass </w:t>
      </w:r>
      <w:commentRangeEnd w:id="4"/>
      <w:r w:rsidR="00C21557">
        <w:rPr>
          <w:rStyle w:val="CommentReference"/>
        </w:rPr>
        <w:commentReference w:id="4"/>
      </w:r>
      <w:r w:rsidR="00C21557">
        <w:t>(Figure 1E).</w:t>
      </w:r>
      <w:r w:rsidR="007A5FBA">
        <w:t xml:space="preserve">  A subset of mice were stored in formalin and sent for veterinary pathology, but no consistent cause of death was identified. </w:t>
      </w:r>
      <w:r w:rsidR="007A5FBA" w:rsidRPr="007A5FBA">
        <w:t>In animals with histologic evidence of lesions, the predominant process was neoplasia, and the specific etiology was lymphoma/lymphosarcoma affecting multiple organs</w:t>
      </w:r>
      <w:r w:rsidR="007A5FBA">
        <w:t xml:space="preserve">, though this was </w:t>
      </w:r>
      <w:r w:rsidR="003675EC">
        <w:t xml:space="preserve">only </w:t>
      </w:r>
      <w:r w:rsidR="007A5FBA">
        <w:t xml:space="preserve">true for wild-type </w:t>
      </w:r>
      <w:r w:rsidR="003675EC">
        <w:t xml:space="preserve">(two out of four) but not </w:t>
      </w:r>
      <w:r w:rsidR="007A5FBA">
        <w:t>knockout animals</w:t>
      </w:r>
      <w:r w:rsidR="003675EC">
        <w:t xml:space="preserve"> (none out of three).</w:t>
      </w:r>
      <w:r w:rsidR="003675EC" w:rsidRPr="003675EC">
        <w:t xml:space="preserve"> </w:t>
      </w:r>
      <w:r w:rsidR="003675EC">
        <w:t>T</w:t>
      </w:r>
      <w:r w:rsidR="003675EC" w:rsidRPr="007A5FBA">
        <w:t xml:space="preserve">he lack of a specific diagnosis does not necessarily confirm the lack of lesions in examined animals; rather, autolysis </w:t>
      </w:r>
      <w:r w:rsidR="003675EC">
        <w:t xml:space="preserve">and the small number of animals evaluated </w:t>
      </w:r>
      <w:r w:rsidR="003675EC" w:rsidRPr="007A5FBA">
        <w:t>may have resulted in loss of identifiable processes or tissues in which an etiology was present in-life.</w:t>
      </w:r>
    </w:p>
    <w:p w14:paraId="4DE5645D" w14:textId="77777777" w:rsidR="00941925" w:rsidRDefault="00941925" w:rsidP="00620634"/>
    <w:p w14:paraId="744825B7" w14:textId="028B584F" w:rsidR="00941925" w:rsidRDefault="00941925" w:rsidP="00941925">
      <w:pPr>
        <w:pStyle w:val="Heading2"/>
      </w:pPr>
      <w:r>
        <w:t xml:space="preserve">Knockdown of </w:t>
      </w:r>
      <w:r>
        <w:rPr>
          <w:i/>
        </w:rPr>
        <w:t>Tsc1</w:t>
      </w:r>
      <w:r>
        <w:t xml:space="preserve"> in drosophila muscle tissue reduces lifespan</w:t>
      </w:r>
    </w:p>
    <w:p w14:paraId="41D2655E" w14:textId="3DD0998D" w:rsidR="00941925" w:rsidRDefault="00941925" w:rsidP="00620634">
      <w:r>
        <w:t xml:space="preserve">Our previous studies had shown that knockdown of the obligate mTORC1 component Raptor in fly muscles causes early lethality and muscle weakness, but that </w:t>
      </w:r>
      <w:r>
        <w:rPr>
          <w:i/>
        </w:rPr>
        <w:t>Tsc1</w:t>
      </w:r>
      <w:r>
        <w:t xml:space="preserve"> knockdown resulted in viable adult flies</w:t>
      </w:r>
      <w:r w:rsidR="00442B86">
        <w:fldChar w:fldCharType="begin" w:fldLock="1"/>
      </w:r>
      <w:r w:rsidR="00CB1C98">
        <w:instrText>ADDIN CSL_CITATION { "citationItems" : [ { "id" : "ITEM-1",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"ITEM-1", "issued" : { "date-parts" : [ [ "2015", "4", "13" ] ] }, "page" : "9676", "title" : "The role of TORC1 in muscle development in Drosophila", "type" : "article-journal", "volume" : "5" }, "uris" : [ "http://www.mendeley.com/documents/?uuid=94107e24-4e61-4172-b643-1e38bfdc3c43" ] } ], "mendeley" : { "formattedCitation" : "&lt;sup&gt;11&lt;/sup&gt;", "plainTextFormattedCitation" : "11", "previouslyFormattedCitation" : "&lt;sup&gt;11&lt;/sup&gt;" }, "properties" : { "noteIndex" : 0 }, "schema" : "https://github.com/citation-style-language/schema/raw/master/csl-citation.json" }</w:instrText>
      </w:r>
      <w:r w:rsidR="00442B86">
        <w:fldChar w:fldCharType="separate"/>
      </w:r>
      <w:r w:rsidR="00C21557" w:rsidRPr="00C21557">
        <w:rPr>
          <w:noProof/>
          <w:vertAlign w:val="superscript"/>
        </w:rPr>
        <w:t>11</w:t>
      </w:r>
      <w:r w:rsidR="00442B86">
        <w:fldChar w:fldCharType="end"/>
      </w:r>
      <w:r>
        <w:t>.  To te</w:t>
      </w:r>
      <w:r w:rsidR="00442B86">
        <w:t>st whether gain of function of d</w:t>
      </w:r>
      <w:r>
        <w:t xml:space="preserve">TORC1 decreases lifespan in flies, we used the UAS-shRNA/GAL4 system to knockdown </w:t>
      </w:r>
      <w:r>
        <w:rPr>
          <w:i/>
        </w:rPr>
        <w:t>Tsc1</w:t>
      </w:r>
      <w:r>
        <w:t xml:space="preserve"> in fly muscles.  These knockdowns were driven by </w:t>
      </w:r>
      <w:r w:rsidRPr="00941925">
        <w:rPr>
          <w:i/>
        </w:rPr>
        <w:t>24B</w:t>
      </w:r>
      <w:r>
        <w:t xml:space="preserve">-GAL4 </w:t>
      </w:r>
      <w:r w:rsidR="00442B86">
        <w:t>which is expressed in wing disks and adult fly muscles</w:t>
      </w:r>
      <w:r w:rsidR="00442B86">
        <w:fldChar w:fldCharType="begin" w:fldLock="1"/>
      </w:r>
      <w:r w:rsidR="00CB1C98">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"&lt;sup&gt;12&lt;/sup&gt;", "plainTextFormattedCitation" : "12", "previouslyFormattedCitation" : "&lt;sup&gt;12&lt;/sup&gt;" }, "properties" : { "noteIndex" : 0 }, "schema" : "https://github.com/citation-style-language/schema/raw/master/csl-citation.json" }</w:instrText>
      </w:r>
      <w:r w:rsidR="00442B86">
        <w:fldChar w:fldCharType="separate"/>
      </w:r>
      <w:r w:rsidR="00C21557" w:rsidRPr="00C21557">
        <w:rPr>
          <w:noProof/>
          <w:vertAlign w:val="superscript"/>
        </w:rPr>
        <w:t>12</w:t>
      </w:r>
      <w:r w:rsidR="00442B86">
        <w:fldChar w:fldCharType="end"/>
      </w:r>
      <w:r w:rsidR="00291985">
        <w:t>.  As shown in Figure 2A-D</w:t>
      </w:r>
      <w:r w:rsidR="00442B86">
        <w:t xml:space="preserve">, knockdowns driven by two shRNA’s targeting </w:t>
      </w:r>
      <w:r w:rsidR="00442B86">
        <w:rPr>
          <w:i/>
        </w:rPr>
        <w:t>Tsc1</w:t>
      </w:r>
      <w:r w:rsidR="00291985">
        <w:t xml:space="preserve"> increas</w:t>
      </w:r>
      <w:r w:rsidR="00923401">
        <w:t>e the rates of natural deaths</w:t>
      </w:r>
      <w:r w:rsidR="00291985">
        <w:t xml:space="preserve"> </w:t>
      </w:r>
      <w:r w:rsidR="00923401">
        <w:t>for both strains and both sexes</w:t>
      </w:r>
      <w:r w:rsidR="00291985">
        <w:t xml:space="preserve"> (</w:t>
      </w:r>
      <w:r w:rsidR="00923401">
        <w:t>shRNA #1, 3.8 fold for females, 3.4 fold for males; shRNA #2: 2.6 fold for females, 1.9 fold for males all with adjusted p-values</w:t>
      </w:r>
      <w:r w:rsidR="00291985">
        <w:t>&lt;1 x10</w:t>
      </w:r>
      <w:r w:rsidR="00291985" w:rsidRPr="00291985">
        <w:rPr>
          <w:vertAlign w:val="superscript"/>
        </w:rPr>
        <w:t>-5</w:t>
      </w:r>
      <w:r w:rsidR="00291985">
        <w:t xml:space="preserve">). </w:t>
      </w:r>
    </w:p>
    <w:p w14:paraId="3016FB25" w14:textId="77777777" w:rsidR="00923401" w:rsidRDefault="00923401" w:rsidP="00620634"/>
    <w:p w14:paraId="7CAD7602" w14:textId="33082246" w:rsidR="00923401" w:rsidRPr="002B6CFE" w:rsidRDefault="00923401" w:rsidP="00620634">
      <w:r>
        <w:t xml:space="preserve">To test whether cardiac-specific knockdown of </w:t>
      </w:r>
      <w:r>
        <w:rPr>
          <w:i/>
        </w:rPr>
        <w:t>Tsc1</w:t>
      </w:r>
      <w:r>
        <w:t xml:space="preserve"> has a similar phenotype we used a </w:t>
      </w:r>
      <w:r>
        <w:rPr>
          <w:i/>
        </w:rPr>
        <w:t>Hand</w:t>
      </w:r>
      <w:r>
        <w:t>-GAL4 driver which</w:t>
      </w:r>
      <w:r w:rsidR="002B6CFE">
        <w:t xml:space="preserve"> is expressed in fly cardiac tissue</w:t>
      </w:r>
      <w:r w:rsidR="002B6CFE">
        <w:fldChar w:fldCharType="begin" w:fldLock="1"/>
      </w:r>
      <w:r w:rsidR="00CB1C98">
        <w:instrText>ADDIN CSL_CITATION { "citationItems" : [ { "id" : "ITEM-1", "itemData" : { "DOI" : "10.1242/dev.02285", "ISSN" : "0950-1991", "PMID" : "16467358", "abstract" : "The Hand gene family encodes highly conserved basic helix-loop-helix (bHLH) transcription factors that play crucial roles in cardiac and vascular development in vertebrates. In Drosophila, a single Hand gene is expressed in the three major cell types that comprise the circulatory system: cardioblasts, pericardial nephrocytes and lymph gland hematopoietic progenitors, but its function has not been determined. Here we show that Drosophila Hand functions as a potent transcriptional activator, and converting it into a repressor blocks heart and lymph gland formation. Disruption of Hand function by homologous recombination also results in profound cardiac defects that include hypoplastic myocardium and a deficiency of pericardial and lymph gland hematopoietic cells, accompanied by cardiac apoptosis. Targeted expression of Hand in the heart completely rescued the lethality of Hand mutants, and cardiac expression of a human HAND gene, or the caspase inhibitor P35, partially rescued the cardiac and lymph gland phenotypes. These findings demonstrate evolutionarily conserved functions of HAND transcription factors in Drosophila and mammalian cardiogenesis, and reveal a previously unrecognized requirement of Hand genes in hematopoiesis.", "author" : [ { "dropping-particle" : "", "family" : "Han", "given" : "Zhe", "non-dropping-particle" : "", "parse-names" : false, "suffix" : "" }, { "dropping-particle" : "", "family" : "Yi", "given" : "Peng", "non-dropping-particle" : "", "parse-names" : false, "suffix" : "" }, { "dropping-particle" : "", "family" : "Li", "given" : "Xiumin", "non-dropping-particle" : "", "parse-names" : false, "suffix" : "" }, { "dropping-particle" : "", "family" : "Olson", "given" : "Eric N", "non-dropping-particle" : "", "parse-names" : false, "suffix" : "" } ], "container-title" : "Development (Cambridge, England)", "id" : "ITEM-1", "issue" : "6", "issued" : { "date-parts" : [ [ "2006", "3" ] ] }, "page" : "1175-82", "title" : "Hand, an evolutionarily conserved bHLH transcription factor required for Drosophila cardiogenesis and hematopoiesis.", "type" : "article-journal", "volume" : "133" }, "uris" : [ "http://www.mendeley.com/documents/?uuid=2e61ee1d-162c-480e-af5f-16a47514f6e1" ] } ], "mendeley" : { "formattedCitation" : "&lt;sup&gt;13&lt;/sup&gt;", "plainTextFormattedCitation" : "13", "previouslyFormattedCitation" : "&lt;sup&gt;13&lt;/sup&gt;" }, "properties" : { "noteIndex" : 0 }, "schema" : "https://github.com/citation-style-language/schema/raw/master/csl-citation.json" }</w:instrText>
      </w:r>
      <w:r w:rsidR="002B6CFE">
        <w:fldChar w:fldCharType="separate"/>
      </w:r>
      <w:r w:rsidR="00C21557" w:rsidRPr="00C21557">
        <w:rPr>
          <w:noProof/>
          <w:vertAlign w:val="superscript"/>
        </w:rPr>
        <w:t>13</w:t>
      </w:r>
      <w:r w:rsidR="002B6CFE">
        <w:fldChar w:fldCharType="end"/>
      </w:r>
      <w:r w:rsidR="002B6CFE">
        <w:t xml:space="preserve">.  In contrast to the </w:t>
      </w:r>
      <w:r w:rsidR="002B6CFE">
        <w:rPr>
          <w:i/>
        </w:rPr>
        <w:t>24B</w:t>
      </w:r>
      <w:r w:rsidR="002B6CFE">
        <w:t xml:space="preserve"> driven knockdowns, we only observed modest increases in mortality (20-30% increase in hazard ratios, Figure 2E-F).  Together, these data support the hypothesis that muscle-specific ablation of </w:t>
      </w:r>
      <w:r w:rsidR="002B6CFE">
        <w:rPr>
          <w:i/>
        </w:rPr>
        <w:t>Tsc1</w:t>
      </w:r>
      <w:r w:rsidR="002B6CFE">
        <w:t xml:space="preserve"> results in early lethality in both mice and flies.</w:t>
      </w:r>
    </w:p>
    <w:p w14:paraId="1995F8A2" w14:textId="1E46D1EC" w:rsidR="00BE1F90" w:rsidRDefault="00BE1F90" w:rsidP="002021EB">
      <w:pPr>
        <w:pStyle w:val="Heading1"/>
      </w:pPr>
      <w:r>
        <w:t>Knockdown of Atg8a in fly muscles reduces lifespan</w:t>
      </w:r>
    </w:p>
    <w:p w14:paraId="4B5F337B" w14:textId="145A0E5F" w:rsidR="00BE1F90" w:rsidRPr="00BE1F90" w:rsidRDefault="00BE1F90" w:rsidP="00BE1F90">
      <w:r>
        <w:t xml:space="preserve">To test whether chronically impaired autophagy in muscle tissue can reduce Drosophila lifespan, we used a similar approach to reduce the levels of </w:t>
      </w:r>
      <w:r w:rsidRPr="00BE1F90">
        <w:rPr>
          <w:i/>
        </w:rPr>
        <w:t>Atg5</w:t>
      </w:r>
      <w:r>
        <w:t xml:space="preserve">, </w:t>
      </w:r>
      <w:r w:rsidRPr="00BE1F90">
        <w:rPr>
          <w:i/>
        </w:rPr>
        <w:t>Atg8a</w:t>
      </w:r>
      <w:r>
        <w:t xml:space="preserve"> and </w:t>
      </w:r>
      <w:r w:rsidRPr="00BE1F90">
        <w:rPr>
          <w:i/>
        </w:rPr>
        <w:t>Atg8b</w:t>
      </w:r>
      <w:r w:rsidR="006A7CAB">
        <w:t xml:space="preserve"> in fly muscles using the </w:t>
      </w:r>
      <w:r w:rsidR="006A7CAB" w:rsidRPr="006A7CAB">
        <w:rPr>
          <w:i/>
        </w:rPr>
        <w:t>24B</w:t>
      </w:r>
      <w:r w:rsidR="006A7CAB">
        <w:t>-GAL4 driver.</w:t>
      </w:r>
      <w:r w:rsidR="0092334C">
        <w:t xml:space="preserve">  We found that </w:t>
      </w:r>
      <w:commentRangeStart w:id="5"/>
      <w:r w:rsidR="0092334C">
        <w:t xml:space="preserve">there </w:t>
      </w:r>
      <w:commentRangeEnd w:id="5"/>
      <w:r w:rsidR="00D71604">
        <w:rPr>
          <w:rStyle w:val="CommentReference"/>
        </w:rPr>
        <w:commentReference w:id="5"/>
      </w:r>
    </w:p>
    <w:p w14:paraId="13598F87" w14:textId="77777777" w:rsidR="002021EB" w:rsidRDefault="002021EB" w:rsidP="002021EB">
      <w:pPr>
        <w:pStyle w:val="Heading1"/>
      </w:pPr>
      <w:r>
        <w:t xml:space="preserve">Discussion </w:t>
      </w:r>
    </w:p>
    <w:p w14:paraId="18F99757" w14:textId="7A12E650" w:rsidR="00CB1C98" w:rsidRDefault="0092334C" w:rsidP="000B139C">
      <w:r>
        <w:t xml:space="preserve">In this study we report that in both mice and flies, deletion or knockdown of </w:t>
      </w:r>
      <w:r w:rsidRPr="0092334C">
        <w:rPr>
          <w:i/>
        </w:rPr>
        <w:t>Tsc1</w:t>
      </w:r>
      <w:r>
        <w:t xml:space="preserve"> specifically in muscle tissue reduces lifespan.   Cardiac-specific ablation of </w:t>
      </w:r>
      <w:r w:rsidR="00F82FED">
        <w:t>Tsc1 using</w:t>
      </w:r>
      <w:r w:rsidR="00F82FED" w:rsidRPr="00F82FED">
        <w:t xml:space="preserve"> </w:t>
      </w:r>
      <w:r w:rsidR="00F82FED" w:rsidRPr="00F82FED">
        <w:rPr>
          <w:i/>
        </w:rPr>
        <w:t>Tagln-Cre</w:t>
      </w:r>
      <w:r w:rsidR="00F82FED" w:rsidRPr="00F82FED">
        <w:t xml:space="preserve"> </w:t>
      </w:r>
      <w:r w:rsidR="00F82FED">
        <w:t>showed</w:t>
      </w:r>
      <w:r w:rsidR="00F82FED" w:rsidRPr="00F82FED">
        <w:t xml:space="preserve"> early lethality of these mice, at approximately 3 weeks of age</w:t>
      </w:r>
      <w:r w:rsidR="004744D9">
        <w:fldChar w:fldCharType="begin" w:fldLock="1"/>
      </w:r>
      <w:r w:rsidR="00CB1C98">
        <w:instrText>ADDIN CSL_CITATION { "citationItems" : [ { "id" : "ITEM-1", "itemData" : { "DOI" : "10.1093/hmg/ddq570", "ISSN" : "1460-2083", "PMID" : "21212099", "abstract" : "Constitutive activation of mammalian target of rapamycin complex 1 (mTORC1), a key kinase complex that regulates cell size and growth, is observed with inactivating mutations of either of the tuberous sclerosis complex (TSC) genes, Tsc1 and Tsc2. Tsc1 and Tsc2 are highly expressed in cardiovascular tissue but their functional role there is unknown. We generated a tissue-specific knock-out of Tsc1, using a conditional allele of Tsc1 and a cre recombinase allele regulated by the smooth muscle protein-22 (SM22) promoter (Tsc1c/cSM22cre+/-) to constitutively activate mTOR in cardiovascular tissue. Significant gene recombination (\u223c80%) occurred in the heart by embryonic day (E) 15, and reduction in Tsc1 expression with increased levels of phosphorylated S6 kinase (S6K) and S6 was observed, consistent with constitutive activation of mTORC1. Cardiac hypertrophy was evident by E15 with post-natal progression to heart weights of 142 \u00b1 24 mg in Tsc1c/cSM22cre+/- mice versus 65 \u00b1 14 mg in controls (P &lt; 0.01). Median survival of Tsc1c/cSM22cre+/- mice was 24 days, with none surviving beyond 6 weeks. Pathologic and echocardiographic analysis revealed severe biventricular hypertrophy without evidence of fibrosis or myocyte disarray, and significant reduction in the left ventricular end-diastolic diameter (P &lt; 0.001) and fractional index (P &lt; 0.001). Inhibition of mTORC1 by rapamycin resulted in prolonged survival of Tsc1c/cSM22cre+/- mice, with regression of ventricular hypertrophy. These data support a critical role for the Tsc1/Tsc2-mTORC1-S6K axis in the normal development of cardiovascular tissue and also suggest possible therapeutic potential of rapamycin in cardiac disorders where pathologic mTORC1 activation occurs.", "author" : [ { "dropping-particle" : "", "family" : "Malhowski", "given" : "Amy J", "non-dropping-particle" : "", "parse-names" : false, "suffix" : "" }, { "dropping-particle" : "", "family" : "Hira", "given" : "Haider", "non-dropping-particle" : "", "parse-names" : false, "suffix" : "" }, { "dropping-particle" : "", "family" : "Bashiruddin", "given" : "Sarah", "non-dropping-particle" : "", "parse-names" : false, "suffix" : "" }, { "dropping-particle" : "", "family" : "Warburton", "given" : "Rod", "non-dropping-particle" : "", "parse-names" : false, "suffix" : "" }, { "dropping-particle" : "", "family" : "Goto", "given" : "June", "non-dropping-particle" : "", "parse-names" : false, "suffix" : "" }, { "dropping-particle" : "", "family" : "Robert", "given" : "Blanton", "non-dropping-particle" : "", "parse-names" : false, "suffix" : "" }, { "dropping-particle" : "", "family" : "Kwiatkowski", "given" : "David J.", "non-dropping-particle" : "", "parse-names" : false, "suffix" : "" }, { "dropping-particle" : "", "family" : "Finlay", "given" : "Geraldine A", "non-dropping-particle" : "", "parse-names" : false, "suffix" : "" } ], "container-title" : "Human molecular genetics", "id" : "ITEM-1", "issue" : "7", "issued" : { "date-parts" : [ [ "2011", "4", "1" ] ] }, "page" : "1290-305", "title" : "Smooth muscle protein-22-mediated deletion of Tsc1 results in cardiac hypertrophy that is mTORC1-mediated and reversed by rapamycin.", "type" : "article-journal", "volume" : "20" }, "uris" : [ "http://www.mendeley.com/documents/?uuid=376ef40b-438b-412f-ba7c-ea53ee6b3e98" ] } ], "mendeley" : { "formattedCitation" : "&lt;sup&gt;10&lt;/sup&gt;", "plainTextFormattedCitation" : "10", "previouslyFormattedCitation" : "&lt;sup&gt;10&lt;/sup&gt;" }, "properties" : { "noteIndex" : 0 }, "schema" : "https://github.com/citation-style-language/schema/raw/master/csl-citation.json" }</w:instrText>
      </w:r>
      <w:r w:rsidR="004744D9">
        <w:fldChar w:fldCharType="separate"/>
      </w:r>
      <w:r w:rsidR="00C21557" w:rsidRPr="00C21557">
        <w:rPr>
          <w:noProof/>
          <w:vertAlign w:val="superscript"/>
        </w:rPr>
        <w:t>10</w:t>
      </w:r>
      <w:r w:rsidR="004744D9">
        <w:fldChar w:fldCharType="end"/>
      </w:r>
      <w:r w:rsidR="00F82FED" w:rsidRPr="00F82FED">
        <w:t xml:space="preserve"> or 6 months of age in the case of </w:t>
      </w:r>
      <w:r w:rsidR="00F82FED" w:rsidRPr="004744D9">
        <w:rPr>
          <w:i/>
        </w:rPr>
        <w:t>Myl-Cre</w:t>
      </w:r>
      <w:r w:rsidR="004744D9">
        <w:fldChar w:fldCharType="begin" w:fldLock="1"/>
      </w:r>
      <w:r w:rsidR="006F2B7D">
        <w:instrText>ADDIN CSL_CITATION { "citationItems" : [ { "id" : "ITEM-1", "itemData" : { "DOI" : "10.1093/hmg/ddi039", "ISBN" : "6173559005", "ISSN" : "0964-6906", "PMID" : "15601645", "abstract" : "Tuberous sclerosis is a hamartoma syndrome due to mutations in TSC1 or TSC2 in which cardiac rhabdomyomas are seen in approximately 60% of patients. These lesions have an unusual natural history as they are usually most prominent immediately after birth and spontaneously resolve in most cases. To develop a mouse model of this lesion, we used a conditional, floxed allele of Tsc1 and a modified myosin light chain 2v allele in which cre recombinase expression occurs in ventricular myocytes. Mice with ventricular loss of Tsc1 had a median survival of 6 months and developed a dilated cardiomyopathy with the occurrence of scattered foci of enlarged ventricular myocytes. The enlarged cells were periodic acid-Schiff positive indicating the presence of excess glycogen and expressed elevated levels of phospho-S6, similar to findings in patient rhabdomyoma cells. The observations confirm that rhabdomyomas occur through a two hit mechanism of pathogenesis. However, the mice showed no evidence of fetal/neonatal demise, and there was no evidence of proliferation in the lesions. We propose that these differences are due to the timing of loss of Tsc1 in the ventricular myocytes and/or the truncated gestational period in the mouse compared with humans, during which progestational hormones may accentuate the growth of patient rhabdomyomas.", "author" : [ { "dropping-particle" : "", "family" : "Meikle", "given" : "Lynsey", "non-dropping-particle" : "", "parse-names" : false, "suffix" : "" }, { "dropping-particle" : "", "family" : "McMullen", "given" : "Julie R.", "non-dropping-particle" : "", "parse-names" : false, "suffix" : "" }, { "dropping-particle" : "", "family" : "Sherwood", "given" : "Megan C.", "non-dropping-particle" : "", "parse-names" : false, "suffix" : "" }, { "dropping-particle" : "", "family" : "Lader", "given" : "Alan S.", "non-dropping-particle" : "", "parse-names" : false, "suffix" : "" }, { "dropping-particle" : "", "family" : "Walker", "given" : "Victoria", "non-dropping-particle" : "", "parse-names" : false, "suffix" : "" }, { "dropping-particle" : "", "family" : "Chan", "given" : "Jennifer A.", "non-dropping-particle" : "", "parse-names" : false, "suffix" : "" }, { "dropping-particle" : "", "family" : "Kwiatkowski", "given" : "David J.", "non-dropping-particle" : "", "parse-names" : false, "suffix" : "" } ], "container-title" : "Human molecular genetics", "id" : "ITEM-1", "issue" : "3", "issued" : { "date-parts" : [ [ "2005", "2", "1" ] ] }, "note" : "From Duplicate 2 ( \n\n\nA mouse model of cardiac rhabdomyoma generated by loss of Tsc1 in ventricular myocytes.\n\n\n- Meikle, Lynsey; McMullen, Julie R; Sherwood, Megan C; Lader, Alan S; Walker, Victoria; Chan, Jennifer A; Kwiatkowski, David J )\n\n\n\n\n\n\n\n\n\n\nFrom Duplicate 4 (A mouse model of cardiac rhabdomyoma generated by loss of Tsc1 in ventricular myocytes. - Meikle, Lynsey; McMullen, Julie R; Sherwood, Megan C; Lader, Alan S; Walker, Victoria; Chan, Jennifer a; Kwiatkowski, David J.)\n\nFrom Duplicate 1 ( \n\nA mouse model of cardiac rhabdomyoma generated by loss of Tsc1 in ventricular myocytes.\n\n- Meikle, Lynsey; McMullen, Julie R; Sherwood, Megan C; Lader, Alan S; Walker, Victoria; Chan, Jennifer a; Kwiatkowski, David J )\n\n\n\n\n\n\n\n\nFrom Duplicate 2 ( \n\nA mouse model of cardiac rhabdomyoma generated by loss of Tsc1 in ventricular myocytes.\n\n- Meikle, Lynsey; McMullen, Julie R; Sherwood, Megan C; Lader, Alan S; Walker, Victoria; Chan, Jennifer a; Kwiatkowski, David J )\n\n\n\n\nFrom Duplicate 2 ( \n\n\nA mouse model of cardiac rhabdomyoma generated by loss of Tsc1 in ventricular myocytes.\n\n\n- Meikle, Lynsey; McMullen, Julie R; Sherwood, Megan C; Lader, Alan S; Walker, Victoria; Chan, Jennifer A; Kwiatkowski, David J )\n\n", "page" : "429-35", "title" : "A mouse model of cardiac rhabdomyoma generated by loss of Tsc1 in ventricular myocytes.", "type" : "article-journal", "volume" : "14" }, "uris" : [ "http://www.mendeley.com/documents/?uuid=fcf757da-3089-4d3d-b976-e1b6704b2c6d" ] } ], "mendeley" : { "formattedCitation" : "&lt;sup&gt;9&lt;/sup&gt;", "plainTextFormattedCitation" : "9", "previouslyFormattedCitation" : "&lt;sup&gt;9&lt;/sup&gt;" }, "properties" : { "noteIndex" : 0 }, "schema" : "https://github.com/citation-style-language/schema/raw/master/csl-citation.json" }</w:instrText>
      </w:r>
      <w:r w:rsidR="004744D9">
        <w:fldChar w:fldCharType="separate"/>
      </w:r>
      <w:r w:rsidR="00C21557" w:rsidRPr="00C21557">
        <w:rPr>
          <w:noProof/>
          <w:vertAlign w:val="superscript"/>
        </w:rPr>
        <w:t>9</w:t>
      </w:r>
      <w:r w:rsidR="004744D9">
        <w:fldChar w:fldCharType="end"/>
      </w:r>
      <w:r w:rsidR="00F82FED" w:rsidRPr="00F82FED">
        <w:t xml:space="preserve">. These mice </w:t>
      </w:r>
      <w:r w:rsidR="00EE2946">
        <w:t>exhibited dramatic cardiac hypertrophy and sudden death at a much earlier age than our animals</w:t>
      </w:r>
      <w:r w:rsidR="000B139C">
        <w:t xml:space="preserve">.  </w:t>
      </w:r>
      <w:r w:rsidR="00A7362C">
        <w:t>We observed</w:t>
      </w:r>
      <w:r w:rsidR="00EE2946">
        <w:t xml:space="preserve"> modest reductions in lifespan in the fly cardiac-specific knockdown.  Together these dat</w:t>
      </w:r>
      <w:r w:rsidR="00A7362C">
        <w:t xml:space="preserve">a support the hypothesis that </w:t>
      </w:r>
      <w:r w:rsidR="00EE2946">
        <w:t>the cause of early lethality may be distinct from cardiac defects</w:t>
      </w:r>
      <w:r w:rsidR="00A7362C">
        <w:t xml:space="preserve"> in mice and flies</w:t>
      </w:r>
      <w:r w:rsidR="00EE2946">
        <w:t xml:space="preserve">, but our approach cannot conclusively show that cardiac </w:t>
      </w:r>
      <w:r w:rsidR="00EE2946" w:rsidRPr="00EE2946">
        <w:rPr>
          <w:i/>
        </w:rPr>
        <w:t>Tsc1</w:t>
      </w:r>
      <w:r w:rsidR="00CB1C98">
        <w:t xml:space="preserve"> ablation plays no role in reductions in lifespan.</w:t>
      </w:r>
    </w:p>
    <w:p w14:paraId="7B39A861" w14:textId="77777777" w:rsidR="00CB1C98" w:rsidRDefault="00CB1C98" w:rsidP="000B139C"/>
    <w:p w14:paraId="7DF11E1B" w14:textId="65CA8DC9" w:rsidR="0025688C" w:rsidRDefault="00CB1C98" w:rsidP="00814DE4">
      <w:r>
        <w:t xml:space="preserve">Skeletal muscle tissue is an extremely important organ for aging, as </w:t>
      </w:r>
      <w:r w:rsidRPr="00CB1C98">
        <w:t>participants with the highest baseline grip strength had 20-217% decreased risk of all-cause mortality, irrespective of gender or body mass index</w:t>
      </w:r>
      <w:r w:rsidRPr="00CB1C98">
        <w:fldChar w:fldCharType="begin" w:fldLock="1"/>
      </w:r>
      <w:r w:rsidR="006F2B7D">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"Jack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"http://www.mendeley.com/documents/?uuid=3c6330b5-3679-4748-afef-52f41b09fc7f"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"&lt;sup&gt;14\u201319&lt;/sup&gt;", "plainTextFormattedCitation" : "14\u201319", "previouslyFormattedCitation" : "&lt;sup&gt;14\u201319&lt;/sup&gt;" }, "properties" : { "noteIndex" : 0 }, "schema" : "https://github.com/citation-style-language/schema/raw/master/csl-citation.json" }</w:instrText>
      </w:r>
      <w:r w:rsidRPr="00CB1C98">
        <w:fldChar w:fldCharType="separate"/>
      </w:r>
      <w:r w:rsidRPr="00CB1C98">
        <w:rPr>
          <w:noProof/>
          <w:vertAlign w:val="superscript"/>
        </w:rPr>
        <w:t>14–19</w:t>
      </w:r>
      <w:r w:rsidRPr="00CB1C98">
        <w:fldChar w:fldCharType="end"/>
      </w:r>
      <w:r w:rsidRPr="00CB1C98">
        <w:t>.</w:t>
      </w:r>
      <w:r>
        <w:t xml:space="preserve">  </w:t>
      </w:r>
      <w:r w:rsidR="00814DE4">
        <w:t>Candidate gene</w:t>
      </w:r>
      <w:r>
        <w:t xml:space="preserve"> studies </w:t>
      </w:r>
      <w:r w:rsidR="00A7362C">
        <w:t xml:space="preserve">on aging </w:t>
      </w:r>
      <w:r>
        <w:t>have also implicated genes</w:t>
      </w:r>
      <w:r w:rsidR="00814DE4">
        <w:t xml:space="preserve"> with important role</w:t>
      </w:r>
      <w:r w:rsidR="00A7362C">
        <w:t>s</w:t>
      </w:r>
      <w:r w:rsidR="00814DE4">
        <w:t xml:space="preserve"> in muscle tissue</w:t>
      </w:r>
      <w:r>
        <w:t xml:space="preserve"> such as </w:t>
      </w:r>
      <w:r w:rsidR="00814DE4" w:rsidRPr="00814DE4">
        <w:rPr>
          <w:i/>
        </w:rPr>
        <w:t>IGF1R</w:t>
      </w:r>
      <w:r w:rsidR="00814DE4">
        <w:t xml:space="preserve">, </w:t>
      </w:r>
      <w:r w:rsidR="00814DE4" w:rsidRPr="00814DE4">
        <w:rPr>
          <w:i/>
        </w:rPr>
        <w:t>AKT</w:t>
      </w:r>
      <w:r w:rsidR="004243D2">
        <w:rPr>
          <w:i/>
        </w:rPr>
        <w:t>1</w:t>
      </w:r>
      <w:r w:rsidR="00814DE4">
        <w:t xml:space="preserve"> and </w:t>
      </w:r>
      <w:r w:rsidRPr="004243D2">
        <w:rPr>
          <w:i/>
        </w:rPr>
        <w:t>FOXO</w:t>
      </w:r>
      <w:r w:rsidR="00814DE4" w:rsidRPr="004243D2">
        <w:rPr>
          <w:i/>
        </w:rPr>
        <w:t>3A</w:t>
      </w:r>
      <w:r w:rsidR="004243D2">
        <w:fldChar w:fldCharType="begin" w:fldLock="1"/>
      </w:r>
      <w:r w:rsidR="006F2B7D">
        <w:instrText>ADDIN CSL_CITATION { "citationItems" : [ { "id" : "ITEM-1", "itemData" : { "DOI" : "10.1073/pnas.0705467105", "ISBN" : "1091-6490 (Electronic)\\n0027-8424 (Linking)", "ISSN" : "1091-6490", "PMID" : "18316725", "abstract" : "Rather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 "author" : [ { "dropping-particle" : "", "family" : "Suh", "given" : "Yousin", "non-dropping-particle" : "", "parse-names" : false, "suffix" : "" }, { "dropping-particle" : "", "family" : "Atzmon", "given" : "Gil", "non-dropping-particle" : "", "parse-names" : false, "suffix" : "" }, { "dropping-particle" : "", "family" : "Cho", "given" : "Mi-Ook", "non-dropping-particle" : "", "parse-names" : false, "suffix" : "" }, { "dropping-particle" : "", "family" : "Hwang", "given" : "David", "non-dropping-particle" : "", "parse-names" : false, "suffix" : "" }, { "dropping-particle" : "", "family" : "Liu", "given" : "Bingrong", "non-dropping-particle" : "", "parse-names" : false, "suffix" : "" }, { "dropping-particle" : "", "family" : "Leahy", "given" : "Daniel J", "non-dropping-particle" : "", "parse-names" : false, "suffix" : "" }, { "dropping-particle" : "", "family" : "Barzilai", "given" : "Nir", "non-dropping-particle" : "", "parse-names" : false, "suffix" : "" }, { "dropping-particle" : "", "family" : "Cohen", "given" : "Pinchas", "non-dropping-particle" : "", "parse-names" : false, "suffix" : "" } ], "container-title" : "Proceedings of the National Academy of Sciences of the United States of America", "id" : "ITEM-1", "issue" : "9", "issued" : { "date-parts" : [ [ "2008" ] ] }, "page" : "3438-42", "title" : "Functionally significant insulin-like growth factor I receptor mutations in centenarians.", "type" : "article-journal", "volume" : "105" }, "uris" : [ "http://www.mendeley.com/documents/?uuid=4f3ad7f4-797e-4b6e-b600-e90edba6bbc9" ] }, { "id" : "ITEM-2",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"ITEM-2", "issue" : "4", "issued" : { "date-parts" : [ [ "2009", "8" ] ] }, "page" : "460-72", "title" : "Association of common genetic variation in the insulin/IGF1 signaling pathway with human longevity.", "type" : "article-journal", "volume" : "8" }, "uris" : [ "http://www.mendeley.com/documents/?uuid=88af1fe8-b5cd-4f05-826c-57fef13471d9" ] } ], "mendeley" : { "formattedCitation" : "&lt;sup&gt;20,21&lt;/sup&gt;", "plainTextFormattedCitation" : "20,21", "previouslyFormattedCitation" : "&lt;sup&gt;20,21&lt;/sup&gt;" }, "properties" : { "noteIndex" : 0 }, "schema" : "https://github.com/citation-style-language/schema/raw/master/csl-citation.json" }</w:instrText>
      </w:r>
      <w:r w:rsidR="004243D2">
        <w:fldChar w:fldCharType="separate"/>
      </w:r>
      <w:r w:rsidR="004243D2" w:rsidRPr="004243D2">
        <w:rPr>
          <w:noProof/>
          <w:vertAlign w:val="superscript"/>
        </w:rPr>
        <w:t>20,21</w:t>
      </w:r>
      <w:r w:rsidR="004243D2">
        <w:fldChar w:fldCharType="end"/>
      </w:r>
      <w:r w:rsidR="0041032E">
        <w:t>. For example, i</w:t>
      </w:r>
      <w:r w:rsidRPr="00CB1C98">
        <w:t xml:space="preserve">n humans, polymorphisms in </w:t>
      </w:r>
      <w:r w:rsidRPr="00CB1C98">
        <w:rPr>
          <w:i/>
        </w:rPr>
        <w:t>FOXO3</w:t>
      </w:r>
      <w:r w:rsidR="00814DE4">
        <w:rPr>
          <w:i/>
        </w:rPr>
        <w:t>A</w:t>
      </w:r>
      <w:r w:rsidRPr="00CB1C98">
        <w:t xml:space="preserve"> have been associated with lengthened lifespan</w:t>
      </w:r>
      <w:r w:rsidRPr="00CB1C98">
        <w:fldChar w:fldCharType="begin" w:fldLock="1"/>
      </w:r>
      <w:r w:rsidR="006F2B7D">
        <w:instrText>ADDIN CSL_CITATION { "citationItems" : [ { "id" : "ITEM-1", "itemData" : { "DOI" : "10.1073/pnas.0801030105", "ISBN" : "00278424", "ISSN" : "1091-6490", "PMID" : "18765803", "abstract" : "Human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 "author" : [ { "dropping-particle" : "", "family" : "Willcox", "given" : "Bradley J", "non-dropping-particle" : "", "parse-names" : false, "suffix" : "" }, { "dropping-particle" : "", "family" : "Donlon", "given" : "Timothy a", "non-dropping-particle" : "", "parse-names" : false, "suffix" : "" }, { "dropping-particle" : "", "family" : "He", "given" : "Qimei", "non-dropping-particle" : "", "parse-names" : false, "suffix" : "" }, { "dropping-particle" : "", "family" : "Chen", "given" : "Randi", "non-dropping-particle" : "", "parse-names" : false, "suffix" : "" }, { "dropping-particle" : "", "family" : "Grove", "given" : "John S", "non-dropping-particle" : "", "parse-names" : false, "suffix" : "" }, { "dropping-particle" : "", "family" : "Yano", "given" : "Katsuhiko", "non-dropping-particle" : "", "parse-names" : false, "suffix" : "" }, { "dropping-particle" : "", "family" : "Masaki", "given" : "Kamal H", "non-dropping-particle" : "", "parse-names" : false, "suffix" : "" }, { "dropping-particle" : "", "family" : "Willcox", "given" : "D Craig", "non-dropping-particle" : "", "parse-names" : false, "suffix" : "" }, { "dropping-particle" : "", "family" : "Rodriguez", "given" : "Beatriz", "non-dropping-particle" : "", "parse-names" : false, "suffix" : "" }, { "dropping-particle" : "", "family" : "Curb", "given" : "J David", "non-dropping-particle" : "", "parse-names" : false, "suffix" : "" } ], "container-title" : "Proceedings of the National Academy of Sciences of the United States of America", "id" : "ITEM-1", "issue" : "37", "issued" : { "date-parts" : [ [ "2008" ] ] }, "page" : "13987-13992", "title" : "FOXO3A genotype is strongly associated with human longevity.", "type" : "article-journal", "volume" : "105" }, "uris" : [ "http://www.mendeley.com/documents/?uuid=2530519d-47c0-4a94-ae90-6fa8b17718b8" ] }, { "id" : "ITEM-2", "itemData" : { "DOI" : "10.4103/1008-682X.123673", "ISSN" : "1745-7262", "PMID" : "24589462", "abstract" : "Numerous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 "author" : [ { "dropping-particle" : "", "family" : "Bao", "given" : "Ji-Ming", "non-dropping-particle" : "", "parse-names" : false, "suffix" : "" }, { "dropping-particle" : "", "family" : "Song", "given" : "Xian-Lu", "non-dropping-particle" : "", "parse-names" : false, "suffix" : "" }, { "dropping-particle" : "", "family" : "Hong", "given" : "Ying-Qia", "non-dropping-particle" : "", "parse-names" : false, "suffix" : "" }, { "dropping-particle" : "", "family" : "Zhu", "given" : "Hai-Li", "non-dropping-particle" : "", "parse-names" : false, "suffix" : "" }, { "dropping-particle" : "", "family" : "Li", "given" : "Cui", "non-dropping-particle" : "", "parse-names" : false, "suffix" : "" }, { "dropping-particle" : "", "family" : "Zhang", "given" : "Tao", "non-dropping-particle" : "", "parse-names" : false, "suffix" : "" }, { "dropping-particle" : "", "family" : "Chen", "given" : "Wei", "non-dropping-particle" : "", "parse-names" : false, "suffix" : "" }, { "dropping-particle" : "", "family" : "Zhao", "given" : "Shan-Chao", "non-dropping-particle" : "", "parse-names" : false, "suffix" : "" }, { "dropping-particle" : "", "family" : "Chen", "given" : "Qing", "non-dropping-particle" : "", "parse-names" : false, "suffix" : "" } ], "container-title" : "Asian journal of andrology", "id" : "ITEM-2", "issue" : "3", "issued" : { "date-parts" : [ [ "2014" ] ] }, "page" : "446-52", "title" : "Association between FOXO3A gene polymorphisms and human longevity: a meta-analysis.", "type" : "article-journal", "volume" : "16" }, "uris" : [ "http://www.mendeley.com/documents/?uuid=bddc8628-8f08-406b-b66a-43a16736831c" ] }, { "id" : "ITEM-3", "itemData" : { "DOI" : "10.1089/rej.2008.0827", "ISBN" : "1549-1684", "ISSN" : "1549-1684", "PMID" : "19415983", "abstract" : "A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 "author" : [ { "dropping-particle" : "", "family" : "Anselmi", "given" : "Chiara Viviani", "non-dropping-particle" : "", "parse-names" : false, "suffix" : "" }, { "dropping-particle" : "", "family" : "Malovini", "given" : "Alberto", "non-dropping-particle" : "", "parse-names" : false, "suffix" : "" }, { "dropping-particle" : "", "family" : "Roncarati", "given" : "Roberta", "non-dropping-particle" : "", "parse-names" : false, "suffix" : "" }, { "dropping-particle" : "", "family" : "Novelli", "given" : "Valeria", "non-dropping-particle" : "", "parse-names" : false, "suffix" : "" }, { "dropping-particle" : "", "family" : "Villa", "given" : "Francesco", "non-dropping-particle" : "", "parse-names" : false, "suffix" : "" }, { "dropping-particle" : "", "family" : "Condorelli", "given" : "Gianluigi", "non-dropping-particle" : "", "parse-names" : false, "suffix" : "" }, { "dropping-particle" : "", "family" : "Bellazzi", "given" : "Riccardo", "non-dropping-particle" : "", "parse-names" : false, "suffix" : "" }, { "dropping-particle" : "", "family" : "Puca", "given" : "Annibale Alessandro", "non-dropping-particle" : "", "parse-names" : false, "suffix" : "" } ], "container-title" : "Rejuvenation research", "id" : "ITEM-3", "issue" : "2", "issued" : { "date-parts" : [ [ "2009" ] ] }, "page" : "95-104", "title" : "Association of the FOXO3A locus with extreme longevity in a southern Italian centenarian study.", "type" : "article-journal", "volume" : "12" }, "uris" : [ "http://www.mendeley.com/documents/?uuid=fcf19dc4-f991-4278-91f7-2d05e2d8ae93" ] }, { "id" : "ITEM-4", "itemData" : { "DOI" : "10.1073/pnas.0809594106", "ISBN" : "1091-6490 (Electronic)\\r0027-8424 (Linking)", "ISSN" : "0027-8424", "PMID" : "19196970", "abstract" : "The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 "author" : [ { "dropping-particle" : "", "family" : "Flachsbart", "given" : "Friederike", "non-dropping-particle" : "", "parse-names" : false, "suffix" : "" }, { "dropping-particle" : "", "family" : "Caliebe", "given" : "Amke", "non-dropping-particle" : "", "parse-names" : false, "suffix" : "" }, { "dropping-particle" : "", "family" : "Kleindorp", "given" : "Rabea", "non-dropping-particle" : "", "parse-names" : false, "suffix" : "" }, { "dropping-particle" : "", "family" : "Blanch\u00e9", "given" : "H\u00e9l\u00e8ne", "non-dropping-particle" : "", "parse-names" : false, "suffix" : "" }, { "dropping-particle" : "", "family" : "Eller-Eberstein", "given" : "Huberta", "non-dropping-particle" : "von", "parse-names" : false, "suffix" : "" }, { "dropping-particle" : "", "family" : "Nikolaus", "given" : "Susanna", "non-dropping-particle" : "", "parse-names" : false, "suffix" : "" }, { "dropping-particle" : "", "family" : "Schreiber", "given" : "Stefan", "non-dropping-particle" : "", "parse-names" : false, "suffix" : "" }, { "dropping-particle" : "", "family" : "Nebel", "given" : "Almut", "non-dropping-particle" : "", "parse-names" : false, "suffix" : "" } ], "container-title" : "Proceedings of the National Academy of Sciences of the United States of America", "id" : "ITEM-4", "issue" : "8", "issued" : { "date-parts" : [ [ "2009" ] ] }, "page" : "2700-2705", "title" : "Association of FOXO3A variation with human longevity confirmed in German centenarians.", "type" : "article-journal", "volume" : "106" }, "uris" : [ "http://www.mendeley.com/documents/?uuid=95f42ab8-f6e3-4a93-91fe-76b58d1b5369" ] }, { "id" : "ITEM-5", "itemData" : { "DOI" : "10.1093/hmg/ddp459", "ISBN" : "1460-2083 (Electronic)\\r0964-6906 (Linking)", "ISSN" : "09646906", "PMID" : "19793722", "abstract" : "FOXO1A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 "author" : [ { "dropping-particle" : "", "family" : "Li", "given" : "Yang", "non-dropping-particle" : "", "parse-names" : false, "suffix" : "" }, { "dropping-particle" : "", "family" : "Wang", "given" : "Wen Jing", "non-dropping-particle" : "", "parse-names" : false, "suffix" : "" }, { "dropping-particle" : "", "family" : "Cao", "given" : "Huiqing", "non-dropping-particle" : "", "parse-names" : false, "suffix" : "" }, { "dropping-particle" : "", "family" : "Lu", "given" : "Jiehua", "non-dropping-particle" : "", "parse-names" : false, "suffix" : "" }, { "dropping-particle" : "", "family" : "Wu", "given" : "Chong", "non-dropping-particle" : "", "parse-names" : false, "suffix" : "" }, { "dropping-particle" : "", "family" : "Hu", "given" : "Fang Yuan", "non-dropping-particle" : "", "parse-names" : false, "suffix" : "" }, { "dropping-particle" : "", "family" : "Guo", "given" : "Jian", "non-dropping-particle" : "", "parse-names" : false, "suffix" : "" }, { "dropping-particle" : "", "family" : "Zhao", "given" : "Ling", "non-dropping-particle" : "", "parse-names" : false, "suffix" : "" }, { "dropping-particle" : "", "family" : "Yang", "given" : "Fan", "non-dropping-particle" : "", "parse-names" : false, "suffix" : "" }, { "dropping-particle" : "", "family" : "Zhang", "given" : "Yi Xin", "non-dropping-particle" : "", "parse-names" : false, "suffix" : "" }, { "dropping-particle" : "", "family" : "Li", "given" : "Wei", "non-dropping-particle" : "", "parse-names" : false, "suffix" : "" }, { "dropping-particle" : "", "family" : "Zheng", "given" : "Gu Yan", "non-dropping-particle" : "", "parse-names" : false, "suffix" : "" }, { "dropping-particle" : "", "family" : "Cui", "given" : "Hanbin", "non-dropping-particle" : "", "parse-names" : false, "suffix" : "" }, { "dropping-particle" : "", "family" : "Chen", "given" : "Xiaomin", "non-dropping-particle" : "", "parse-names" : false, "suffix" : "" }, { "dropping-particle" : "", "family" : "Zhu", "given" : "Zhiming", "non-dropping-particle" : "", "parse-names" : false, "suffix" : "" }, { "dropping-particle" : "", "family" : "He", "given" : "Hongbo", "non-dropping-particle" : "", "parse-names" : false, "suffix" : "" }, { "dropping-particle" : "", "family" : "Dong", "given" : "Birong", "non-dropping-particle" : "", "parse-names" : false, "suffix" : "" }, { "dropping-particle" : "", "family" : "Mo", "given" : "Xianming", "non-dropping-particle" : "", "parse-names" : false, "suffix" : "" }, { "dropping-particle" : "", "family" : "Zeng", "given" : "Yi", "non-dropping-particle" : "", "parse-names" : false, "suffix" : "" }, { "dropping-particle" : "", "family" : "Tian", "given" : "Xiao Li", "non-dropping-particle" : "", "parse-names" : false, "suffix" : "" } ], "container-title" : "Human Molecular Genetics", "id" : "ITEM-5", "issue" : "24", "issued" : { "date-parts" : [ [ "2009" ] ] }, "page" : "4897-4904", "title" : "Genetic association of FOXO1A and FOXO3A with longevity trait in Han Chinese populations", "type" : "article-journal", "volume" : "18" }, "uris" : [ "http://www.mendeley.com/documents/?uuid=75cd92d1-b4d5-4c3a-bb15-9a78076703ed" ] }, { "id" : "ITEM-6",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"ITEM-6", "issue" : "4", "issued" : { "date-parts" : [ [ "2009", "8" ] ] }, "page" : "460-72", "title" : "Association of common genetic variation in the insulin/IGF1 signaling pathway with human longevity.", "type" : "article-journal", "volume" : "8" }, "uris" : [ "http://www.mendeley.com/documents/?uuid=88af1fe8-b5cd-4f05-826c-57fef13471d9" ] }, { "id" : "ITEM-7", "itemData" : { "DOI" : "10.1111/j.1474-9726.2010.00627.x", "ISBN" : "1474-9726 (Electronic)\\r1474-9718 (Linking)", "ISSN" : "14749718", "PMID" : "20849522", "abstract" : "Genetic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 "author" : [ { "dropping-particle" : "", "family" : "Soerensen", "given" : "Mette", "non-dropping-particle" : "", "parse-names" : false, "suffix" : "" }, { "dropping-particle" : "", "family" : "Dato", "given" : "Serena", "non-dropping-particle" : "", "parse-names" : false, "suffix" : "" }, { "dropping-particle" : "", "family" : "Christensen", "given" : "Kaare", "non-dropping-particle" : "", "parse-names" : false, "suffix" : "" }, { "dropping-particle" : "", "family" : "McGue", "given" : "Matt", "non-dropping-particle" : "", "parse-names" : false, "suffix" : "" }, { "dropping-particle" : "", "family" : "Stevnsner", "given" : "Tinna", "non-dropping-particle" : "", "parse-names" : false, "suffix" : "" }, { "dropping-particle" : "", "family" : "Bohr", "given" : "Vilhelm a.", "non-dropping-particle" : "", "parse-names" : false, "suffix" : "" }, { "dropping-particle" : "", "family" : "Christiansen", "given" : "Lene", "non-dropping-particle" : "", "parse-names" : false, "suffix" : "" } ], "container-title" : "Aging Cell", "id" : "ITEM-7", "issue" : "6", "issued" : { "date-parts" : [ [ "2010" ] ] }, "page" : "1010-1017", "title" : "Replication of an association of variation in the FOXO3A gene with human longevity using both case-control and longitudinal data", "type" : "article-journal", "volume" : "9" }, "uris" : [ "http://www.mendeley.com/documents/?uuid=e33d5bec-1a02-4d49-a066-2cb30085b59b" ] } ], "mendeley" : { "formattedCitation" : "&lt;sup&gt;21\u201327&lt;/sup&gt;", "plainTextFormattedCitation" : "21\u201327", "previouslyFormattedCitation" : "&lt;sup&gt;21\u201327&lt;/sup&gt;" }, "properties" : { "noteIndex" : 0 }, "schema" : "https://github.com/citation-style-language/schema/raw/master/csl-citation.json" }</w:instrText>
      </w:r>
      <w:r w:rsidRPr="00CB1C98">
        <w:fldChar w:fldCharType="separate"/>
      </w:r>
      <w:r w:rsidR="004243D2" w:rsidRPr="004243D2">
        <w:rPr>
          <w:noProof/>
          <w:vertAlign w:val="superscript"/>
        </w:rPr>
        <w:t>21–27</w:t>
      </w:r>
      <w:r w:rsidRPr="00CB1C98">
        <w:fldChar w:fldCharType="end"/>
      </w:r>
      <w:r w:rsidR="00814DE4">
        <w:t xml:space="preserve">.  </w:t>
      </w:r>
      <w:r w:rsidR="00814DE4" w:rsidRPr="00CB1C98">
        <w:t xml:space="preserve">Both mouse and fruit fly models of </w:t>
      </w:r>
      <w:r w:rsidR="00814DE4" w:rsidRPr="00CB1C98">
        <w:rPr>
          <w:i/>
        </w:rPr>
        <w:t>FOXO3</w:t>
      </w:r>
      <w:r w:rsidR="00814DE4">
        <w:rPr>
          <w:i/>
        </w:rPr>
        <w:t>A</w:t>
      </w:r>
      <w:r w:rsidR="00814DE4" w:rsidRPr="00CB1C98">
        <w:t xml:space="preserve"> loss of function result in stronger and longer living model organisms</w:t>
      </w:r>
      <w:r w:rsidR="00814DE4" w:rsidRPr="00CB1C98">
        <w:fldChar w:fldCharType="begin" w:fldLock="1"/>
      </w:r>
      <w:r w:rsidR="006F2B7D">
        <w:instrText>ADDIN CSL_CITATION { "citationItems" : [ { "id" : "ITEM-1", "itemData" : { "DOI" : "10.1126/science.1098219", "ISBN" : "0036-8075", "ISSN" : "0036-8075", "PMID" : "15192154", "abstract" : "Reduced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 "author" : [ { "dropping-particle" : "", "family" : "Giannakou", "given" : "Maria E", "non-dropping-particle" : "", "parse-names" : false, "suffix" : "" }, { "dropping-particle" : "", "family" : "Goss", "given" : "Martin", "non-dropping-particle" : "", "parse-names" : false, "suffix" : "" }, { "dropping-particle" : "", "family" : "J\u00fcnger", "given" : "Martin A", "non-dropping-particle" : "", "parse-names" : false, "suffix" : "" }, { "dropping-particle" : "", "family" : "Hafen", "given" : "Ernst", "non-dropping-particle" : "", "parse-names" : false, "suffix" : "" }, { "dropping-particle" : "", "family" : "Leevers", "given" : "Sally J", "non-dropping-particle" : "", "parse-names" : false, "suffix" : "" }, { "dropping-particle" : "", "family" : "Partridge", "given" : "Linda", "non-dropping-particle" : "", "parse-names" : false, "suffix" : "" } ], "container-title" : "Science", "id" : "ITEM-1", "issue" : "5682", "issued" : { "date-parts" : [ [ "2004" ] ] }, "page" : "361", "title" : "Long-lived Drosophila with overexpressed dFOXO in adult fat body.", "type" : "article-journal", "volume" : "305" }, "uris" : [ "http://www.mendeley.com/documents/?uuid=7ce129f1-e63d-4fa8-9107-f0e7873c4d40" ] }, { "id" : "ITEM-2", "itemData" : { "DOI" : "10.1038/nature03446", "ISBN" : "1476-4687 (Electronic)", "ISSN" : "0028-0836", "PMID" : "15175753", "abstract" : "In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 "author" : [ { "dropping-particle" : "", "family" : "Hwangbo", "given" : "Dae Sung", "non-dropping-particle" : "", "parse-names" : false, "suffix" : "" }, { "dropping-particle" : "", "family" : "Gershman", "given" : "Boris", "non-dropping-particle" : "", "parse-names" : false, "suffix" : "" }, { "dropping-particle" : "", "family" : "Tu", "given" : "Meng-Ping", "non-dropping-particle" : "", "parse-names" : false, "suffix" : "" }, { "dropping-particle" : "", "family" : "Palmer", "given" : "Michael", "non-dropping-particle" : "", "parse-names" : false, "suffix" : "" }, { "dropping-particle" : "", "family" : "Tatar", "given" : "Marc", "non-dropping-particle" : "", "parse-names" : false, "suffix" : "" } ], "container-title" : "Nature", "id" : "ITEM-2", "issue" : "6991", "issued" : { "date-parts" : [ [ "2004" ] ] }, "page" : "562-566", "title" : "Drosophila dFOXO controls lifespan and regulates insulin signalling in brain and fat body.", "type" : "article-journal", "volume" : "429" }, "uris" : [ "http://www.mendeley.com/documents/?uuid=f03b6cf0-9fbf-4606-8fc3-c19926cda385" ] }, { "id" : "ITEM-3", "itemData" : { "DOI" : "10.1038/ncomms7670", "ISSN" : "2041-1723", "PMID" : "25858807", "abstract" : "Stresses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 "author" : [ { "dropping-particle" : "", "family" : "Milan", "given" : "Giulia", "non-dropping-particle" : "", "parse-names" : false, "suffix" : "" }, { "dropping-particle" : "", "family" : "Romanello", "given" : "Vanina", "non-dropping-particle" : "", "parse-names" : false, "suffix" : "" }, { "dropping-particle" : "", "family" : "Pescatore", "given" : "Francesca", "non-dropping-particle" : "", "parse-names" : false, "suffix" : "" }, { "dropping-particle" : "", "family" : "Armani", "given" : "Andrea", "non-dropping-particle" : "", "parse-names" : false, "suffix" : "" }, { "dropping-particle" : "", "family" : "Paik", "given" : "Ji-Hye", "non-dropping-particle" : "", "parse-names" : false, "suffix" : "" }, { "dropping-particle" : "", "family" : "Frasson", "given" : "Laura", "non-dropping-particle" : "", "parse-names" : false, "suffix" : "" }, { "dropping-particle" : "", "family" : "Seydel", "given" : "Anke", "non-dropping-particle" : "", "parse-names" : false, "suffix" : "" }, { "dropping-particle" : "", "family" : "Zhao", "given" : "Jinghui", "non-dropping-particle" : "", "parse-names" : false, "suffix" : "" }, { "dropping-particle" : "", "family" : "Abraham", "given" : "Reimar", "non-dropping-particle" : "", "parse-names" : false, "suffix" : "" }, { "dropping-particle" : "", "family" : "Goldberg", "given" : "Alfred L.", "non-dropping-particle" : "", "parse-names" : false, "suffix" : "" }, { "dropping-particle" : "", "family" : "Blaauw", "given" : "Bert", "non-dropping-particle" : "", "parse-names" : false, "suffix" : "" }, { "dropping-particle" : "", "family" : "DePinho", "given" : "Ronald a.", "non-dropping-particle" : "", "parse-names" : false, "suffix" : "" }, { "dropping-particle" : "", "family" : "Sandri", "given" : "Marco", "non-dropping-particle" : "", "parse-names" : false, "suffix" : "" } ], "container-title" : "Nature communications", "id" : "ITEM-3", "issued" : { "date-parts" : [ [ "2015" ] ] }, "page" : "6670", "publisher" : "Nature Publishing Group", "title" : "Regulation of autophagy and the ubiquitin-proteasome system by the FoxO transcriptional network during muscle atrophy.", "type" : "article-journal", "volume" : "6" }, "uris" : [ "http://www.mendeley.com/documents/?uuid=90e8d042-7909-47d7-940b-d57eecbe3204" ] } ], "mendeley" : { "formattedCitation" : "&lt;sup&gt;28\u201330&lt;/sup&gt;", "plainTextFormattedCitation" : "28\u201330", "previouslyFormattedCitation" : "&lt;sup&gt;28\u201330&lt;/sup&gt;" }, "properties" : { "noteIndex" : 0 }, "schema" : "https://github.com/citation-style-language/schema/raw/master/csl-citation.json" }</w:instrText>
      </w:r>
      <w:r w:rsidR="00814DE4" w:rsidRPr="00CB1C98">
        <w:fldChar w:fldCharType="separate"/>
      </w:r>
      <w:r w:rsidR="004243D2" w:rsidRPr="004243D2">
        <w:rPr>
          <w:noProof/>
          <w:vertAlign w:val="superscript"/>
        </w:rPr>
        <w:t>28–30</w:t>
      </w:r>
      <w:r w:rsidR="00814DE4" w:rsidRPr="00CB1C98">
        <w:fldChar w:fldCharType="end"/>
      </w:r>
      <w:r w:rsidR="00814DE4" w:rsidRPr="00CB1C98">
        <w:t xml:space="preserve">.  </w:t>
      </w:r>
    </w:p>
    <w:p w14:paraId="4185775B" w14:textId="77777777" w:rsidR="0025688C" w:rsidRDefault="0025688C" w:rsidP="00814DE4"/>
    <w:p w14:paraId="305D54DB" w14:textId="6D9D8E90" w:rsidR="00CB1C98" w:rsidRDefault="009B6F2D" w:rsidP="00CB1C98">
      <w:r>
        <w:t xml:space="preserve">One potential mechanism linking TORC1 to aging could be protein overproduction.  TORC1 plays a key role in protein homeostasis, through inhibiting autophagy and proteosomal </w:t>
      </w:r>
      <w:r w:rsidR="00A268CE">
        <w:t>degradation</w:t>
      </w:r>
      <w:r>
        <w:t xml:space="preserve"> while promoting protein synthesis in both flies and mice. </w:t>
      </w:r>
      <w:r w:rsidR="0025688C">
        <w:t>Drosophila</w:t>
      </w:r>
      <w:r w:rsidR="00814DE4" w:rsidRPr="00CB1C98">
        <w:t xml:space="preserve"> studies have implicated improved muscle proteostasis as a key </w:t>
      </w:r>
      <w:r w:rsidR="00814DE4">
        <w:t xml:space="preserve">element </w:t>
      </w:r>
      <w:r w:rsidR="00B155E0">
        <w:t>coordinating</w:t>
      </w:r>
      <w:r w:rsidR="00814DE4" w:rsidRPr="00CB1C98">
        <w:t xml:space="preserve"> lifespan extension</w:t>
      </w:r>
      <w:r w:rsidR="00814DE4" w:rsidRPr="00CB1C98">
        <w:fldChar w:fldCharType="begin" w:fldLock="1"/>
      </w:r>
      <w:r w:rsidR="006F2B7D">
        <w:instrText>ADDIN CSL_CITATION { "citationItems" : [ { "id" : "ITEM-1",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"ITEM-1",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"mendeley" : { "formattedCitation" : "&lt;sup&gt;31&lt;/sup&gt;", "plainTextFormattedCitation" : "31", "previouslyFormattedCitation" : "&lt;sup&gt;31&lt;/sup&gt;" }, "properties" : { "noteIndex" : 0 }, "schema" : "https://github.com/citation-style-language/schema/raw/master/csl-citation.json" }</w:instrText>
      </w:r>
      <w:r w:rsidR="00814DE4" w:rsidRPr="00CB1C98">
        <w:fldChar w:fldCharType="separate"/>
      </w:r>
      <w:r w:rsidR="004243D2" w:rsidRPr="004243D2">
        <w:rPr>
          <w:noProof/>
          <w:vertAlign w:val="superscript"/>
        </w:rPr>
        <w:t>31</w:t>
      </w:r>
      <w:r w:rsidR="00814DE4" w:rsidRPr="00CB1C98">
        <w:fldChar w:fldCharType="end"/>
      </w:r>
      <w:r w:rsidR="00814DE4" w:rsidRPr="00CB1C98">
        <w:t xml:space="preserve">. </w:t>
      </w:r>
      <w:r w:rsidR="00731DA6">
        <w:t xml:space="preserve">Dysregulation of proteostatsis </w:t>
      </w:r>
      <w:r w:rsidR="00B155E0">
        <w:t>may</w:t>
      </w:r>
      <w:r w:rsidR="00731DA6">
        <w:t xml:space="preserve"> also underlie the lifespan-restricting effects of high protein diets</w:t>
      </w:r>
      <w:r w:rsidR="006F2B7D">
        <w:fldChar w:fldCharType="begin" w:fldLock="1"/>
      </w:r>
      <w:r w:rsidR="00B20079">
        <w:instrText>ADDIN CSL_CITATION { "citationItems" : [ { "id" : "ITEM-1", "itemData" : { "DOI" : "10.1016/j.cmet.2014.02.009", "ISBN" : "1550-4131", "ISSN" : "19327420", "PMID" : "24606899", "abstract" : "The fundamental questions of what represents a macronutritionally balanced diet and how this maintains health and longevity remain unanswered. Here, the Geometric Framework, a state-space nutritional modeling method, was used to measure interactive effects of dietary energy, protein, fat, and carbohydrate on food intake, cardiometabolic phenotype, and longevity in mice fed one of 25 diets ad libitum. Food intake was regulated primarily by protein and carbohydrate content. Longevity and health were optimized when protein was replaced with carbohydrate to limit compensatory feeding for protein and suppress protein intake. These consequences are associated with hepatic mammalian target of rapamycin (mTOR) activation and mitochondrial function and, in turn, related to circulating branched-chain amino acids and glucose. Calorie restriction achieved by high-protein diets or dietary dilution had no beneficial effects on lifespan. The results suggest that longevity can be extended in ad libitum-fed animals by manipulating the ratio of macronutrients to inhibit mTOR activation. ?? 2014 Elsevier Inc.", "author" : [ { "dropping-particle" : "", "family" : "Solon-Biet", "given" : "Samantha M.", "non-dropping-particle" : "", "parse-names" : false, "suffix" : "" }, { "dropping-particle" : "", "family" : "McMahon", "given" : "Aisling C.", "non-dropping-particle" : "", "parse-names" : false, "suffix" : "" }, { "dropping-particle" : "", "family" : "Ballard", "given" : "J. William O", "non-dropping-particle" : "", "parse-names" : false, "suffix" : "" }, { "dropping-particle" : "", "family" : "Ruohonen", "given" : "Kari", "non-dropping-particle" : "", "parse-names" : false, "suffix" : "" }, { "dropping-particle" : "", "family" : "Wu", "given" : "Lindsay E.", "non-dropping-particle" : "", "parse-names" : false, "suffix" : "" }, { "dropping-particle" : "", "family" : "Cogger", "given" : "Victoria C.", "non-dropping-particle" : "", "parse-names" : false, "suffix" : "" }, { "dropping-particle" : "", "family" : "Warren", "given" : "Alessandra", "non-dropping-particle" : "", "parse-names" : false, "suffix" : "" }, { "dropping-particle" : "", "family" : "Huang", "given" : "Xin", "non-dropping-particle" : "", "parse-names" : false, "suffix" : "" }, { "dropping-particle" : "", "family" : "Pichaud", "given" : "Nicolas", "non-dropping-particle" : "", "parse-names" : false, "suffix" : "" }, { "dropping-particle" : "", "family" : "Melvin", "given" : "Richard G.", "non-dropping-particle" : "", "parse-names" : false, "suffix" : "" }, { "dropping-particle" : "", "family" : "Gokarn", "given" : "Rahul", "non-dropping-particle" : "", "parse-names" : false, "suffix" : "" }, { "dropping-particle" : "", "family" : "Khalil", "given" : "Mamdouh", "non-dropping-particle" : "", "parse-names" : false, "suffix" : "" }, { "dropping-particle" : "", "family" : "Turner", "given" : "Nigel", "non-dropping-particle" : "", "parse-names" : false, "suffix" : "" }, { "dropping-particle" : "", "family" : "Cooney", "given" : "Gregory J.", "non-dropping-particle" : "", "parse-names" : false, "suffix" : "" }, { "dropping-particle" : "", "family" : "Sinclair", "given" : "David\u00a0A.", "non-dropping-particle" : "", "parse-names" : false, "suffix" : "" }, { "dropping-particle" : "", "family" : "Raubenheimer", "given" : "David", "non-dropping-particle" : "", "parse-names" : false, "suffix" : "" }, { "dropping-particle" : "", "family" : "Couteur", "given" : "David G.", "non-dropping-particle" : "Le", "parse-names" : false, "suffix" : "" }, { "dropping-particle" : "", "family" : "Simpson", "given" : "Stephen\u00a0J.", "non-dropping-particle" : "", "parse-names" : false, "suffix" : "" } ], "container-title" : "Cell Metabolism", "id" : "ITEM-1", "issue" : "3", "issued" : { "date-parts" : [ [ "2014" ] ] }, "page" : "418-430", "publisher" : "Elsevier Inc.", "title" : "The ratio of macronutrients, not caloric intake, dictates cardiometabolic health, aging, and longevity in ad libitum-fed mice", "type" : "article-journal", "volume" : "19" }, "uris" : [ "http://www.mendeley.com/documents/?uuid=5e4531d2-790f-419e-892b-a79bef8165a3" ] } ], "mendeley" : { "formattedCitation" : "&lt;sup&gt;32&lt;/sup&gt;", "plainTextFormattedCitation" : "32", "previouslyFormattedCitation" : "&lt;sup&gt;32&lt;/sup&gt;" }, "properties" : { "noteIndex" : 0 }, "schema" : "https://github.com/citation-style-language/schema/raw/master/csl-citation.json" }</w:instrText>
      </w:r>
      <w:r w:rsidR="006F2B7D">
        <w:fldChar w:fldCharType="separate"/>
      </w:r>
      <w:r w:rsidR="006F2B7D" w:rsidRPr="006F2B7D">
        <w:rPr>
          <w:noProof/>
          <w:vertAlign w:val="superscript"/>
        </w:rPr>
        <w:t>32</w:t>
      </w:r>
      <w:r w:rsidR="006F2B7D">
        <w:fldChar w:fldCharType="end"/>
      </w:r>
      <w:r w:rsidR="00731DA6">
        <w:t>.</w:t>
      </w:r>
      <w:r w:rsidR="00EA5D37">
        <w:t xml:space="preserve">  </w:t>
      </w:r>
      <w:r w:rsidR="00E05E0F">
        <w:t>The</w:t>
      </w:r>
      <w:r>
        <w:t xml:space="preserve"> studies presented here </w:t>
      </w:r>
      <w:r w:rsidR="00E05E0F">
        <w:t>were not designed</w:t>
      </w:r>
      <w:r>
        <w:t xml:space="preserve"> show that the m</w:t>
      </w:r>
      <w:r w:rsidR="00E05E0F">
        <w:t xml:space="preserve">TORC1-dependent </w:t>
      </w:r>
      <w:r>
        <w:t xml:space="preserve">effects </w:t>
      </w:r>
      <w:r w:rsidR="00E05E0F">
        <w:t xml:space="preserve">in muscle </w:t>
      </w:r>
      <w:r>
        <w:t xml:space="preserve">on aging </w:t>
      </w:r>
      <w:r w:rsidR="00EA5D37">
        <w:t xml:space="preserve">are </w:t>
      </w:r>
      <w:r w:rsidR="00E05E0F">
        <w:t>upstream of</w:t>
      </w:r>
      <w:r w:rsidR="00EA5D37">
        <w:t xml:space="preserve"> changes in protein </w:t>
      </w:r>
      <w:r w:rsidR="00E05E0F">
        <w:t>turnove</w:t>
      </w:r>
      <w:r w:rsidR="00B57BCA">
        <w:t>r. S</w:t>
      </w:r>
      <w:r w:rsidR="00E05E0F">
        <w:t xml:space="preserve">everal other mechanisms </w:t>
      </w:r>
      <w:r w:rsidR="00965029">
        <w:t>related to mTORC1 have also been proposed</w:t>
      </w:r>
      <w:r w:rsidR="00E05E0F">
        <w:t xml:space="preserve"> including oxidative damage, impaired mitochondrial clearance </w:t>
      </w:r>
      <w:r w:rsidR="00B155E0">
        <w:t>and</w:t>
      </w:r>
      <w:r w:rsidR="00E05E0F">
        <w:t xml:space="preserve"> </w:t>
      </w:r>
      <w:r w:rsidR="00B155E0">
        <w:t>ER stress.  F</w:t>
      </w:r>
      <w:r w:rsidR="00B57BCA">
        <w:t>uture studies will be needed to und</w:t>
      </w:r>
      <w:r w:rsidR="00965029">
        <w:t xml:space="preserve">erstand </w:t>
      </w:r>
      <w:r w:rsidR="00B155E0">
        <w:t xml:space="preserve">the roles of </w:t>
      </w:r>
      <w:r w:rsidR="00965029">
        <w:t>these and other potenti</w:t>
      </w:r>
      <w:r w:rsidR="00B155E0">
        <w:t>al downstream effects</w:t>
      </w:r>
      <w:r w:rsidR="00FA24CE">
        <w:t>.</w:t>
      </w:r>
      <w:r w:rsidR="00E05E0F">
        <w:t xml:space="preserve">  </w:t>
      </w:r>
      <w:r w:rsidR="00F91467">
        <w:t>Un</w:t>
      </w:r>
      <w:r w:rsidR="00BE5F2D">
        <w:t xml:space="preserve">derstanding the tissue-specificity which underlies the </w:t>
      </w:r>
      <w:r w:rsidR="00B155E0">
        <w:t xml:space="preserve">some of the </w:t>
      </w:r>
      <w:r w:rsidR="00BE5F2D">
        <w:t>effects of TORC1 on aging is an important step to understanding the molecular mechanisms that link TORC1 and rapamycin to organismal lifespan.</w:t>
      </w:r>
    </w:p>
    <w:p w14:paraId="5A9759C1" w14:textId="77777777" w:rsidR="004E4FCA" w:rsidRDefault="004E4FCA" w:rsidP="004E4FCA">
      <w:pPr>
        <w:pStyle w:val="Heading1"/>
      </w:pPr>
      <w:r>
        <w:t>Acknowledgements</w:t>
      </w:r>
    </w:p>
    <w:p w14:paraId="1CD35E14" w14:textId="3932DF67" w:rsidR="00984EF2" w:rsidRPr="00C937F0" w:rsidRDefault="00984EF2" w:rsidP="00984EF2">
      <w:r>
        <w:t>The authors would like to thank the members of the Bridges, Saltiel, Reiter and Han laboratories for helpful discussions regarding this project.</w:t>
      </w:r>
      <w:r w:rsidRPr="00984EF2">
        <w:t xml:space="preserve"> </w:t>
      </w:r>
      <w:r>
        <w:t>This work was supported by funds from the Memphis Research Consortium (DB), the National Institutes of Health (</w:t>
      </w:r>
      <w:r w:rsidR="00C937F0">
        <w:t>R01</w:t>
      </w:r>
      <w:r>
        <w:t>DK107535 to DB;</w:t>
      </w:r>
      <w:commentRangeStart w:id="6"/>
      <w:r>
        <w:t xml:space="preserve"> </w:t>
      </w:r>
      <w:commentRangeEnd w:id="6"/>
      <w:r>
        <w:rPr>
          <w:rStyle w:val="CommentReference"/>
        </w:rPr>
        <w:commentReference w:id="6"/>
      </w:r>
      <w:r>
        <w:t>)</w:t>
      </w:r>
      <w:r w:rsidR="00620634">
        <w:t xml:space="preserve"> and the UTHSC Drosophila Transgenic Core</w:t>
      </w:r>
      <w:r>
        <w:t xml:space="preserve">.  </w:t>
      </w:r>
      <w:r w:rsidR="00C937F0">
        <w:t xml:space="preserve">The Bloomington Drosophila Stock Center is supported by </w:t>
      </w:r>
      <w:r w:rsidR="00C937F0" w:rsidRPr="00C937F0">
        <w:t>P40OD018537</w:t>
      </w:r>
      <w:r w:rsidR="00C937F0">
        <w:t>.</w:t>
      </w:r>
    </w:p>
    <w:p w14:paraId="7B5B26A3" w14:textId="77777777" w:rsidR="004E4FCA" w:rsidRPr="004E4FCA" w:rsidRDefault="004E4FCA" w:rsidP="004E4FCA">
      <w:pPr>
        <w:pStyle w:val="Heading1"/>
      </w:pPr>
      <w:r>
        <w:t>References</w:t>
      </w:r>
    </w:p>
    <w:p w14:paraId="5D321DC3" w14:textId="21449E70" w:rsidR="00B20079" w:rsidRPr="00B20079" w:rsidRDefault="00490316" w:rsidP="00B20079">
      <w:pPr>
        <w:widowControl w:val="0"/>
        <w:autoSpaceDE w:val="0"/>
        <w:autoSpaceDN w:val="0"/>
        <w:adjustRightInd w:val="0"/>
        <w:ind w:left="640" w:hanging="640"/>
        <w:rPr>
          <w:rFonts w:ascii="Garamond" w:eastAsia="Times New Roman" w:hAnsi="Garamond" w:cs="Times New Roman"/>
          <w:noProof/>
        </w:rPr>
      </w:pPr>
      <w:r>
        <w:fldChar w:fldCharType="begin" w:fldLock="1"/>
      </w:r>
      <w:r>
        <w:instrText xml:space="preserve">ADDIN Mendeley Bibliography CSL_BIBLIOGRAPHY </w:instrText>
      </w:r>
      <w:r>
        <w:fldChar w:fldCharType="separate"/>
      </w:r>
      <w:r w:rsidR="00B20079" w:rsidRPr="00B20079">
        <w:rPr>
          <w:rFonts w:ascii="Garamond" w:eastAsia="Times New Roman" w:hAnsi="Garamond" w:cs="Times New Roman"/>
          <w:noProof/>
        </w:rPr>
        <w:t xml:space="preserve">1. </w:t>
      </w:r>
      <w:r w:rsidR="00B20079" w:rsidRPr="00B20079">
        <w:rPr>
          <w:rFonts w:ascii="Garamond" w:eastAsia="Times New Roman" w:hAnsi="Garamond" w:cs="Times New Roman"/>
          <w:noProof/>
        </w:rPr>
        <w:tab/>
        <w:t xml:space="preserve">Kwiatkowski DJ, Zhang H, Bandura JL, Heiberger KM, Glogauer M, el-Hashemite N, Onda H. A mouse model of TSC1 reveals sex-dependent lethality from liver hemangiomas, and up-regulation of p70S6 kinase activity in Tsc1 null cells. Hum Mol Genet 2002; 11:525–34. </w:t>
      </w:r>
    </w:p>
    <w:p w14:paraId="66ACA7AA"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 </w:t>
      </w:r>
      <w:r w:rsidRPr="00B20079">
        <w:rPr>
          <w:rFonts w:ascii="Garamond" w:eastAsia="Times New Roman" w:hAnsi="Garamond" w:cs="Times New Roman"/>
          <w:noProof/>
        </w:rPr>
        <w:tab/>
        <w:t xml:space="preserve">Brüning JC, Michael MDD, Winnay JN, Hayashi T, Hörsch D, Accili D, Goodyear LJ, Kahn CR. A muscle-specific insulin receptor knockout exhibits features of the metabolic syndrome of NIDDM without altering glucose tolerance. Mol Cell 1998; 2:559–69. </w:t>
      </w:r>
    </w:p>
    <w:p w14:paraId="08A91F32"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3. </w:t>
      </w:r>
      <w:r w:rsidRPr="00B20079">
        <w:rPr>
          <w:rFonts w:ascii="Garamond" w:eastAsia="Times New Roman" w:hAnsi="Garamond" w:cs="Times New Roman"/>
          <w:noProof/>
        </w:rPr>
        <w:tab/>
        <w:t xml:space="preserve">Ni J, Zhou R, Czech B, Liu L, Holderbaum L, Yang-Zhou D, Shim H, Tao R, Handler D, Karpowicz P, et al. A genome-scale shRNA resource for transgenic RNAi in Drosophila. Nat Methods 2011; 8:405–7. </w:t>
      </w:r>
    </w:p>
    <w:p w14:paraId="5B1E6CFF"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4. </w:t>
      </w:r>
      <w:r w:rsidRPr="00B20079">
        <w:rPr>
          <w:rFonts w:ascii="Garamond" w:eastAsia="Times New Roman" w:hAnsi="Garamond" w:cs="Times New Roman"/>
          <w:noProof/>
        </w:rPr>
        <w:tab/>
        <w:t xml:space="preserve">R Core Team. R: A Language and Environment for Statistical Computing. 2013; </w:t>
      </w:r>
    </w:p>
    <w:p w14:paraId="39485671"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5. </w:t>
      </w:r>
      <w:r w:rsidRPr="00B20079">
        <w:rPr>
          <w:rFonts w:ascii="Garamond" w:eastAsia="Times New Roman" w:hAnsi="Garamond" w:cs="Times New Roman"/>
          <w:noProof/>
        </w:rPr>
        <w:tab/>
        <w:t xml:space="preserve">Therneau TM, Grambsch PM. Modeling Survival Data: Extending the Cox Model. New York, NY: Springer New York; 2000. </w:t>
      </w:r>
    </w:p>
    <w:p w14:paraId="272904CB"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6. </w:t>
      </w:r>
      <w:r w:rsidRPr="00B20079">
        <w:rPr>
          <w:rFonts w:ascii="Garamond" w:eastAsia="Times New Roman" w:hAnsi="Garamond" w:cs="Times New Roman"/>
          <w:noProof/>
        </w:rPr>
        <w:tab/>
        <w:t xml:space="preserve">Therneau T. A Package for Survival Analysis in S. R package version. Survival (Lond).2012; </w:t>
      </w:r>
    </w:p>
    <w:p w14:paraId="6BA9AE1E"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7. </w:t>
      </w:r>
      <w:r w:rsidRPr="00B20079">
        <w:rPr>
          <w:rFonts w:ascii="Garamond" w:eastAsia="Times New Roman" w:hAnsi="Garamond" w:cs="Times New Roman"/>
          <w:noProof/>
        </w:rPr>
        <w:tab/>
        <w:t xml:space="preserve">Benjamini Y, Hochberg Y. Controlling the False Discovery Rate: A Practical and Powerful Approach to Multiple Testing. J R Stat Soc Ser B 1995; 57:289–300. </w:t>
      </w:r>
    </w:p>
    <w:p w14:paraId="6789B4F3"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8. </w:t>
      </w:r>
      <w:r w:rsidRPr="00B20079">
        <w:rPr>
          <w:rFonts w:ascii="Garamond" w:eastAsia="Times New Roman" w:hAnsi="Garamond" w:cs="Times New Roman"/>
          <w:noProof/>
        </w:rPr>
        <w:tab/>
        <w:t xml:space="preserve">Castets P, Lin S, Rion N, Di Fulvio S, Romanino K, Guridi M, Frank S, Tintignac LAA, Sinnreich M, Rüegg MA, et al. Sustained activation of mTORC1 in skeletal muscle inhibits constitutive and starvation-induced autophagy and causes a severe, late-onset myopathy. Cell Metab 2013; 17:731–44. </w:t>
      </w:r>
    </w:p>
    <w:p w14:paraId="28EFB874"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9. </w:t>
      </w:r>
      <w:r w:rsidRPr="00B20079">
        <w:rPr>
          <w:rFonts w:ascii="Garamond" w:eastAsia="Times New Roman" w:hAnsi="Garamond" w:cs="Times New Roman"/>
          <w:noProof/>
        </w:rPr>
        <w:tab/>
        <w:t xml:space="preserve">Meikle L, McMullen JR, Sherwood MC, Lader AS, Walker V, Chan JA, Kwiatkowski DJ. A mouse model of cardiac rhabdomyoma generated by loss of Tsc1 in ventricular myocytes. Hum Mol Genet 2005; 14:429–35. </w:t>
      </w:r>
    </w:p>
    <w:p w14:paraId="0F83FC61"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10. </w:t>
      </w:r>
      <w:r w:rsidRPr="00B20079">
        <w:rPr>
          <w:rFonts w:ascii="Garamond" w:eastAsia="Times New Roman" w:hAnsi="Garamond" w:cs="Times New Roman"/>
          <w:noProof/>
        </w:rPr>
        <w:tab/>
        <w:t xml:space="preserve">Malhowski AJ, Hira H, Bashiruddin S, Warburton R, Goto J, Robert B, Kwiatkowski DJ, Finlay GA. Smooth muscle protein-22-mediated deletion of Tsc1 results in cardiac hypertrophy that is mTORC1-mediated and reversed by rapamycin. Hum Mol Genet 2011; 20:1290–305. </w:t>
      </w:r>
    </w:p>
    <w:p w14:paraId="5575DE98"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11. </w:t>
      </w:r>
      <w:r w:rsidRPr="00B20079">
        <w:rPr>
          <w:rFonts w:ascii="Garamond" w:eastAsia="Times New Roman" w:hAnsi="Garamond" w:cs="Times New Roman"/>
          <w:noProof/>
        </w:rPr>
        <w:tab/>
        <w:t xml:space="preserve">Hatfield I, Harvey I, Yates ER, Redd JR, Reiter LT, Bridges D. The role of TORC1 in muscle development in Drosophila. Sci Rep 2015; 5:9676. </w:t>
      </w:r>
    </w:p>
    <w:p w14:paraId="25E94064"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12. </w:t>
      </w:r>
      <w:r w:rsidRPr="00B20079">
        <w:rPr>
          <w:rFonts w:ascii="Garamond" w:eastAsia="Times New Roman" w:hAnsi="Garamond" w:cs="Times New Roman"/>
          <w:noProof/>
        </w:rPr>
        <w:tab/>
        <w:t xml:space="preserve">Luo L, Joyce Liao Y, Jan LY, Jan YN. Distinct morphogenetic functions of similar small GTPases: Drosophila Drac1 is involved in axonal outgrowth and myoblast fusion. Genes Dev 1994; 8:1787–802. </w:t>
      </w:r>
    </w:p>
    <w:p w14:paraId="005807A3"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13. </w:t>
      </w:r>
      <w:r w:rsidRPr="00B20079">
        <w:rPr>
          <w:rFonts w:ascii="Garamond" w:eastAsia="Times New Roman" w:hAnsi="Garamond" w:cs="Times New Roman"/>
          <w:noProof/>
        </w:rPr>
        <w:tab/>
        <w:t xml:space="preserve">Han Z, Yi P, Li X, Olson EN. Hand, an evolutionarily conserved bHLH transcription factor required for Drosophila cardiogenesis and hematopoiesis. Development 2006; 133:1175–82. </w:t>
      </w:r>
    </w:p>
    <w:p w14:paraId="4C299A62"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14. </w:t>
      </w:r>
      <w:r w:rsidRPr="00B20079">
        <w:rPr>
          <w:rFonts w:ascii="Garamond" w:eastAsia="Times New Roman" w:hAnsi="Garamond" w:cs="Times New Roman"/>
          <w:noProof/>
        </w:rPr>
        <w:tab/>
        <w:t xml:space="preserve">Rantanen T, Harris T, Leveille SG, Visser M, Foley D, Masaki K, Guralnik JM. Muscle strength and body mass index as long-term predictors of mortality in initially healthy men. J Gerontol A Biol Sci Med Sci 2000; 55:M168–73. </w:t>
      </w:r>
    </w:p>
    <w:p w14:paraId="731474D8"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15. </w:t>
      </w:r>
      <w:r w:rsidRPr="00B20079">
        <w:rPr>
          <w:rFonts w:ascii="Garamond" w:eastAsia="Times New Roman" w:hAnsi="Garamond" w:cs="Times New Roman"/>
          <w:noProof/>
        </w:rPr>
        <w:tab/>
        <w:t xml:space="preserve">Ling CHY, Taekema D, De Craen AJM, Gussekloo J, Westendorp RGJ, Maier AB. Handgrip strength and mortality in the oldest old population: The Leiden 85-plus study. Cmaj 2010; 182:429–35. </w:t>
      </w:r>
    </w:p>
    <w:p w14:paraId="72D3897D"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16. </w:t>
      </w:r>
      <w:r w:rsidRPr="00B20079">
        <w:rPr>
          <w:rFonts w:ascii="Garamond" w:eastAsia="Times New Roman" w:hAnsi="Garamond" w:cs="Times New Roman"/>
          <w:noProof/>
        </w:rPr>
        <w:tab/>
        <w:t xml:space="preserve">Sasaki H, Kasagi F, Yamada M, Fujita S. Grip strength predicts cause-specific mortality in middle-aged and elderly persons. Am J Med 2007; 120:337–42. </w:t>
      </w:r>
    </w:p>
    <w:p w14:paraId="384E668A"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17. </w:t>
      </w:r>
      <w:r w:rsidRPr="00B20079">
        <w:rPr>
          <w:rFonts w:ascii="Garamond" w:eastAsia="Times New Roman" w:hAnsi="Garamond" w:cs="Times New Roman"/>
          <w:noProof/>
        </w:rPr>
        <w:tab/>
        <w:t xml:space="preserve">Gale CR, Martyn CN, Cooper C, Sayer AA. Grip strength, body composition, and mortality. Int J Epidemiol 2007; 36:228–35. </w:t>
      </w:r>
    </w:p>
    <w:p w14:paraId="32C085CA"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18. </w:t>
      </w:r>
      <w:r w:rsidRPr="00B20079">
        <w:rPr>
          <w:rFonts w:ascii="Garamond" w:eastAsia="Times New Roman" w:hAnsi="Garamond" w:cs="Times New Roman"/>
          <w:noProof/>
        </w:rPr>
        <w:tab/>
        <w:t xml:space="preserve">Rantanen T, Volpato S, Ferrucci L, Heikkinen E, Fried LP, Guralnik JM. Handgrip strength and cause-specific and total mortality in older disabled women: exploring the mechanism. J Am Geriatr Soc 2003; 51:636–41. </w:t>
      </w:r>
    </w:p>
    <w:p w14:paraId="1ED95F11"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19. </w:t>
      </w:r>
      <w:r w:rsidRPr="00B20079">
        <w:rPr>
          <w:rFonts w:ascii="Garamond" w:eastAsia="Times New Roman" w:hAnsi="Garamond" w:cs="Times New Roman"/>
          <w:noProof/>
        </w:rPr>
        <w:tab/>
        <w:t xml:space="preserve">Metter EJ, Talbot L a, Schrager M, Conwit R. Skeletal muscle strength as a predictor of all-cause mortality in healthy men. J Gerontol A Biol Sci Med Sci 2002; 57:B359–65. </w:t>
      </w:r>
    </w:p>
    <w:p w14:paraId="1420C9FF"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20. </w:t>
      </w:r>
      <w:r w:rsidRPr="00B20079">
        <w:rPr>
          <w:rFonts w:ascii="Garamond" w:eastAsia="Times New Roman" w:hAnsi="Garamond" w:cs="Times New Roman"/>
          <w:noProof/>
        </w:rPr>
        <w:tab/>
        <w:t xml:space="preserve">Suh Y, Atzmon G, Cho M-O, Hwang D, Liu B, Leahy DJ, Barzilai N, Cohen P. Functionally significant insulin-like growth factor I receptor mutations in centenarians. Proc Natl Acad Sci U S A 2008; 105:3438–42. </w:t>
      </w:r>
    </w:p>
    <w:p w14:paraId="48F205AA"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21. </w:t>
      </w:r>
      <w:r w:rsidRPr="00B20079">
        <w:rPr>
          <w:rFonts w:ascii="Garamond" w:eastAsia="Times New Roman" w:hAnsi="Garamond" w:cs="Times New Roman"/>
          <w:noProof/>
        </w:rPr>
        <w:tab/>
        <w:t xml:space="preserve">Pawlikowska L, Hu D, Huntsman S, Sung A, Chu C, Chen J, Joyner AH, Schork NJ, Hsueh W-CC, Reiner AP, et al. Association of common genetic variation in the insulin/IGF1 signaling pathway with human longevity. Aging Cell 2009; 8:460–72. </w:t>
      </w:r>
    </w:p>
    <w:p w14:paraId="07D03649"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22. </w:t>
      </w:r>
      <w:r w:rsidRPr="00B20079">
        <w:rPr>
          <w:rFonts w:ascii="Garamond" w:eastAsia="Times New Roman" w:hAnsi="Garamond" w:cs="Times New Roman"/>
          <w:noProof/>
        </w:rPr>
        <w:tab/>
        <w:t xml:space="preserve">Willcox BJ, Donlon T a, He Q, Chen R, Grove JS, Yano K, Masaki KH, Willcox DC, Rodriguez B, Curb JD. FOXO3A genotype is strongly associated with human longevity. Proc Natl Acad Sci U S A 2008; 105:13987–92. </w:t>
      </w:r>
    </w:p>
    <w:p w14:paraId="59BF34BB"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23. </w:t>
      </w:r>
      <w:r w:rsidRPr="00B20079">
        <w:rPr>
          <w:rFonts w:ascii="Garamond" w:eastAsia="Times New Roman" w:hAnsi="Garamond" w:cs="Times New Roman"/>
          <w:noProof/>
        </w:rPr>
        <w:tab/>
        <w:t xml:space="preserve">Bao J-M, Song X-L, Hong Y-Q, Zhu H-L, Li C, Zhang T, Chen W, Zhao S-C, Chen Q. Association between FOXO3A gene polymorphisms and human longevity: a meta-analysis. Asian J Androl 2014; 16:446–52. </w:t>
      </w:r>
    </w:p>
    <w:p w14:paraId="1756DC34"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24. </w:t>
      </w:r>
      <w:r w:rsidRPr="00B20079">
        <w:rPr>
          <w:rFonts w:ascii="Garamond" w:eastAsia="Times New Roman" w:hAnsi="Garamond" w:cs="Times New Roman"/>
          <w:noProof/>
        </w:rPr>
        <w:tab/>
        <w:t xml:space="preserve">Anselmi CV, Malovini A, Roncarati R, Novelli V, Villa F, Condorelli G, Bellazzi R, Puca AA. Association of the FOXO3A locus with extreme longevity in a southern Italian centenarian study. Rejuvenation Res 2009; 12:95–104. </w:t>
      </w:r>
    </w:p>
    <w:p w14:paraId="7A4A6A70"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25. </w:t>
      </w:r>
      <w:r w:rsidRPr="00B20079">
        <w:rPr>
          <w:rFonts w:ascii="Garamond" w:eastAsia="Times New Roman" w:hAnsi="Garamond" w:cs="Times New Roman"/>
          <w:noProof/>
        </w:rPr>
        <w:tab/>
        <w:t xml:space="preserve">Flachsbart F, Caliebe A, Kleindorp R, Blanché H, von Eller-Eberstein H, Nikolaus S, Schreiber S, Nebel A. Association of FOXO3A variation with human longevity confirmed in German centenarians. Proc Natl Acad Sci U S A 2009; 106:2700–5. </w:t>
      </w:r>
    </w:p>
    <w:p w14:paraId="13E249B2"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26. </w:t>
      </w:r>
      <w:r w:rsidRPr="00B20079">
        <w:rPr>
          <w:rFonts w:ascii="Garamond" w:eastAsia="Times New Roman" w:hAnsi="Garamond" w:cs="Times New Roman"/>
          <w:noProof/>
        </w:rPr>
        <w:tab/>
        <w:t xml:space="preserve">Li Y, Wang WJ, Cao H, Lu J, Wu C, Hu FY, Guo J, Zhao L, Yang F, Zhang YX, et al. Genetic association of FOXO1A and FOXO3A with longevity trait in Han Chinese populations. Hum Mol Genet 2009; 18:4897–904. </w:t>
      </w:r>
    </w:p>
    <w:p w14:paraId="6B31E0A4"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27. </w:t>
      </w:r>
      <w:r w:rsidRPr="00B20079">
        <w:rPr>
          <w:rFonts w:ascii="Garamond" w:eastAsia="Times New Roman" w:hAnsi="Garamond" w:cs="Times New Roman"/>
          <w:noProof/>
        </w:rPr>
        <w:tab/>
        <w:t xml:space="preserve">Soerensen M, Dato S, Christensen K, McGue M, Stevnsner T, Bohr V a., Christiansen L. Replication of an association of variation in the FOXO3A gene with human longevity using both case-control and longitudinal data. Aging Cell 2010; 9:1010–7. </w:t>
      </w:r>
    </w:p>
    <w:p w14:paraId="7383EF82"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28. </w:t>
      </w:r>
      <w:r w:rsidRPr="00B20079">
        <w:rPr>
          <w:rFonts w:ascii="Garamond" w:eastAsia="Times New Roman" w:hAnsi="Garamond" w:cs="Times New Roman"/>
          <w:noProof/>
        </w:rPr>
        <w:tab/>
        <w:t xml:space="preserve">Giannakou ME, Goss M, Jünger MA, Hafen E, Leevers SJ, Partridge L. Long-lived Drosophila with overexpressed dFOXO in adult fat body. Science (80- ) 2004; 305:361. </w:t>
      </w:r>
    </w:p>
    <w:p w14:paraId="278838DA"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29. </w:t>
      </w:r>
      <w:r w:rsidRPr="00B20079">
        <w:rPr>
          <w:rFonts w:ascii="Garamond" w:eastAsia="Times New Roman" w:hAnsi="Garamond" w:cs="Times New Roman"/>
          <w:noProof/>
        </w:rPr>
        <w:tab/>
        <w:t xml:space="preserve">Hwangbo DS, Gershman B, Tu M-P, Palmer M, Tatar M. Drosophila dFOXO controls lifespan and regulates insulin signalling in brain and fat body. Nature 2004; 429:562–6. </w:t>
      </w:r>
    </w:p>
    <w:p w14:paraId="2FF9C8F4"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30. </w:t>
      </w:r>
      <w:r w:rsidRPr="00B20079">
        <w:rPr>
          <w:rFonts w:ascii="Garamond" w:eastAsia="Times New Roman" w:hAnsi="Garamond" w:cs="Times New Roman"/>
          <w:noProof/>
        </w:rPr>
        <w:tab/>
        <w:t xml:space="preserve">Milan G, Romanello V, Pescatore F, Armani A, Paik J-H, Frasson L, Seydel A, Zhao J, Abraham R, Goldberg AL, et al. Regulation of autophagy and the ubiquitin-proteasome system by the FoxO transcriptional network during muscle atrophy. Nat Commun 2015; 6:6670. </w:t>
      </w:r>
    </w:p>
    <w:p w14:paraId="1C9F169A"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31. </w:t>
      </w:r>
      <w:r w:rsidRPr="00B20079">
        <w:rPr>
          <w:rFonts w:ascii="Garamond" w:eastAsia="Times New Roman" w:hAnsi="Garamond" w:cs="Times New Roman"/>
          <w:noProof/>
        </w:rPr>
        <w:tab/>
        <w:t xml:space="preserve">Demontis F, Perrimon N. FOXO/4E-BP signaling in Drosophila muscles regulates organism-wide proteostasis during aging. Cell 2010; 143:813–25. </w:t>
      </w:r>
    </w:p>
    <w:p w14:paraId="1E32E33F" w14:textId="77777777" w:rsidR="00B20079" w:rsidRPr="00B20079" w:rsidRDefault="00B20079" w:rsidP="00B20079">
      <w:pPr>
        <w:widowControl w:val="0"/>
        <w:autoSpaceDE w:val="0"/>
        <w:autoSpaceDN w:val="0"/>
        <w:adjustRightInd w:val="0"/>
        <w:ind w:left="640" w:hanging="640"/>
        <w:rPr>
          <w:rFonts w:ascii="Garamond" w:hAnsi="Garamond"/>
          <w:noProof/>
        </w:rPr>
      </w:pPr>
      <w:r w:rsidRPr="00B20079">
        <w:rPr>
          <w:rFonts w:ascii="Garamond" w:eastAsia="Times New Roman" w:hAnsi="Garamond" w:cs="Times New Roman"/>
          <w:noProof/>
        </w:rPr>
        <w:t xml:space="preserve">32. </w:t>
      </w:r>
      <w:r w:rsidRPr="00B20079">
        <w:rPr>
          <w:rFonts w:ascii="Garamond" w:eastAsia="Times New Roman" w:hAnsi="Garamond" w:cs="Times New Roman"/>
          <w:noProof/>
        </w:rPr>
        <w:tab/>
        <w:t xml:space="preserve">Solon-Biet SM, McMahon AC, Ballard JWO, Ruohonen K, Wu LE, Cogger VC, Warren A, Huang X, Pichaud N, Melvin RG, et al. The ratio of macronutrients, not caloric intake, dictates cardiometabolic health, aging, and longevity in ad libitum-fed mice. Cell Metab 2014; 19:418–30. </w:t>
      </w:r>
    </w:p>
    <w:p w14:paraId="1CA06D1E" w14:textId="50730DE4" w:rsidR="00510F88" w:rsidRPr="00510F88" w:rsidRDefault="00490316" w:rsidP="00B20079">
      <w:pPr>
        <w:widowControl w:val="0"/>
        <w:autoSpaceDE w:val="0"/>
        <w:autoSpaceDN w:val="0"/>
        <w:adjustRightInd w:val="0"/>
        <w:ind w:left="640" w:hanging="640"/>
      </w:pPr>
      <w:r>
        <w:fldChar w:fldCharType="end"/>
      </w:r>
    </w:p>
    <w:sectPr w:rsidR="00510F88" w:rsidRPr="00510F88" w:rsidSect="00E14D2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2-17T15:53:00Z" w:initials="DB">
    <w:p w14:paraId="5186E898" w14:textId="77777777" w:rsidR="004243D2" w:rsidRDefault="004243D2">
      <w:pPr>
        <w:pStyle w:val="CommentText"/>
      </w:pPr>
      <w:r>
        <w:rPr>
          <w:rStyle w:val="CommentReference"/>
        </w:rPr>
        <w:annotationRef/>
      </w:r>
      <w:r>
        <w:t>Find food for UM animal core</w:t>
      </w:r>
    </w:p>
  </w:comment>
  <w:comment w:id="1" w:author="Dave Bridges" w:date="2016-02-17T16:20:00Z" w:initials="DB">
    <w:p w14:paraId="5333D16D" w14:textId="45928E4F" w:rsidR="004243D2" w:rsidRDefault="004243D2">
      <w:pPr>
        <w:pStyle w:val="CommentText"/>
      </w:pPr>
      <w:r>
        <w:rPr>
          <w:rStyle w:val="CommentReference"/>
        </w:rPr>
        <w:annotationRef/>
      </w:r>
      <w:r>
        <w:t>Need catalog numbers</w:t>
      </w:r>
    </w:p>
  </w:comment>
  <w:comment w:id="3" w:author="Dave Bridges" w:date="2016-02-24T16:25:00Z" w:initials="DB">
    <w:p w14:paraId="7E482D9F" w14:textId="6EF921CC" w:rsidR="004243D2" w:rsidRDefault="004243D2">
      <w:pPr>
        <w:pStyle w:val="CommentText"/>
      </w:pPr>
      <w:r>
        <w:rPr>
          <w:rStyle w:val="CommentReference"/>
        </w:rPr>
        <w:annotationRef/>
      </w:r>
      <w:r>
        <w:t>Need to do</w:t>
      </w:r>
    </w:p>
  </w:comment>
  <w:comment w:id="4" w:author="Dave Bridges" w:date="2016-02-24T16:25:00Z" w:initials="DB">
    <w:p w14:paraId="1F7CA2A4" w14:textId="1B92C5FB" w:rsidR="004243D2" w:rsidRDefault="004243D2">
      <w:pPr>
        <w:pStyle w:val="CommentText"/>
      </w:pPr>
      <w:r>
        <w:rPr>
          <w:rStyle w:val="CommentReference"/>
        </w:rPr>
        <w:annotationRef/>
      </w:r>
      <w:r>
        <w:t>Need this figure</w:t>
      </w:r>
    </w:p>
  </w:comment>
  <w:comment w:id="5" w:author="Dave Bridges" w:date="2016-10-23T08:29:00Z" w:initials="DB">
    <w:p w14:paraId="392459BC" w14:textId="16F0E82F" w:rsidR="00D71604" w:rsidRDefault="00D71604">
      <w:pPr>
        <w:pStyle w:val="CommentText"/>
      </w:pPr>
      <w:r>
        <w:rPr>
          <w:rStyle w:val="CommentReference"/>
        </w:rPr>
        <w:annotationRef/>
      </w:r>
      <w:r>
        <w:t>Finish this bit</w:t>
      </w:r>
    </w:p>
  </w:comment>
  <w:comment w:id="6" w:author="Dave Bridges" w:date="2016-02-17T16:22:00Z" w:initials="DB">
    <w:p w14:paraId="4F1C9F57" w14:textId="77777777" w:rsidR="004243D2" w:rsidRDefault="004243D2" w:rsidP="00984EF2">
      <w:pPr>
        <w:pStyle w:val="CommentText"/>
      </w:pPr>
      <w:r>
        <w:rPr>
          <w:rStyle w:val="CommentReference"/>
        </w:rPr>
        <w:annotationRef/>
      </w:r>
      <w:r>
        <w:t>Larry and Alan please include your funding information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86E898" w15:done="0"/>
  <w15:commentEx w15:paraId="5333D16D" w15:done="0"/>
  <w15:commentEx w15:paraId="7E482D9F" w15:done="0"/>
  <w15:commentEx w15:paraId="1F7CA2A4" w15:done="0"/>
  <w15:commentEx w15:paraId="392459BC" w15:done="0"/>
  <w15:commentEx w15:paraId="4F1C9F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EB2DD" w14:textId="77777777" w:rsidR="00E11182" w:rsidRDefault="00E11182" w:rsidP="00510F88">
      <w:r>
        <w:separator/>
      </w:r>
    </w:p>
  </w:endnote>
  <w:endnote w:type="continuationSeparator" w:id="0">
    <w:p w14:paraId="51D86CE5" w14:textId="77777777" w:rsidR="00E11182" w:rsidRDefault="00E11182" w:rsidP="0051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593E4" w14:textId="77777777" w:rsidR="00E11182" w:rsidRDefault="00E11182" w:rsidP="00510F88">
      <w:r>
        <w:separator/>
      </w:r>
    </w:p>
  </w:footnote>
  <w:footnote w:type="continuationSeparator" w:id="0">
    <w:p w14:paraId="0EB88F0B" w14:textId="77777777" w:rsidR="00E11182" w:rsidRDefault="00E11182" w:rsidP="00510F88">
      <w:r>
        <w:continuationSeparator/>
      </w:r>
    </w:p>
  </w:footnote>
  <w:footnote w:id="1">
    <w:p w14:paraId="14C8D38D" w14:textId="77777777" w:rsidR="004243D2" w:rsidRDefault="004243D2">
      <w:pPr>
        <w:pStyle w:val="FootnoteText"/>
      </w:pPr>
      <w:r w:rsidRPr="00AF0331">
        <w:rPr>
          <w:rStyle w:val="FootnoteReference"/>
        </w:rPr>
        <w:footnoteRef/>
      </w:r>
      <w:r>
        <w:t xml:space="preserve"> Department of Physiology, University of Tennessee Health Science Center</w:t>
      </w:r>
    </w:p>
  </w:footnote>
  <w:footnote w:id="2">
    <w:p w14:paraId="72A9CB9E" w14:textId="06B70DA0" w:rsidR="00A46FDD" w:rsidRDefault="00A46FDD">
      <w:pPr>
        <w:pStyle w:val="FootnoteText"/>
      </w:pPr>
      <w:r w:rsidRPr="00AF0331">
        <w:rPr>
          <w:rStyle w:val="FootnoteReference"/>
        </w:rPr>
        <w:footnoteRef/>
      </w:r>
      <w:r>
        <w:t xml:space="preserve"> Department of Pediatrics, University of Tennessee Health Science Center</w:t>
      </w:r>
    </w:p>
  </w:footnote>
  <w:footnote w:id="3">
    <w:p w14:paraId="776885BC" w14:textId="77777777" w:rsidR="004243D2" w:rsidRDefault="004243D2" w:rsidP="00510F88">
      <w:pPr>
        <w:pStyle w:val="FootnoteText"/>
      </w:pPr>
      <w:r w:rsidRPr="00AF0331">
        <w:rPr>
          <w:rStyle w:val="FootnoteReference"/>
        </w:rPr>
        <w:footnoteRef/>
      </w:r>
      <w:r>
        <w:t xml:space="preserve"> Life Sciences Institute, University of Michigan, Ann Arbor</w:t>
      </w:r>
    </w:p>
  </w:footnote>
  <w:footnote w:id="4">
    <w:p w14:paraId="5B76B4D6" w14:textId="3B6CF124" w:rsidR="00A46FDD" w:rsidRDefault="00A46FDD">
      <w:pPr>
        <w:pStyle w:val="FootnoteText"/>
      </w:pPr>
      <w:r w:rsidRPr="00AF0331">
        <w:rPr>
          <w:rStyle w:val="FootnoteReference"/>
        </w:rPr>
        <w:footnoteRef/>
      </w:r>
      <w:r>
        <w:t xml:space="preserve"> Department of Nutritional Sciences, University of Michigan School of Public Health, Ann Arbor</w:t>
      </w:r>
    </w:p>
  </w:footnote>
  <w:footnote w:id="5">
    <w:p w14:paraId="7FDF825E" w14:textId="77777777" w:rsidR="004243D2" w:rsidRDefault="004243D2">
      <w:pPr>
        <w:pStyle w:val="FootnoteText"/>
      </w:pPr>
      <w:r w:rsidRPr="00AF0331">
        <w:rPr>
          <w:rStyle w:val="FootnoteReference"/>
        </w:rPr>
        <w:footnoteRef/>
      </w:r>
      <w:r>
        <w:t xml:space="preserve"> Division of Endocrinology and Metabolism, University of California San Diego</w:t>
      </w:r>
    </w:p>
  </w:footnote>
  <w:footnote w:id="6">
    <w:p w14:paraId="3C9940C4" w14:textId="77777777" w:rsidR="004243D2" w:rsidRDefault="004243D2" w:rsidP="00510F88">
      <w:pPr>
        <w:pStyle w:val="FootnoteText"/>
      </w:pPr>
      <w:r w:rsidRPr="00AF0331">
        <w:rPr>
          <w:rStyle w:val="FootnoteReference"/>
        </w:rPr>
        <w:footnoteRef/>
      </w:r>
      <w:r>
        <w:t xml:space="preserve"> Department of Neurology, University of Tennessee Health Science Center</w:t>
      </w:r>
    </w:p>
  </w:footnote>
  <w:footnote w:id="7">
    <w:p w14:paraId="38F47617" w14:textId="2DC9D409" w:rsidR="00A46FDD" w:rsidRDefault="00A46FDD">
      <w:pPr>
        <w:pStyle w:val="FootnoteText"/>
      </w:pPr>
      <w:r w:rsidRPr="00AF0331">
        <w:rPr>
          <w:rStyle w:val="FootnoteReference"/>
        </w:rPr>
        <w:footnoteRef/>
      </w:r>
      <w:r>
        <w:t xml:space="preserve"> Corresponding Author Email: davebrid@umich.edu</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BC"/>
    <w:rsid w:val="0001215A"/>
    <w:rsid w:val="000B139C"/>
    <w:rsid w:val="001055BB"/>
    <w:rsid w:val="001341E2"/>
    <w:rsid w:val="00136D82"/>
    <w:rsid w:val="00167EA6"/>
    <w:rsid w:val="002003D4"/>
    <w:rsid w:val="002021EB"/>
    <w:rsid w:val="0025688C"/>
    <w:rsid w:val="00291985"/>
    <w:rsid w:val="002B3D9F"/>
    <w:rsid w:val="002B6CFE"/>
    <w:rsid w:val="00335A63"/>
    <w:rsid w:val="0034064A"/>
    <w:rsid w:val="003675EC"/>
    <w:rsid w:val="003B0C75"/>
    <w:rsid w:val="0041032E"/>
    <w:rsid w:val="004243D2"/>
    <w:rsid w:val="004333C7"/>
    <w:rsid w:val="00442B86"/>
    <w:rsid w:val="00467300"/>
    <w:rsid w:val="004744D9"/>
    <w:rsid w:val="00490316"/>
    <w:rsid w:val="004E4FCA"/>
    <w:rsid w:val="00510F88"/>
    <w:rsid w:val="00537E3B"/>
    <w:rsid w:val="00620634"/>
    <w:rsid w:val="006A7CAB"/>
    <w:rsid w:val="006A7EEF"/>
    <w:rsid w:val="006F2B7D"/>
    <w:rsid w:val="00703BEF"/>
    <w:rsid w:val="00731DA6"/>
    <w:rsid w:val="007A5FBA"/>
    <w:rsid w:val="00814DE4"/>
    <w:rsid w:val="00832132"/>
    <w:rsid w:val="008E3571"/>
    <w:rsid w:val="0092334C"/>
    <w:rsid w:val="00923401"/>
    <w:rsid w:val="00941925"/>
    <w:rsid w:val="00965029"/>
    <w:rsid w:val="00984EF2"/>
    <w:rsid w:val="009B6F2D"/>
    <w:rsid w:val="009D18DB"/>
    <w:rsid w:val="00A03E5F"/>
    <w:rsid w:val="00A268CE"/>
    <w:rsid w:val="00A34EF3"/>
    <w:rsid w:val="00A4361E"/>
    <w:rsid w:val="00A46FDD"/>
    <w:rsid w:val="00A63434"/>
    <w:rsid w:val="00A7362C"/>
    <w:rsid w:val="00AC04C1"/>
    <w:rsid w:val="00AC4E5F"/>
    <w:rsid w:val="00AC7513"/>
    <w:rsid w:val="00AD0153"/>
    <w:rsid w:val="00AF0331"/>
    <w:rsid w:val="00AF73B4"/>
    <w:rsid w:val="00B155E0"/>
    <w:rsid w:val="00B20079"/>
    <w:rsid w:val="00B57BCA"/>
    <w:rsid w:val="00B756F2"/>
    <w:rsid w:val="00BE1F90"/>
    <w:rsid w:val="00BE5F2D"/>
    <w:rsid w:val="00C167B8"/>
    <w:rsid w:val="00C21557"/>
    <w:rsid w:val="00C937F0"/>
    <w:rsid w:val="00CB1C98"/>
    <w:rsid w:val="00CC0A2D"/>
    <w:rsid w:val="00CC52BC"/>
    <w:rsid w:val="00CF26EC"/>
    <w:rsid w:val="00D71604"/>
    <w:rsid w:val="00DB6289"/>
    <w:rsid w:val="00E05E0F"/>
    <w:rsid w:val="00E11182"/>
    <w:rsid w:val="00E14D2A"/>
    <w:rsid w:val="00E93522"/>
    <w:rsid w:val="00EA5D37"/>
    <w:rsid w:val="00EA7BF1"/>
    <w:rsid w:val="00EE2946"/>
    <w:rsid w:val="00F03805"/>
    <w:rsid w:val="00F81BF8"/>
    <w:rsid w:val="00F82FED"/>
    <w:rsid w:val="00F83DF2"/>
    <w:rsid w:val="00F91467"/>
    <w:rsid w:val="00FA2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3EB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EB"/>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832132"/>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8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510F88"/>
    <w:rPr>
      <w:rFonts w:asciiTheme="majorHAnsi" w:eastAsiaTheme="majorEastAsia" w:hAnsiTheme="majorHAnsi" w:cstheme="majorBidi"/>
      <w:color w:val="343437" w:themeColor="text2" w:themeShade="BF"/>
      <w:spacing w:val="5"/>
      <w:kern w:val="28"/>
      <w:sz w:val="52"/>
      <w:szCs w:val="52"/>
    </w:rPr>
  </w:style>
  <w:style w:type="paragraph" w:styleId="FootnoteText">
    <w:name w:val="footnote text"/>
    <w:basedOn w:val="Normal"/>
    <w:link w:val="FootnoteTextChar"/>
    <w:uiPriority w:val="99"/>
    <w:unhideWhenUsed/>
    <w:rsid w:val="00510F88"/>
  </w:style>
  <w:style w:type="character" w:customStyle="1" w:styleId="FootnoteTextChar">
    <w:name w:val="Footnote Text Char"/>
    <w:basedOn w:val="DefaultParagraphFont"/>
    <w:link w:val="FootnoteText"/>
    <w:uiPriority w:val="99"/>
    <w:rsid w:val="00510F88"/>
  </w:style>
  <w:style w:type="character" w:styleId="FootnoteReference">
    <w:name w:val="footnote reference"/>
    <w:basedOn w:val="DefaultParagraphFont"/>
    <w:uiPriority w:val="99"/>
    <w:unhideWhenUsed/>
    <w:rsid w:val="00510F88"/>
    <w:rPr>
      <w:vertAlign w:val="superscript"/>
    </w:rPr>
  </w:style>
  <w:style w:type="character" w:styleId="Hyperlink">
    <w:name w:val="Hyperlink"/>
    <w:basedOn w:val="DefaultParagraphFont"/>
    <w:uiPriority w:val="99"/>
    <w:unhideWhenUsed/>
    <w:rsid w:val="002021EB"/>
    <w:rPr>
      <w:color w:val="67AABF" w:themeColor="hyperlink"/>
      <w:u w:val="single"/>
    </w:rPr>
  </w:style>
  <w:style w:type="character" w:customStyle="1" w:styleId="Heading1Char">
    <w:name w:val="Heading 1 Char"/>
    <w:basedOn w:val="DefaultParagraphFont"/>
    <w:link w:val="Heading1"/>
    <w:uiPriority w:val="9"/>
    <w:rsid w:val="002021EB"/>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832132"/>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4E4FCA"/>
    <w:rPr>
      <w:sz w:val="18"/>
      <w:szCs w:val="18"/>
    </w:rPr>
  </w:style>
  <w:style w:type="paragraph" w:styleId="CommentText">
    <w:name w:val="annotation text"/>
    <w:basedOn w:val="Normal"/>
    <w:link w:val="CommentTextChar"/>
    <w:uiPriority w:val="99"/>
    <w:semiHidden/>
    <w:unhideWhenUsed/>
    <w:rsid w:val="004E4FCA"/>
  </w:style>
  <w:style w:type="character" w:customStyle="1" w:styleId="CommentTextChar">
    <w:name w:val="Comment Text Char"/>
    <w:basedOn w:val="DefaultParagraphFont"/>
    <w:link w:val="CommentText"/>
    <w:uiPriority w:val="99"/>
    <w:semiHidden/>
    <w:rsid w:val="004E4FCA"/>
  </w:style>
  <w:style w:type="paragraph" w:styleId="CommentSubject">
    <w:name w:val="annotation subject"/>
    <w:basedOn w:val="CommentText"/>
    <w:next w:val="CommentText"/>
    <w:link w:val="CommentSubjectChar"/>
    <w:uiPriority w:val="99"/>
    <w:semiHidden/>
    <w:unhideWhenUsed/>
    <w:rsid w:val="004E4FCA"/>
    <w:rPr>
      <w:b/>
      <w:bCs/>
      <w:sz w:val="20"/>
      <w:szCs w:val="20"/>
    </w:rPr>
  </w:style>
  <w:style w:type="character" w:customStyle="1" w:styleId="CommentSubjectChar">
    <w:name w:val="Comment Subject Char"/>
    <w:basedOn w:val="CommentTextChar"/>
    <w:link w:val="CommentSubject"/>
    <w:uiPriority w:val="99"/>
    <w:semiHidden/>
    <w:rsid w:val="004E4FCA"/>
    <w:rPr>
      <w:b/>
      <w:bCs/>
      <w:sz w:val="20"/>
      <w:szCs w:val="20"/>
    </w:rPr>
  </w:style>
  <w:style w:type="paragraph" w:styleId="BalloonText">
    <w:name w:val="Balloon Text"/>
    <w:basedOn w:val="Normal"/>
    <w:link w:val="BalloonTextChar"/>
    <w:uiPriority w:val="99"/>
    <w:semiHidden/>
    <w:unhideWhenUsed/>
    <w:rsid w:val="004E4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FCA"/>
    <w:rPr>
      <w:rFonts w:ascii="Lucida Grande" w:hAnsi="Lucida Grande"/>
      <w:sz w:val="18"/>
      <w:szCs w:val="18"/>
    </w:rPr>
  </w:style>
  <w:style w:type="paragraph" w:styleId="BodyText">
    <w:name w:val="Body Text"/>
    <w:basedOn w:val="Normal"/>
    <w:link w:val="BodyTextChar"/>
    <w:uiPriority w:val="99"/>
    <w:semiHidden/>
    <w:unhideWhenUsed/>
    <w:rsid w:val="00CB1C98"/>
    <w:pPr>
      <w:spacing w:after="120"/>
    </w:pPr>
  </w:style>
  <w:style w:type="character" w:customStyle="1" w:styleId="BodyTextChar">
    <w:name w:val="Body Text Char"/>
    <w:basedOn w:val="DefaultParagraphFont"/>
    <w:link w:val="BodyText"/>
    <w:uiPriority w:val="99"/>
    <w:semiHidden/>
    <w:rsid w:val="00CB1C98"/>
  </w:style>
  <w:style w:type="character" w:styleId="EndnoteReference">
    <w:name w:val="endnote reference"/>
    <w:basedOn w:val="DefaultParagraphFont"/>
    <w:uiPriority w:val="99"/>
    <w:semiHidden/>
    <w:unhideWhenUsed/>
    <w:rsid w:val="00AF03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098309">
      <w:bodyDiv w:val="1"/>
      <w:marLeft w:val="0"/>
      <w:marRight w:val="0"/>
      <w:marTop w:val="0"/>
      <w:marBottom w:val="0"/>
      <w:divBdr>
        <w:top w:val="none" w:sz="0" w:space="0" w:color="auto"/>
        <w:left w:val="none" w:sz="0" w:space="0" w:color="auto"/>
        <w:bottom w:val="none" w:sz="0" w:space="0" w:color="auto"/>
        <w:right w:val="none" w:sz="0" w:space="0" w:color="auto"/>
      </w:divBdr>
    </w:div>
    <w:div w:id="1784229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18970</Words>
  <Characters>108130</Characters>
  <Application>Microsoft Macintosh Word</Application>
  <DocSecurity>0</DocSecurity>
  <Lines>901</Lines>
  <Paragraphs>253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Abstract</vt:lpstr>
      <vt:lpstr/>
      <vt:lpstr>Introduction</vt:lpstr>
      <vt:lpstr/>
      <vt:lpstr>Methods and Materials</vt:lpstr>
      <vt:lpstr>    Animal Housing and Procedures</vt:lpstr>
      <vt:lpstr>    Drosophila Breeding and Maintenance</vt:lpstr>
      <vt:lpstr>    Western Blotting</vt:lpstr>
      <vt:lpstr>    Statistics</vt:lpstr>
      <vt:lpstr>Results</vt:lpstr>
      <vt:lpstr>    Deletion of Tsc1 in muscle tissue causes shortened lifespan and increased autoph</vt:lpstr>
      <vt:lpstr>    Knockdown of Tsc1 in drosophila muscle tissue reduces lifespan</vt:lpstr>
      <vt:lpstr>Knockdown of Atg8a in fly muscles reduces lifespan</vt:lpstr>
      <vt:lpstr>Discussion </vt:lpstr>
    </vt:vector>
  </TitlesOfParts>
  <Company>UT-HSC</Company>
  <LinksUpToDate>false</LinksUpToDate>
  <CharactersWithSpaces>126847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34</cp:revision>
  <dcterms:created xsi:type="dcterms:W3CDTF">2016-02-17T21:22:00Z</dcterms:created>
  <dcterms:modified xsi:type="dcterms:W3CDTF">2016-10-23T14:56:00Z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http://www.zotero.org/styles/autophagy</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http://www.zotero.org/styles/autophagy</vt:lpwstr>
  </property>
  <property fmtid="{D5CDD505-2E9C-101B-9397-08002B2CF9AE}" pid="9" name="Mendeley Recent Style Name 2_1">
    <vt:lpwstr>Autophagy</vt:lpwstr>
  </property>
  <property fmtid="{D5CDD505-2E9C-101B-9397-08002B2CF9AE}" pid="10" name="Mendeley Recent Style Id 3_1">
    <vt:lpwstr>http://www.zotero.org/styles/current-biology</vt:lpwstr>
  </property>
  <property fmtid="{D5CDD505-2E9C-101B-9397-08002B2CF9AE}" pid="11" name="Mendeley Recent Style Name 3_1">
    <vt:lpwstr>Current Biology</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http://www.zotero.org/styles/obesity</vt:lpwstr>
  </property>
  <property fmtid="{D5CDD505-2E9C-101B-9397-08002B2CF9AE}" pid="15" name="Mendeley Recent Style Name 5_1">
    <vt:lpwstr>Obesity</vt:lpwstr>
  </property>
  <property fmtid="{D5CDD505-2E9C-101B-9397-08002B2CF9AE}" pid="16" name="Mendeley Recent Style Id 6_1">
    <vt:lpwstr>http://www.zotero.org/styles/plos-one</vt:lpwstr>
  </property>
  <property fmtid="{D5CDD505-2E9C-101B-9397-08002B2CF9AE}" pid="17" name="Mendeley Recent Style Name 6_1">
    <vt:lpwstr>PLOS ONE</vt:lpwstr>
  </property>
  <property fmtid="{D5CDD505-2E9C-101B-9397-08002B2CF9AE}" pid="18" name="Mendeley Recent Style Id 7_1">
    <vt:lpwstr>http://www.zotero.org/styles/science-translational-medicine</vt:lpwstr>
  </property>
  <property fmtid="{D5CDD505-2E9C-101B-9397-08002B2CF9AE}" pid="19" name="Mendeley Recent Style Name 7_1">
    <vt:lpwstr>Science Translational Medicine</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http://www.zotero.org/styles/skeletal-muscle</vt:lpwstr>
  </property>
  <property fmtid="{D5CDD505-2E9C-101B-9397-08002B2CF9AE}" pid="23" name="Mendeley Recent Style Name 9_1">
    <vt:lpwstr>Skeletal Muscle</vt:lpwstr>
  </property>
  <property fmtid="{D5CDD505-2E9C-101B-9397-08002B2CF9AE}" pid="24" name="Mendeley Unique User Id_1">
    <vt:lpwstr>e12fc6bc-5cc2-31b8-be29-f69b452c6da9</vt:lpwstr>
  </property>
</Properties>
</file>